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themeColor="background1"/>
  <w:body>
    <w:p w14:paraId="14E4FF49">
      <w:pPr>
        <w:rPr>
          <w:rFonts w:hint="eastAsia" w:ascii="宋体" w:hAnsi="宋体" w:eastAsia="宋体" w:cs="宋体"/>
        </w:rPr>
      </w:pPr>
    </w:p>
    <w:p w14:paraId="10FB227E">
      <w:pPr>
        <w:pStyle w:val="8"/>
        <w:jc w:val="center"/>
        <w:rPr>
          <w:rFonts w:hint="eastAsia" w:ascii="宋体" w:hAnsi="宋体" w:eastAsia="宋体" w:cs="宋体"/>
          <w:b/>
          <w:kern w:val="0"/>
          <w:sz w:val="72"/>
          <w:szCs w:val="72"/>
        </w:rPr>
      </w:pPr>
      <w:r>
        <w:rPr>
          <w:rFonts w:hint="eastAsia" w:ascii="宋体" w:hAnsi="宋体" w:eastAsia="宋体" w:cs="宋体"/>
          <w:color w:val="auto"/>
          <w:highlight w:val="none"/>
        </w:rPr>
        <w:drawing>
          <wp:inline distT="0" distB="0" distL="114300" distR="114300">
            <wp:extent cx="5268595" cy="2705100"/>
            <wp:effectExtent l="0" t="0" r="8255" b="0"/>
            <wp:docPr id="7" name="图片 7" descr="D:\工作文件\中石化费用账单\九峰加油站\2020\永安HY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D:\工作文件\中石化费用账单\九峰加油站\2020\永安HY logo.png"/>
                    <pic:cNvPicPr>
                      <a:picLocks noChangeAspect="1"/>
                    </pic:cNvPicPr>
                  </pic:nvPicPr>
                  <pic:blipFill>
                    <a:blip r:embed="rId12"/>
                    <a:stretch>
                      <a:fillRect/>
                    </a:stretch>
                  </pic:blipFill>
                  <pic:spPr>
                    <a:xfrm>
                      <a:off x="0" y="0"/>
                      <a:ext cx="5268595" cy="2705100"/>
                    </a:xfrm>
                    <a:prstGeom prst="rect">
                      <a:avLst/>
                    </a:prstGeom>
                    <a:noFill/>
                    <a:ln>
                      <a:noFill/>
                    </a:ln>
                  </pic:spPr>
                </pic:pic>
              </a:graphicData>
            </a:graphic>
          </wp:inline>
        </w:drawing>
      </w:r>
    </w:p>
    <w:p w14:paraId="7AFB5E15">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rPr>
      </w:pPr>
      <w:r>
        <w:rPr>
          <w:rFonts w:hint="eastAsia" w:ascii="宋体" w:hAnsi="宋体" w:eastAsia="宋体" w:cs="宋体"/>
          <w:b/>
          <w:kern w:val="0"/>
          <w:sz w:val="72"/>
          <w:szCs w:val="72"/>
          <w:lang w:val="en-US" w:eastAsia="zh-CN"/>
        </w:rPr>
        <w:t xml:space="preserve">   </w:t>
      </w:r>
      <w:r>
        <w:rPr>
          <w:rFonts w:hint="eastAsia" w:ascii="宋体" w:hAnsi="宋体" w:eastAsia="宋体" w:cs="宋体"/>
          <w:b/>
          <w:kern w:val="0"/>
          <w:sz w:val="72"/>
          <w:szCs w:val="72"/>
        </w:rPr>
        <w:t>政府采购</w:t>
      </w:r>
    </w:p>
    <w:p w14:paraId="6D4EE3F0">
      <w:pPr>
        <w:tabs>
          <w:tab w:val="left" w:pos="720"/>
          <w:tab w:val="left" w:pos="2160"/>
          <w:tab w:val="left" w:pos="2880"/>
          <w:tab w:val="left" w:pos="3600"/>
          <w:tab w:val="left" w:pos="4320"/>
          <w:tab w:val="left" w:pos="5040"/>
          <w:tab w:val="left" w:pos="5760"/>
        </w:tabs>
        <w:autoSpaceDE w:val="0"/>
        <w:autoSpaceDN w:val="0"/>
        <w:adjustRightInd w:val="0"/>
        <w:spacing w:line="360" w:lineRule="auto"/>
        <w:ind w:right="924"/>
        <w:jc w:val="center"/>
        <w:rPr>
          <w:rFonts w:hint="eastAsia" w:ascii="宋体" w:hAnsi="宋体" w:eastAsia="宋体" w:cs="宋体"/>
          <w:b/>
          <w:kern w:val="0"/>
          <w:sz w:val="72"/>
          <w:szCs w:val="72"/>
          <w:lang w:val="en-US" w:eastAsia="zh-CN"/>
        </w:rPr>
      </w:pPr>
      <w:r>
        <w:rPr>
          <w:rFonts w:hint="eastAsia" w:ascii="宋体" w:hAnsi="宋体" w:eastAsia="宋体" w:cs="宋体"/>
          <w:b/>
          <w:kern w:val="0"/>
          <w:sz w:val="72"/>
          <w:szCs w:val="72"/>
          <w:lang w:val="en-US" w:eastAsia="zh-CN"/>
        </w:rPr>
        <w:t xml:space="preserve">   竞争性磋商</w:t>
      </w:r>
      <w:r>
        <w:rPr>
          <w:rFonts w:hint="eastAsia" w:ascii="宋体" w:hAnsi="宋体" w:eastAsia="宋体" w:cs="宋体"/>
          <w:b/>
          <w:kern w:val="0"/>
          <w:sz w:val="72"/>
          <w:szCs w:val="72"/>
          <w:lang w:eastAsia="zh-CN"/>
        </w:rPr>
        <w:t>文件</w:t>
      </w:r>
    </w:p>
    <w:p w14:paraId="0847A4DD">
      <w:pPr>
        <w:spacing w:line="360" w:lineRule="auto"/>
        <w:jc w:val="center"/>
        <w:rPr>
          <w:rFonts w:hint="eastAsia" w:ascii="宋体" w:hAnsi="宋体" w:eastAsia="宋体" w:cs="宋体"/>
          <w:kern w:val="0"/>
          <w:sz w:val="28"/>
          <w:szCs w:val="28"/>
        </w:rPr>
      </w:pPr>
      <w:r>
        <w:rPr>
          <w:rFonts w:hint="eastAsia" w:ascii="宋体" w:hAnsi="宋体" w:eastAsia="宋体" w:cs="宋体"/>
          <w:b/>
          <w:bCs/>
          <w:kern w:val="0"/>
          <w:sz w:val="32"/>
          <w:szCs w:val="32"/>
        </w:rPr>
        <w:t>（电子招</w:t>
      </w:r>
      <w:r>
        <w:rPr>
          <w:rFonts w:hint="eastAsia" w:ascii="宋体" w:hAnsi="宋体" w:eastAsia="宋体" w:cs="宋体"/>
          <w:b/>
          <w:bCs/>
          <w:kern w:val="0"/>
          <w:sz w:val="32"/>
          <w:szCs w:val="32"/>
          <w:lang w:val="en-US" w:eastAsia="zh-CN"/>
        </w:rPr>
        <w:t>投标</w:t>
      </w:r>
      <w:r>
        <w:rPr>
          <w:rFonts w:hint="eastAsia" w:ascii="宋体" w:hAnsi="宋体" w:eastAsia="宋体" w:cs="宋体"/>
          <w:b/>
          <w:bCs/>
          <w:kern w:val="0"/>
          <w:sz w:val="32"/>
          <w:szCs w:val="32"/>
        </w:rPr>
        <w:t>方式）</w:t>
      </w:r>
    </w:p>
    <w:p w14:paraId="79DE3352">
      <w:pPr>
        <w:spacing w:line="360" w:lineRule="auto"/>
        <w:jc w:val="center"/>
        <w:rPr>
          <w:rFonts w:hint="eastAsia" w:ascii="宋体" w:hAnsi="宋体" w:eastAsia="宋体" w:cs="宋体"/>
          <w:b/>
          <w:color w:val="auto"/>
          <w:kern w:val="0"/>
          <w:sz w:val="28"/>
          <w:szCs w:val="28"/>
          <w:highlight w:val="none"/>
          <w:lang w:val="en-US" w:eastAsia="zh-CN"/>
        </w:rPr>
      </w:pPr>
      <w:r>
        <w:rPr>
          <w:rFonts w:hint="eastAsia" w:ascii="宋体" w:hAnsi="宋体" w:eastAsia="宋体" w:cs="宋体"/>
          <w:color w:val="auto"/>
          <w:kern w:val="0"/>
          <w:sz w:val="28"/>
          <w:szCs w:val="28"/>
          <w:highlight w:val="none"/>
        </w:rPr>
        <w:t>项目编号：</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zjhy2025-tz03</w:t>
      </w:r>
      <w:r>
        <w:rPr>
          <w:rFonts w:hint="eastAsia" w:ascii="宋体" w:hAnsi="宋体" w:eastAsia="宋体" w:cs="宋体"/>
          <w:color w:val="auto"/>
          <w:kern w:val="0"/>
          <w:sz w:val="28"/>
          <w:szCs w:val="28"/>
          <w:highlight w:val="none"/>
          <w:u w:val="single"/>
          <w:lang w:val="en-US" w:eastAsia="zh-CN"/>
        </w:rPr>
        <w:t xml:space="preserve"> </w:t>
      </w:r>
    </w:p>
    <w:p w14:paraId="71948324">
      <w:pPr>
        <w:pStyle w:val="8"/>
        <w:jc w:val="center"/>
        <w:rPr>
          <w:rFonts w:hint="eastAsia" w:ascii="宋体" w:hAnsi="宋体" w:eastAsia="宋体" w:cs="宋体"/>
          <w:color w:val="auto"/>
          <w:highlight w:val="none"/>
        </w:rPr>
      </w:pPr>
    </w:p>
    <w:p w14:paraId="7EF50D82">
      <w:pPr>
        <w:pStyle w:val="8"/>
        <w:jc w:val="both"/>
        <w:rPr>
          <w:rFonts w:hint="eastAsia" w:ascii="宋体" w:hAnsi="宋体" w:eastAsia="宋体" w:cs="宋体"/>
          <w:color w:val="auto"/>
          <w:highlight w:val="none"/>
        </w:rPr>
      </w:pPr>
    </w:p>
    <w:p w14:paraId="30AEE44E">
      <w:pPr>
        <w:pStyle w:val="8"/>
        <w:jc w:val="center"/>
        <w:rPr>
          <w:rFonts w:hint="eastAsia" w:ascii="宋体" w:hAnsi="宋体" w:eastAsia="宋体" w:cs="宋体"/>
          <w:color w:val="auto"/>
          <w:highlight w:val="none"/>
        </w:rPr>
      </w:pPr>
    </w:p>
    <w:p w14:paraId="28D00B72">
      <w:pPr>
        <w:spacing w:line="360" w:lineRule="auto"/>
        <w:ind w:left="1405" w:hanging="1405" w:hangingChars="500"/>
        <w:jc w:val="center"/>
        <w:rPr>
          <w:rFonts w:hint="eastAsia" w:ascii="宋体" w:hAnsi="宋体" w:eastAsia="宋体" w:cs="宋体"/>
          <w:color w:val="auto"/>
          <w:highlight w:val="none"/>
        </w:rPr>
      </w:pPr>
      <w:r>
        <w:rPr>
          <w:rFonts w:hint="eastAsia" w:ascii="宋体" w:hAnsi="宋体" w:eastAsia="宋体" w:cs="宋体"/>
          <w:b/>
          <w:bCs/>
          <w:color w:val="auto"/>
          <w:kern w:val="0"/>
          <w:sz w:val="28"/>
          <w:szCs w:val="28"/>
          <w:highlight w:val="none"/>
        </w:rPr>
        <w:t>采购项目：</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拔尖人才早期培养及化学竞赛项目</w:t>
      </w:r>
    </w:p>
    <w:p w14:paraId="4F5CF09F">
      <w:pPr>
        <w:spacing w:line="360" w:lineRule="auto"/>
        <w:jc w:val="center"/>
        <w:rPr>
          <w:rFonts w:hint="eastAsia" w:ascii="宋体" w:hAnsi="宋体" w:eastAsia="宋体" w:cs="宋体"/>
          <w:color w:val="auto"/>
          <w:kern w:val="0"/>
          <w:sz w:val="28"/>
          <w:szCs w:val="28"/>
          <w:highlight w:val="none"/>
          <w:u w:val="single"/>
          <w:lang w:eastAsia="zh-CN"/>
        </w:rPr>
      </w:pPr>
      <w:r>
        <w:rPr>
          <w:rFonts w:hint="eastAsia" w:ascii="宋体" w:hAnsi="宋体" w:eastAsia="宋体" w:cs="宋体"/>
          <w:b/>
          <w:bCs/>
          <w:color w:val="auto"/>
          <w:kern w:val="0"/>
          <w:sz w:val="28"/>
          <w:szCs w:val="28"/>
          <w:highlight w:val="none"/>
        </w:rPr>
        <w:t>采 购 人：</w:t>
      </w:r>
      <w:r>
        <w:rPr>
          <w:rFonts w:hint="eastAsia" w:ascii="宋体" w:hAnsi="宋体" w:eastAsia="宋体" w:cs="宋体"/>
          <w:color w:val="auto"/>
          <w:kern w:val="0"/>
          <w:sz w:val="28"/>
          <w:szCs w:val="28"/>
          <w:highlight w:val="none"/>
          <w:u w:val="single"/>
        </w:rPr>
        <w:t xml:space="preserve"> </w:t>
      </w:r>
      <w:r>
        <w:rPr>
          <w:rFonts w:hint="eastAsia" w:ascii="宋体" w:hAnsi="宋体" w:cs="宋体"/>
          <w:color w:val="auto"/>
          <w:kern w:val="0"/>
          <w:sz w:val="28"/>
          <w:szCs w:val="28"/>
          <w:highlight w:val="none"/>
          <w:u w:val="single"/>
          <w:lang w:eastAsia="zh-CN"/>
        </w:rPr>
        <w:t>台州市第一中学</w:t>
      </w:r>
    </w:p>
    <w:p w14:paraId="52B10F1C">
      <w:pPr>
        <w:pStyle w:val="8"/>
        <w:rPr>
          <w:rFonts w:hint="eastAsia" w:ascii="宋体" w:hAnsi="宋体" w:eastAsia="宋体" w:cs="宋体"/>
          <w:color w:val="auto"/>
          <w:highlight w:val="none"/>
        </w:rPr>
      </w:pPr>
    </w:p>
    <w:p w14:paraId="43930EC1">
      <w:pPr>
        <w:pStyle w:val="8"/>
        <w:rPr>
          <w:rFonts w:hint="eastAsia" w:ascii="宋体" w:hAnsi="宋体" w:eastAsia="宋体" w:cs="宋体"/>
          <w:color w:val="auto"/>
          <w:highlight w:val="none"/>
        </w:rPr>
      </w:pPr>
    </w:p>
    <w:p w14:paraId="73124474">
      <w:pPr>
        <w:spacing w:line="360" w:lineRule="auto"/>
        <w:ind w:firstLine="1405" w:firstLineChars="500"/>
        <w:jc w:val="both"/>
        <w:rPr>
          <w:rFonts w:hint="eastAsia" w:ascii="宋体" w:hAnsi="宋体" w:eastAsia="宋体" w:cs="宋体"/>
          <w:color w:val="auto"/>
          <w:kern w:val="0"/>
          <w:sz w:val="28"/>
          <w:szCs w:val="28"/>
          <w:highlight w:val="none"/>
          <w:lang w:eastAsia="zh-CN"/>
        </w:rPr>
      </w:pPr>
      <w:r>
        <w:rPr>
          <w:rFonts w:hint="eastAsia" w:ascii="宋体" w:hAnsi="宋体" w:eastAsia="宋体" w:cs="宋体"/>
          <w:b/>
          <w:bCs/>
          <w:color w:val="auto"/>
          <w:kern w:val="0"/>
          <w:sz w:val="28"/>
          <w:szCs w:val="28"/>
          <w:highlight w:val="none"/>
        </w:rPr>
        <w:t>采购代理机构：</w:t>
      </w:r>
      <w:r>
        <w:rPr>
          <w:rFonts w:hint="eastAsia" w:ascii="宋体" w:hAnsi="宋体" w:eastAsia="宋体" w:cs="宋体"/>
          <w:color w:val="auto"/>
          <w:kern w:val="0"/>
          <w:sz w:val="28"/>
          <w:szCs w:val="28"/>
          <w:highlight w:val="none"/>
          <w:lang w:eastAsia="zh-CN"/>
        </w:rPr>
        <w:t>浙江汇永工程咨询有限公司</w:t>
      </w:r>
    </w:p>
    <w:p w14:paraId="0F0E375D">
      <w:pPr>
        <w:pStyle w:val="8"/>
        <w:rPr>
          <w:rFonts w:hint="eastAsia" w:ascii="宋体" w:hAnsi="宋体" w:eastAsia="宋体" w:cs="宋体"/>
          <w:color w:val="auto"/>
          <w:highlight w:val="none"/>
        </w:rPr>
      </w:pPr>
    </w:p>
    <w:p w14:paraId="15913020">
      <w:pPr>
        <w:pStyle w:val="8"/>
        <w:jc w:val="center"/>
        <w:rPr>
          <w:rFonts w:hint="eastAsia" w:ascii="宋体" w:hAnsi="宋体" w:eastAsia="宋体" w:cs="宋体"/>
          <w:color w:val="auto"/>
          <w:kern w:val="0"/>
          <w:szCs w:val="21"/>
          <w:highlight w:val="none"/>
        </w:rPr>
      </w:pPr>
      <w:r>
        <w:rPr>
          <w:rFonts w:hint="eastAsia" w:ascii="宋体" w:hAnsi="宋体" w:cs="宋体"/>
          <w:color w:val="auto"/>
          <w:kern w:val="0"/>
          <w:sz w:val="28"/>
          <w:szCs w:val="28"/>
          <w:highlight w:val="none"/>
          <w:lang w:val="en-US" w:eastAsia="zh-CN" w:bidi="ar-SA"/>
        </w:rPr>
        <w:t>二○二五年三月</w:t>
      </w:r>
    </w:p>
    <w:p w14:paraId="6F019D5B">
      <w:pPr>
        <w:pStyle w:val="8"/>
        <w:jc w:val="center"/>
        <w:rPr>
          <w:rFonts w:hint="eastAsia" w:ascii="宋体" w:hAnsi="宋体" w:eastAsia="宋体" w:cs="宋体"/>
          <w:color w:val="auto"/>
          <w:kern w:val="0"/>
          <w:szCs w:val="21"/>
          <w:highlight w:val="none"/>
        </w:rPr>
      </w:pPr>
    </w:p>
    <w:p w14:paraId="25BC7170">
      <w:pPr>
        <w:pStyle w:val="8"/>
        <w:jc w:val="both"/>
        <w:rPr>
          <w:rFonts w:hint="eastAsia" w:ascii="宋体" w:hAnsi="宋体" w:eastAsia="宋体" w:cs="宋体"/>
          <w:color w:val="auto"/>
          <w:highlight w:val="none"/>
        </w:rPr>
      </w:pPr>
    </w:p>
    <w:p w14:paraId="1A27E4F5">
      <w:pPr>
        <w:spacing w:line="360" w:lineRule="auto"/>
        <w:jc w:val="center"/>
        <w:rPr>
          <w:rFonts w:hint="eastAsia" w:ascii="宋体" w:hAnsi="宋体" w:eastAsia="宋体" w:cs="宋体"/>
          <w:b/>
          <w:bCs/>
          <w:color w:val="auto"/>
          <w:sz w:val="36"/>
          <w:szCs w:val="36"/>
          <w:highlight w:val="none"/>
        </w:rPr>
      </w:pPr>
      <w:r>
        <w:rPr>
          <w:rFonts w:hint="eastAsia" w:ascii="宋体" w:hAnsi="宋体" w:eastAsia="宋体" w:cs="宋体"/>
          <w:b/>
          <w:bCs/>
          <w:color w:val="auto"/>
          <w:sz w:val="36"/>
          <w:szCs w:val="36"/>
          <w:highlight w:val="none"/>
        </w:rPr>
        <w:t>目</w:t>
      </w:r>
      <w:r>
        <w:rPr>
          <w:rFonts w:hint="eastAsia" w:ascii="宋体" w:hAnsi="宋体" w:eastAsia="宋体" w:cs="宋体"/>
          <w:b/>
          <w:bCs/>
          <w:color w:val="auto"/>
          <w:sz w:val="36"/>
          <w:szCs w:val="36"/>
          <w:highlight w:val="none"/>
          <w:lang w:val="en-US" w:eastAsia="zh-CN"/>
        </w:rPr>
        <w:t xml:space="preserve">  </w:t>
      </w:r>
      <w:r>
        <w:rPr>
          <w:rFonts w:hint="eastAsia" w:ascii="宋体" w:hAnsi="宋体" w:eastAsia="宋体" w:cs="宋体"/>
          <w:b/>
          <w:bCs/>
          <w:color w:val="auto"/>
          <w:sz w:val="36"/>
          <w:szCs w:val="36"/>
          <w:highlight w:val="none"/>
        </w:rPr>
        <w:t>录</w:t>
      </w:r>
    </w:p>
    <w:p w14:paraId="259798B7">
      <w:pPr>
        <w:spacing w:line="360" w:lineRule="auto"/>
        <w:rPr>
          <w:rFonts w:hint="eastAsia" w:ascii="宋体" w:hAnsi="宋体" w:eastAsia="宋体" w:cs="宋体"/>
          <w:color w:val="auto"/>
          <w:sz w:val="28"/>
          <w:szCs w:val="28"/>
          <w:highlight w:val="none"/>
        </w:rPr>
      </w:pPr>
    </w:p>
    <w:p w14:paraId="0AC45CF7">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竞争性磋商公告</w:t>
      </w:r>
    </w:p>
    <w:p w14:paraId="1C3BF01F">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供应商须知</w:t>
      </w:r>
    </w:p>
    <w:p w14:paraId="3293422D">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评审办法及评审标准</w:t>
      </w:r>
    </w:p>
    <w:p w14:paraId="3D9E1A49">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项目需求</w:t>
      </w:r>
    </w:p>
    <w:p w14:paraId="6C73FB52">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政府采购合同主要条款</w:t>
      </w:r>
    </w:p>
    <w:p w14:paraId="1A2260B5">
      <w:pPr>
        <w:keepNext w:val="0"/>
        <w:keepLines w:val="0"/>
        <w:pageBreakBefore w:val="0"/>
        <w:widowControl w:val="0"/>
        <w:numPr>
          <w:ilvl w:val="0"/>
          <w:numId w:val="1"/>
        </w:numPr>
        <w:kinsoku/>
        <w:wordWrap/>
        <w:overflowPunct/>
        <w:topLinePunct w:val="0"/>
        <w:autoSpaceDE/>
        <w:autoSpaceDN/>
        <w:bidi w:val="0"/>
        <w:adjustRightInd/>
        <w:snapToGrid/>
        <w:spacing w:line="360" w:lineRule="auto"/>
        <w:textAlignment w:val="auto"/>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lang w:eastAsia="zh-CN"/>
        </w:rPr>
        <w:t>响应文件格式附件</w:t>
      </w:r>
    </w:p>
    <w:p w14:paraId="7F692281">
      <w:pPr>
        <w:pStyle w:val="8"/>
        <w:keepNext w:val="0"/>
        <w:keepLines w:val="0"/>
        <w:pageBreakBefore w:val="0"/>
        <w:widowControl w:val="0"/>
        <w:kinsoku/>
        <w:wordWrap/>
        <w:overflowPunct/>
        <w:topLinePunct w:val="0"/>
        <w:autoSpaceDE/>
        <w:autoSpaceDN/>
        <w:bidi w:val="0"/>
        <w:adjustRightInd/>
        <w:snapToGrid/>
        <w:jc w:val="center"/>
        <w:textAlignment w:val="auto"/>
        <w:outlineLvl w:val="9"/>
        <w:rPr>
          <w:rFonts w:hint="eastAsia" w:ascii="宋体" w:hAnsi="宋体" w:eastAsia="宋体" w:cs="宋体"/>
          <w:color w:val="auto"/>
          <w:highlight w:val="none"/>
        </w:rPr>
      </w:pPr>
    </w:p>
    <w:p w14:paraId="4BE979F7">
      <w:pPr>
        <w:pStyle w:val="8"/>
        <w:jc w:val="center"/>
        <w:rPr>
          <w:rFonts w:hint="eastAsia" w:ascii="宋体" w:hAnsi="宋体" w:eastAsia="宋体" w:cs="宋体"/>
          <w:color w:val="auto"/>
          <w:highlight w:val="none"/>
        </w:rPr>
      </w:pPr>
    </w:p>
    <w:p w14:paraId="376DDB99">
      <w:pPr>
        <w:pStyle w:val="8"/>
        <w:jc w:val="center"/>
        <w:rPr>
          <w:rFonts w:hint="eastAsia" w:ascii="宋体" w:hAnsi="宋体" w:eastAsia="宋体" w:cs="宋体"/>
          <w:color w:val="auto"/>
          <w:highlight w:val="none"/>
        </w:rPr>
      </w:pPr>
    </w:p>
    <w:p w14:paraId="19AB790A">
      <w:pPr>
        <w:pStyle w:val="8"/>
        <w:jc w:val="center"/>
        <w:rPr>
          <w:rFonts w:hint="eastAsia" w:ascii="宋体" w:hAnsi="宋体" w:eastAsia="宋体" w:cs="宋体"/>
          <w:color w:val="auto"/>
          <w:highlight w:val="none"/>
        </w:rPr>
      </w:pPr>
    </w:p>
    <w:p w14:paraId="178B9FA8">
      <w:pPr>
        <w:pStyle w:val="8"/>
        <w:jc w:val="center"/>
        <w:rPr>
          <w:rFonts w:hint="eastAsia" w:ascii="宋体" w:hAnsi="宋体" w:eastAsia="宋体" w:cs="宋体"/>
          <w:color w:val="auto"/>
          <w:highlight w:val="none"/>
        </w:rPr>
      </w:pPr>
    </w:p>
    <w:p w14:paraId="11488D38">
      <w:pPr>
        <w:pStyle w:val="8"/>
        <w:jc w:val="center"/>
        <w:rPr>
          <w:rFonts w:hint="eastAsia" w:ascii="宋体" w:hAnsi="宋体" w:eastAsia="宋体" w:cs="宋体"/>
          <w:color w:val="auto"/>
          <w:highlight w:val="none"/>
        </w:rPr>
      </w:pPr>
    </w:p>
    <w:p w14:paraId="39198F95">
      <w:pPr>
        <w:pStyle w:val="8"/>
        <w:jc w:val="center"/>
        <w:rPr>
          <w:rFonts w:hint="eastAsia" w:ascii="宋体" w:hAnsi="宋体" w:eastAsia="宋体" w:cs="宋体"/>
          <w:color w:val="auto"/>
          <w:highlight w:val="none"/>
        </w:rPr>
      </w:pPr>
    </w:p>
    <w:p w14:paraId="2C7D843C">
      <w:pPr>
        <w:pStyle w:val="8"/>
        <w:jc w:val="center"/>
        <w:rPr>
          <w:rFonts w:hint="eastAsia" w:ascii="宋体" w:hAnsi="宋体" w:eastAsia="宋体" w:cs="宋体"/>
          <w:color w:val="auto"/>
          <w:highlight w:val="none"/>
        </w:rPr>
      </w:pPr>
    </w:p>
    <w:p w14:paraId="36DA6807">
      <w:pPr>
        <w:pStyle w:val="8"/>
        <w:jc w:val="center"/>
        <w:rPr>
          <w:rFonts w:hint="eastAsia" w:ascii="宋体" w:hAnsi="宋体" w:eastAsia="宋体" w:cs="宋体"/>
          <w:color w:val="auto"/>
          <w:highlight w:val="none"/>
        </w:rPr>
      </w:pPr>
    </w:p>
    <w:p w14:paraId="4455802A">
      <w:pPr>
        <w:pStyle w:val="8"/>
        <w:jc w:val="center"/>
        <w:rPr>
          <w:rFonts w:hint="eastAsia" w:ascii="宋体" w:hAnsi="宋体" w:eastAsia="宋体" w:cs="宋体"/>
          <w:color w:val="auto"/>
          <w:highlight w:val="none"/>
        </w:rPr>
      </w:pPr>
    </w:p>
    <w:p w14:paraId="2DFF790A">
      <w:pPr>
        <w:pStyle w:val="8"/>
        <w:jc w:val="center"/>
        <w:rPr>
          <w:rFonts w:hint="eastAsia" w:ascii="宋体" w:hAnsi="宋体" w:eastAsia="宋体" w:cs="宋体"/>
          <w:color w:val="auto"/>
          <w:highlight w:val="none"/>
        </w:rPr>
      </w:pPr>
    </w:p>
    <w:p w14:paraId="4F54CC4D">
      <w:pPr>
        <w:pStyle w:val="8"/>
        <w:jc w:val="center"/>
        <w:rPr>
          <w:rFonts w:hint="eastAsia" w:ascii="宋体" w:hAnsi="宋体" w:eastAsia="宋体" w:cs="宋体"/>
          <w:color w:val="auto"/>
          <w:highlight w:val="none"/>
        </w:rPr>
      </w:pPr>
    </w:p>
    <w:p w14:paraId="4A723F5D">
      <w:pPr>
        <w:pStyle w:val="8"/>
        <w:jc w:val="center"/>
        <w:rPr>
          <w:rFonts w:hint="eastAsia" w:ascii="宋体" w:hAnsi="宋体" w:eastAsia="宋体" w:cs="宋体"/>
          <w:color w:val="auto"/>
          <w:highlight w:val="none"/>
        </w:rPr>
      </w:pPr>
    </w:p>
    <w:p w14:paraId="2CA56F91">
      <w:pPr>
        <w:pStyle w:val="9"/>
        <w:rPr>
          <w:rFonts w:hint="eastAsia" w:ascii="宋体" w:hAnsi="宋体" w:eastAsia="宋体" w:cs="宋体"/>
          <w:color w:val="auto"/>
          <w:highlight w:val="none"/>
        </w:rPr>
      </w:pPr>
    </w:p>
    <w:p w14:paraId="5495EC60">
      <w:pPr>
        <w:pStyle w:val="9"/>
        <w:rPr>
          <w:rFonts w:hint="eastAsia" w:ascii="宋体" w:hAnsi="宋体" w:eastAsia="宋体" w:cs="宋体"/>
          <w:color w:val="auto"/>
          <w:highlight w:val="none"/>
        </w:rPr>
      </w:pPr>
    </w:p>
    <w:p w14:paraId="566CA32B">
      <w:pPr>
        <w:pStyle w:val="8"/>
        <w:jc w:val="center"/>
        <w:rPr>
          <w:rFonts w:hint="eastAsia" w:ascii="宋体" w:hAnsi="宋体" w:eastAsia="宋体" w:cs="宋体"/>
          <w:color w:val="auto"/>
          <w:highlight w:val="none"/>
        </w:rPr>
      </w:pPr>
    </w:p>
    <w:p w14:paraId="4959FC96">
      <w:pPr>
        <w:pStyle w:val="9"/>
        <w:rPr>
          <w:rFonts w:hint="eastAsia" w:ascii="宋体" w:hAnsi="宋体" w:eastAsia="宋体" w:cs="宋体"/>
          <w:color w:val="auto"/>
          <w:highlight w:val="none"/>
        </w:rPr>
      </w:pPr>
    </w:p>
    <w:p w14:paraId="7E1ABBE5">
      <w:pPr>
        <w:pStyle w:val="8"/>
        <w:jc w:val="center"/>
        <w:rPr>
          <w:rFonts w:hint="eastAsia" w:ascii="宋体" w:hAnsi="宋体" w:eastAsia="宋体" w:cs="宋体"/>
          <w:color w:val="auto"/>
          <w:highlight w:val="none"/>
        </w:rPr>
      </w:pPr>
    </w:p>
    <w:p w14:paraId="6D5267F0">
      <w:pPr>
        <w:tabs>
          <w:tab w:val="left" w:pos="180"/>
          <w:tab w:val="left" w:pos="360"/>
          <w:tab w:val="left" w:pos="540"/>
          <w:tab w:val="left" w:pos="8280"/>
        </w:tabs>
        <w:autoSpaceDE w:val="0"/>
        <w:autoSpaceDN w:val="0"/>
        <w:adjustRightInd w:val="0"/>
        <w:spacing w:line="360" w:lineRule="auto"/>
        <w:ind w:right="23"/>
        <w:jc w:val="center"/>
        <w:outlineLvl w:val="0"/>
        <w:rPr>
          <w:rFonts w:hint="eastAsia" w:ascii="宋体" w:hAnsi="宋体" w:eastAsia="宋体" w:cs="宋体"/>
          <w:b/>
          <w:color w:val="auto"/>
          <w:kern w:val="0"/>
          <w:sz w:val="36"/>
          <w:szCs w:val="36"/>
          <w:highlight w:val="none"/>
        </w:rPr>
      </w:pPr>
      <w:r>
        <w:rPr>
          <w:rFonts w:hint="eastAsia" w:ascii="宋体" w:hAnsi="宋体" w:eastAsia="宋体" w:cs="宋体"/>
          <w:b/>
          <w:color w:val="auto"/>
          <w:kern w:val="0"/>
          <w:sz w:val="36"/>
          <w:szCs w:val="36"/>
          <w:highlight w:val="none"/>
        </w:rPr>
        <w:t xml:space="preserve">第一章 </w:t>
      </w:r>
      <w:r>
        <w:rPr>
          <w:rFonts w:hint="eastAsia" w:ascii="宋体" w:hAnsi="宋体" w:eastAsia="宋体" w:cs="宋体"/>
          <w:b/>
          <w:color w:val="auto"/>
          <w:kern w:val="0"/>
          <w:sz w:val="36"/>
          <w:szCs w:val="36"/>
          <w:highlight w:val="none"/>
          <w:lang w:eastAsia="zh-CN"/>
        </w:rPr>
        <w:t>竞争性磋商公告</w:t>
      </w:r>
    </w:p>
    <w:p w14:paraId="3F4E3856">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根据《中华人民共和国政府采购法》、《中华人民共和国政府采购法实施条例》和</w:t>
      </w:r>
      <w:r>
        <w:rPr>
          <w:rFonts w:hint="eastAsia" w:ascii="宋体" w:hAnsi="宋体" w:eastAsia="宋体" w:cs="宋体"/>
          <w:color w:val="auto"/>
          <w:sz w:val="21"/>
          <w:szCs w:val="21"/>
          <w:highlight w:val="none"/>
          <w:lang w:eastAsia="zh-CN"/>
        </w:rPr>
        <w:t>《政府采购竞争性磋商采购方式管理暂行办法》</w:t>
      </w:r>
      <w:r>
        <w:rPr>
          <w:rFonts w:hint="eastAsia" w:ascii="宋体" w:hAnsi="宋体" w:eastAsia="宋体" w:cs="宋体"/>
          <w:color w:val="auto"/>
          <w:sz w:val="21"/>
          <w:szCs w:val="21"/>
          <w:highlight w:val="none"/>
        </w:rPr>
        <w:t>等有关规定, 受</w:t>
      </w:r>
      <w:r>
        <w:rPr>
          <w:rFonts w:hint="eastAsia" w:ascii="宋体" w:hAnsi="宋体" w:cs="宋体"/>
          <w:b/>
          <w:bCs/>
          <w:color w:val="auto"/>
          <w:sz w:val="21"/>
          <w:szCs w:val="21"/>
          <w:highlight w:val="none"/>
          <w:lang w:eastAsia="zh-CN"/>
        </w:rPr>
        <w:t>台州市第一中学</w:t>
      </w:r>
      <w:r>
        <w:rPr>
          <w:rFonts w:hint="eastAsia" w:ascii="宋体" w:hAnsi="宋体" w:eastAsia="宋体" w:cs="宋体"/>
          <w:color w:val="auto"/>
          <w:sz w:val="21"/>
          <w:szCs w:val="21"/>
          <w:highlight w:val="none"/>
        </w:rPr>
        <w:t>委托，现就其</w:t>
      </w:r>
      <w:r>
        <w:rPr>
          <w:rFonts w:hint="eastAsia" w:ascii="宋体" w:hAnsi="宋体" w:cs="宋体"/>
          <w:b/>
          <w:bCs/>
          <w:color w:val="auto"/>
          <w:sz w:val="21"/>
          <w:szCs w:val="21"/>
          <w:highlight w:val="none"/>
          <w:lang w:eastAsia="zh-CN"/>
        </w:rPr>
        <w:t>拔尖人才早期培养及化学竞赛项目</w:t>
      </w:r>
      <w:r>
        <w:rPr>
          <w:rFonts w:hint="eastAsia" w:ascii="宋体" w:hAnsi="宋体" w:eastAsia="宋体" w:cs="宋体"/>
          <w:color w:val="auto"/>
          <w:sz w:val="21"/>
          <w:szCs w:val="21"/>
          <w:highlight w:val="none"/>
        </w:rPr>
        <w:t>进行</w:t>
      </w:r>
      <w:r>
        <w:rPr>
          <w:rFonts w:hint="eastAsia" w:ascii="宋体" w:hAnsi="宋体" w:eastAsia="宋体" w:cs="宋体"/>
          <w:color w:val="auto"/>
          <w:sz w:val="21"/>
          <w:szCs w:val="21"/>
          <w:highlight w:val="none"/>
          <w:lang w:eastAsia="zh-CN"/>
        </w:rPr>
        <w:t>竞争性</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，欢迎合格供应商前来</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w:t>
      </w:r>
    </w:p>
    <w:p w14:paraId="3E2B92FF">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rPr>
        <w:t>一、项目编号：</w:t>
      </w:r>
      <w:r>
        <w:rPr>
          <w:rFonts w:hint="eastAsia" w:ascii="宋体" w:hAnsi="宋体" w:cs="宋体"/>
          <w:b/>
          <w:bCs/>
          <w:color w:val="auto"/>
          <w:sz w:val="21"/>
          <w:szCs w:val="21"/>
          <w:highlight w:val="none"/>
          <w:lang w:val="en-US" w:eastAsia="zh-CN"/>
        </w:rPr>
        <w:t>zjhy2025-tz03</w:t>
      </w:r>
    </w:p>
    <w:p w14:paraId="035E8578">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w:t>
      </w:r>
      <w:r>
        <w:rPr>
          <w:rFonts w:hint="eastAsia" w:ascii="宋体" w:hAnsi="宋体" w:eastAsia="宋体" w:cs="宋体"/>
          <w:b/>
          <w:bCs/>
          <w:color w:val="auto"/>
          <w:sz w:val="21"/>
          <w:szCs w:val="21"/>
          <w:highlight w:val="none"/>
          <w:lang w:val="en-US" w:eastAsia="zh-CN"/>
        </w:rPr>
        <w:t>磋商内容</w:t>
      </w:r>
      <w:r>
        <w:rPr>
          <w:rFonts w:hint="eastAsia" w:ascii="宋体" w:hAnsi="宋体" w:eastAsia="宋体" w:cs="宋体"/>
          <w:b/>
          <w:bCs/>
          <w:color w:val="auto"/>
          <w:sz w:val="21"/>
          <w:szCs w:val="21"/>
          <w:highlight w:val="none"/>
        </w:rPr>
        <w:t>：</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1928"/>
        <w:gridCol w:w="1532"/>
        <w:gridCol w:w="729"/>
        <w:gridCol w:w="761"/>
        <w:gridCol w:w="1671"/>
        <w:gridCol w:w="1260"/>
      </w:tblGrid>
      <w:tr w14:paraId="008E09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jc w:val="center"/>
        </w:trPr>
        <w:tc>
          <w:tcPr>
            <w:tcW w:w="772" w:type="dxa"/>
            <w:noWrap w:val="0"/>
            <w:vAlign w:val="center"/>
          </w:tcPr>
          <w:p w14:paraId="7EA72D86">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bookmarkStart w:id="0" w:name="EBc3c9f0bc06b6413d849824fe98ba274c"/>
            <w:r>
              <w:rPr>
                <w:rFonts w:hint="eastAsia" w:ascii="宋体" w:hAnsi="宋体" w:eastAsia="宋体" w:cs="宋体"/>
                <w:b/>
                <w:color w:val="auto"/>
                <w:sz w:val="21"/>
                <w:szCs w:val="21"/>
                <w:highlight w:val="none"/>
                <w:lang w:val="en-US" w:eastAsia="zh-CN"/>
              </w:rPr>
              <w:t>序</w:t>
            </w:r>
            <w:r>
              <w:rPr>
                <w:rFonts w:hint="eastAsia" w:ascii="宋体" w:hAnsi="宋体" w:eastAsia="宋体" w:cs="宋体"/>
                <w:b/>
                <w:color w:val="auto"/>
                <w:sz w:val="21"/>
                <w:szCs w:val="21"/>
                <w:highlight w:val="none"/>
              </w:rPr>
              <w:t>号</w:t>
            </w:r>
          </w:p>
        </w:tc>
        <w:tc>
          <w:tcPr>
            <w:tcW w:w="1928" w:type="dxa"/>
            <w:noWrap w:val="0"/>
            <w:vAlign w:val="center"/>
          </w:tcPr>
          <w:p w14:paraId="4CB88D5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项目名称</w:t>
            </w:r>
          </w:p>
        </w:tc>
        <w:tc>
          <w:tcPr>
            <w:tcW w:w="1532" w:type="dxa"/>
            <w:noWrap w:val="0"/>
            <w:vAlign w:val="center"/>
          </w:tcPr>
          <w:p w14:paraId="0EE690B2">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kern w:val="0"/>
                <w:sz w:val="21"/>
                <w:szCs w:val="21"/>
                <w:highlight w:val="none"/>
              </w:rPr>
              <w:t>简要技术要求</w:t>
            </w:r>
          </w:p>
        </w:tc>
        <w:tc>
          <w:tcPr>
            <w:tcW w:w="729" w:type="dxa"/>
            <w:noWrap w:val="0"/>
            <w:vAlign w:val="center"/>
          </w:tcPr>
          <w:p w14:paraId="1885CEB5">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数量</w:t>
            </w:r>
          </w:p>
        </w:tc>
        <w:tc>
          <w:tcPr>
            <w:tcW w:w="761" w:type="dxa"/>
            <w:noWrap w:val="0"/>
            <w:vAlign w:val="center"/>
          </w:tcPr>
          <w:p w14:paraId="346A0C87">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单位</w:t>
            </w:r>
          </w:p>
        </w:tc>
        <w:tc>
          <w:tcPr>
            <w:tcW w:w="1671" w:type="dxa"/>
            <w:noWrap w:val="0"/>
            <w:vAlign w:val="center"/>
          </w:tcPr>
          <w:p w14:paraId="310C0095">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rPr>
              <w:t>预算</w:t>
            </w:r>
            <w:r>
              <w:rPr>
                <w:rFonts w:hint="eastAsia" w:ascii="宋体" w:hAnsi="宋体" w:eastAsia="宋体" w:cs="宋体"/>
                <w:b/>
                <w:color w:val="auto"/>
                <w:sz w:val="21"/>
                <w:szCs w:val="21"/>
                <w:highlight w:val="none"/>
                <w:lang w:val="en-US" w:eastAsia="zh-CN"/>
              </w:rPr>
              <w:t>/最高限价</w:t>
            </w:r>
          </w:p>
          <w:p w14:paraId="3D879DA4">
            <w:pPr>
              <w:tabs>
                <w:tab w:val="left" w:pos="8280"/>
              </w:tabs>
              <w:autoSpaceDE w:val="0"/>
              <w:autoSpaceDN w:val="0"/>
              <w:adjustRightInd w:val="0"/>
              <w:ind w:right="25"/>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（万元）</w:t>
            </w:r>
          </w:p>
        </w:tc>
        <w:tc>
          <w:tcPr>
            <w:tcW w:w="1260" w:type="dxa"/>
            <w:noWrap w:val="0"/>
            <w:vAlign w:val="center"/>
          </w:tcPr>
          <w:p w14:paraId="5007FD92">
            <w:pPr>
              <w:tabs>
                <w:tab w:val="left" w:pos="8280"/>
              </w:tabs>
              <w:autoSpaceDE w:val="0"/>
              <w:autoSpaceDN w:val="0"/>
              <w:adjustRightInd w:val="0"/>
              <w:ind w:right="25"/>
              <w:jc w:val="center"/>
              <w:rPr>
                <w:rFonts w:hint="eastAsia" w:ascii="宋体" w:hAnsi="宋体" w:eastAsia="宋体" w:cs="宋体"/>
                <w:b/>
                <w:color w:val="auto"/>
                <w:sz w:val="21"/>
                <w:szCs w:val="21"/>
                <w:highlight w:val="none"/>
                <w:lang w:val="en-US" w:eastAsia="zh-CN"/>
              </w:rPr>
            </w:pPr>
            <w:r>
              <w:rPr>
                <w:rFonts w:hint="eastAsia" w:ascii="宋体" w:hAnsi="宋体" w:eastAsia="宋体" w:cs="宋体"/>
                <w:b/>
                <w:color w:val="auto"/>
                <w:sz w:val="21"/>
                <w:szCs w:val="21"/>
                <w:highlight w:val="none"/>
                <w:lang w:val="en-US" w:eastAsia="zh-CN"/>
              </w:rPr>
              <w:t>备注</w:t>
            </w:r>
          </w:p>
        </w:tc>
      </w:tr>
      <w:tr w14:paraId="5F753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2" w:hRule="atLeast"/>
          <w:jc w:val="center"/>
        </w:trPr>
        <w:tc>
          <w:tcPr>
            <w:tcW w:w="772" w:type="dxa"/>
            <w:noWrap w:val="0"/>
            <w:vAlign w:val="center"/>
          </w:tcPr>
          <w:p w14:paraId="75A1C8A4">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1928" w:type="dxa"/>
            <w:noWrap w:val="0"/>
            <w:vAlign w:val="center"/>
          </w:tcPr>
          <w:p w14:paraId="297E259B">
            <w:pPr>
              <w:tabs>
                <w:tab w:val="left" w:pos="8280"/>
              </w:tabs>
              <w:autoSpaceDE w:val="0"/>
              <w:autoSpaceDN w:val="0"/>
              <w:adjustRightInd w:val="0"/>
              <w:ind w:right="25"/>
              <w:jc w:val="center"/>
              <w:rPr>
                <w:rFonts w:hint="eastAsia" w:ascii="宋体" w:hAnsi="宋体" w:eastAsia="宋体" w:cs="宋体"/>
                <w:color w:val="auto"/>
                <w:sz w:val="21"/>
                <w:szCs w:val="21"/>
                <w:highlight w:val="none"/>
                <w:lang w:eastAsia="zh-CN"/>
              </w:rPr>
            </w:pPr>
            <w:r>
              <w:rPr>
                <w:rFonts w:hint="eastAsia" w:ascii="宋体" w:hAnsi="宋体" w:cs="宋体"/>
                <w:color w:val="auto"/>
                <w:sz w:val="21"/>
                <w:szCs w:val="21"/>
                <w:highlight w:val="none"/>
                <w:lang w:eastAsia="zh-CN"/>
              </w:rPr>
              <w:t>拔尖人才早期培养及化学竞赛项目</w:t>
            </w:r>
          </w:p>
        </w:tc>
        <w:tc>
          <w:tcPr>
            <w:tcW w:w="1532" w:type="dxa"/>
            <w:noWrap w:val="0"/>
            <w:vAlign w:val="center"/>
          </w:tcPr>
          <w:p w14:paraId="5FB7F3B8">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详见项目需求</w:t>
            </w:r>
          </w:p>
        </w:tc>
        <w:tc>
          <w:tcPr>
            <w:tcW w:w="729" w:type="dxa"/>
            <w:noWrap w:val="0"/>
            <w:vAlign w:val="center"/>
          </w:tcPr>
          <w:p w14:paraId="3ECD6170">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w:t>
            </w:r>
          </w:p>
        </w:tc>
        <w:tc>
          <w:tcPr>
            <w:tcW w:w="761" w:type="dxa"/>
            <w:noWrap w:val="0"/>
            <w:vAlign w:val="center"/>
          </w:tcPr>
          <w:p w14:paraId="142ECE9F">
            <w:pPr>
              <w:widowControl/>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项</w:t>
            </w:r>
          </w:p>
        </w:tc>
        <w:tc>
          <w:tcPr>
            <w:tcW w:w="1671" w:type="dxa"/>
            <w:noWrap w:val="0"/>
            <w:vAlign w:val="center"/>
          </w:tcPr>
          <w:p w14:paraId="6DD174C3">
            <w:pPr>
              <w:tabs>
                <w:tab w:val="left" w:pos="8280"/>
              </w:tabs>
              <w:autoSpaceDE w:val="0"/>
              <w:autoSpaceDN w:val="0"/>
              <w:adjustRightInd w:val="0"/>
              <w:ind w:right="25"/>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240</w:t>
            </w:r>
          </w:p>
        </w:tc>
        <w:tc>
          <w:tcPr>
            <w:tcW w:w="1260" w:type="dxa"/>
            <w:noWrap w:val="0"/>
            <w:vAlign w:val="center"/>
          </w:tcPr>
          <w:p w14:paraId="61833A6B">
            <w:pPr>
              <w:tabs>
                <w:tab w:val="left" w:pos="8280"/>
              </w:tabs>
              <w:autoSpaceDE w:val="0"/>
              <w:autoSpaceDN w:val="0"/>
              <w:adjustRightInd w:val="0"/>
              <w:ind w:right="25"/>
              <w:jc w:val="both"/>
              <w:rPr>
                <w:rFonts w:hint="eastAsia" w:ascii="宋体" w:hAnsi="宋体" w:eastAsia="宋体" w:cs="宋体"/>
                <w:color w:val="auto"/>
                <w:sz w:val="21"/>
                <w:szCs w:val="21"/>
                <w:highlight w:val="none"/>
                <w:lang w:eastAsia="zh-CN"/>
              </w:rPr>
            </w:pPr>
          </w:p>
        </w:tc>
      </w:tr>
      <w:bookmarkEnd w:id="0"/>
    </w:tbl>
    <w:p w14:paraId="55629A50">
      <w:pPr>
        <w:keepNext w:val="0"/>
        <w:keepLines w:val="0"/>
        <w:pageBreakBefore w:val="0"/>
        <w:widowControl w:val="0"/>
        <w:tabs>
          <w:tab w:val="left" w:pos="0"/>
        </w:tabs>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u w:val="single"/>
          <w:lang w:eastAsia="zh-CN"/>
        </w:rPr>
        <w:t>本项目采用“电子交易”的方式提交磋商响应文件（</w:t>
      </w:r>
      <w:r>
        <w:rPr>
          <w:rFonts w:hint="eastAsia" w:ascii="宋体" w:hAnsi="宋体" w:eastAsia="宋体" w:cs="宋体"/>
          <w:b/>
          <w:color w:val="auto"/>
          <w:sz w:val="21"/>
          <w:szCs w:val="21"/>
          <w:highlight w:val="none"/>
          <w:u w:val="single"/>
          <w:lang w:val="en-US" w:eastAsia="zh-CN"/>
        </w:rPr>
        <w:t>还可以</w:t>
      </w:r>
      <w:r>
        <w:rPr>
          <w:rFonts w:hint="eastAsia" w:ascii="宋体" w:hAnsi="宋体" w:eastAsia="宋体" w:cs="宋体"/>
          <w:b/>
          <w:color w:val="auto"/>
          <w:sz w:val="21"/>
          <w:szCs w:val="21"/>
          <w:highlight w:val="none"/>
          <w:u w:val="single"/>
          <w:lang w:eastAsia="zh-CN"/>
        </w:rPr>
        <w:t>提供备份磋商响应文件），请各供应商按照要求进行。</w:t>
      </w:r>
    </w:p>
    <w:p w14:paraId="3593F199">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三、合格磋商供应商的资格条件：</w:t>
      </w:r>
    </w:p>
    <w:p w14:paraId="67AF65F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color w:val="auto"/>
          <w:sz w:val="21"/>
          <w:szCs w:val="21"/>
          <w:highlight w:val="none"/>
        </w:rPr>
        <w:t>（一）符合《中华人民共和国政府采购法》第二十二条及其他法律、行政法规规定的对投标主体的要求</w:t>
      </w:r>
      <w:r>
        <w:rPr>
          <w:rFonts w:hint="eastAsia" w:ascii="宋体" w:hAnsi="宋体" w:eastAsia="宋体" w:cs="宋体"/>
          <w:b/>
          <w:color w:val="auto"/>
          <w:sz w:val="21"/>
          <w:szCs w:val="21"/>
          <w:highlight w:val="none"/>
          <w:lang w:eastAsia="zh-CN"/>
        </w:rPr>
        <w:t>；未被“信用中国”（www.creditchina.gov.cn）、中国政府采购网（www.ccgp.gov.cn）列入失信被执行人、重大税收违法失信主体、政府采购严重违法失信行为记录名单。</w:t>
      </w:r>
    </w:p>
    <w:p w14:paraId="19490FC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lang w:val="en-US" w:eastAsia="zh-CN"/>
        </w:rPr>
      </w:pPr>
      <w:r>
        <w:rPr>
          <w:rFonts w:hint="eastAsia" w:ascii="宋体" w:hAnsi="宋体" w:eastAsia="宋体" w:cs="宋体"/>
          <w:b/>
          <w:bCs w:val="0"/>
          <w:color w:val="auto"/>
          <w:sz w:val="21"/>
          <w:szCs w:val="21"/>
          <w:highlight w:val="none"/>
          <w:shd w:val="clear" w:color="auto" w:fill="auto"/>
        </w:rPr>
        <w:t>（二）</w:t>
      </w:r>
      <w:r>
        <w:rPr>
          <w:rFonts w:hint="eastAsia" w:ascii="宋体" w:hAnsi="宋体" w:eastAsia="宋体" w:cs="宋体"/>
          <w:b/>
          <w:bCs w:val="0"/>
          <w:color w:val="auto"/>
          <w:sz w:val="21"/>
          <w:szCs w:val="21"/>
          <w:highlight w:val="none"/>
          <w:shd w:val="clear" w:color="auto" w:fill="auto"/>
          <w:lang w:val="en-US" w:eastAsia="zh-CN"/>
        </w:rPr>
        <w:t>本项目供应商特定资格要求</w:t>
      </w:r>
    </w:p>
    <w:p w14:paraId="462A39CE">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shd w:val="clear" w:color="auto" w:fill="auto"/>
          <w:lang w:val="en-US" w:eastAsia="zh-CN"/>
        </w:rPr>
        <w:t>1、</w:t>
      </w:r>
      <w:r>
        <w:rPr>
          <w:rFonts w:hint="eastAsia" w:ascii="宋体" w:hAnsi="宋体" w:eastAsia="宋体" w:cs="宋体"/>
          <w:b/>
          <w:bCs w:val="0"/>
          <w:color w:val="auto"/>
          <w:sz w:val="21"/>
          <w:szCs w:val="21"/>
          <w:highlight w:val="none"/>
          <w:shd w:val="clear" w:color="auto" w:fill="auto"/>
        </w:rPr>
        <w:t>本项</w:t>
      </w:r>
      <w:r>
        <w:rPr>
          <w:rFonts w:hint="eastAsia" w:ascii="宋体" w:hAnsi="宋体" w:eastAsia="宋体" w:cs="宋体"/>
          <w:b/>
          <w:bCs w:val="0"/>
          <w:color w:val="auto"/>
          <w:sz w:val="21"/>
          <w:szCs w:val="21"/>
          <w:highlight w:val="none"/>
        </w:rPr>
        <w:t>目不接受联合体投标。</w:t>
      </w:r>
    </w:p>
    <w:p w14:paraId="5106BCCC">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shd w:val="clear" w:color="auto" w:fill="auto"/>
        </w:rPr>
      </w:pPr>
      <w:r>
        <w:rPr>
          <w:rFonts w:hint="eastAsia" w:ascii="宋体" w:hAnsi="宋体" w:eastAsia="宋体" w:cs="宋体"/>
          <w:b/>
          <w:bCs w:val="0"/>
          <w:color w:val="auto"/>
          <w:sz w:val="21"/>
          <w:szCs w:val="21"/>
          <w:highlight w:val="none"/>
          <w:shd w:val="clear" w:color="auto" w:fill="auto"/>
          <w:lang w:val="en-US" w:eastAsia="zh-CN"/>
        </w:rPr>
        <w:t>2、</w:t>
      </w:r>
      <w:r>
        <w:rPr>
          <w:rFonts w:hint="eastAsia" w:ascii="宋体" w:hAnsi="宋体" w:eastAsia="宋体" w:cs="宋体"/>
          <w:b/>
          <w:bCs w:val="0"/>
          <w:color w:val="auto"/>
          <w:sz w:val="21"/>
          <w:szCs w:val="21"/>
          <w:highlight w:val="none"/>
          <w:shd w:val="clear" w:color="auto" w:fill="auto"/>
        </w:rPr>
        <w:t>落实政府采购政策需满足的资格要求：本项目按照《政府采购促进中小企业发展管理办法》【财库（2020）46号】第七条规定：专门面向中小企业采购。</w:t>
      </w:r>
    </w:p>
    <w:p w14:paraId="6E55B70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val="0"/>
          <w:color w:val="auto"/>
          <w:sz w:val="21"/>
          <w:szCs w:val="21"/>
          <w:highlight w:val="none"/>
        </w:rPr>
      </w:pPr>
      <w:r>
        <w:rPr>
          <w:rFonts w:hint="eastAsia" w:ascii="宋体" w:hAnsi="宋体" w:eastAsia="宋体" w:cs="宋体"/>
          <w:b/>
          <w:bCs w:val="0"/>
          <w:color w:val="auto"/>
          <w:sz w:val="21"/>
          <w:szCs w:val="21"/>
          <w:highlight w:val="none"/>
          <w:lang w:val="en-US" w:eastAsia="zh-CN"/>
        </w:rPr>
        <w:t>（三）法律、行政法规规定的其他条件：单位负责人为同一人或者存在直接控股、管理关系的不同供应商，不得同时参加同一项目磋商；为本项目提供整体设计、规范编制或者项目管理、监理、检测等服务的供应商，不得再参与本项目磋商。（联合体参与磋商的，联合体各方均须满足该条款。）电子交易平台运营机构，以及与该机构有直接控股或者管理关系可能影响采购公正性的任何单位和个人，不得在该平台进行的政府采购项目电子交易中投标、响应和代理政府采购项目。</w:t>
      </w:r>
    </w:p>
    <w:p w14:paraId="3E7910C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w:t>
      </w:r>
      <w:r>
        <w:rPr>
          <w:rFonts w:hint="eastAsia" w:ascii="宋体" w:hAnsi="宋体" w:cs="宋体"/>
          <w:b/>
          <w:bCs/>
          <w:color w:val="auto"/>
          <w:sz w:val="21"/>
          <w:szCs w:val="21"/>
          <w:highlight w:val="none"/>
          <w:lang w:eastAsia="zh-CN"/>
        </w:rPr>
        <w:t>采购文件</w:t>
      </w:r>
      <w:r>
        <w:rPr>
          <w:rFonts w:hint="eastAsia" w:ascii="宋体" w:hAnsi="宋体" w:eastAsia="宋体" w:cs="宋体"/>
          <w:b/>
          <w:bCs/>
          <w:color w:val="auto"/>
          <w:sz w:val="21"/>
          <w:szCs w:val="21"/>
          <w:highlight w:val="none"/>
        </w:rPr>
        <w:t>获取的方式、时间:</w:t>
      </w:r>
    </w:p>
    <w:p w14:paraId="6294FAFE">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color w:val="auto"/>
          <w:sz w:val="21"/>
          <w:szCs w:val="21"/>
          <w:highlight w:val="none"/>
        </w:rPr>
        <w:t>本项目</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实行“</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w:t>
      </w:r>
      <w:r>
        <w:rPr>
          <w:rStyle w:val="25"/>
          <w:rFonts w:hint="eastAsia" w:ascii="宋体" w:hAnsi="宋体" w:eastAsia="宋体" w:cs="宋体"/>
          <w:i w:val="0"/>
          <w:caps w:val="0"/>
          <w:color w:val="auto"/>
          <w:spacing w:val="0"/>
          <w:sz w:val="21"/>
          <w:szCs w:val="21"/>
          <w:highlight w:val="none"/>
        </w:rPr>
        <w:t>（http://zfcg.czt.zj.gov.cn）</w:t>
      </w:r>
      <w:r>
        <w:rPr>
          <w:rFonts w:hint="eastAsia" w:ascii="宋体" w:hAnsi="宋体" w:eastAsia="宋体" w:cs="宋体"/>
          <w:b/>
          <w:color w:val="auto"/>
          <w:sz w:val="21"/>
          <w:szCs w:val="21"/>
          <w:highlight w:val="none"/>
        </w:rPr>
        <w:t>在线获取，不提供</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纸质版。供应商获取</w:t>
      </w:r>
      <w:r>
        <w:rPr>
          <w:rFonts w:hint="eastAsia" w:ascii="宋体" w:hAnsi="宋体" w:cs="宋体"/>
          <w:b/>
          <w:color w:val="auto"/>
          <w:sz w:val="21"/>
          <w:szCs w:val="21"/>
          <w:highlight w:val="none"/>
          <w:lang w:eastAsia="zh-CN"/>
        </w:rPr>
        <w:t>采购文件</w:t>
      </w:r>
      <w:r>
        <w:rPr>
          <w:rFonts w:hint="eastAsia" w:ascii="宋体" w:hAnsi="宋体" w:eastAsia="宋体" w:cs="宋体"/>
          <w:b/>
          <w:color w:val="auto"/>
          <w:sz w:val="21"/>
          <w:szCs w:val="21"/>
          <w:highlight w:val="none"/>
        </w:rPr>
        <w:t>前应先完成“</w:t>
      </w:r>
      <w:r>
        <w:rPr>
          <w:rFonts w:hint="eastAsia" w:ascii="宋体" w:hAnsi="宋体" w:eastAsia="宋体" w:cs="宋体"/>
          <w:b/>
          <w:color w:val="auto"/>
          <w:sz w:val="21"/>
          <w:szCs w:val="21"/>
          <w:highlight w:val="none"/>
          <w:lang w:val="en-US" w:eastAsia="zh-CN"/>
        </w:rPr>
        <w:t>浙江政府采购网</w:t>
      </w:r>
      <w:r>
        <w:rPr>
          <w:rFonts w:hint="eastAsia" w:ascii="宋体" w:hAnsi="宋体" w:eastAsia="宋体" w:cs="宋体"/>
          <w:b/>
          <w:color w:val="auto"/>
          <w:sz w:val="21"/>
          <w:szCs w:val="21"/>
          <w:highlight w:val="none"/>
        </w:rPr>
        <w:t>”的账号注册</w:t>
      </w:r>
      <w:r>
        <w:rPr>
          <w:rFonts w:hint="eastAsia" w:ascii="宋体" w:hAnsi="宋体" w:eastAsia="宋体" w:cs="宋体"/>
          <w:b/>
          <w:color w:val="auto"/>
          <w:sz w:val="21"/>
          <w:szCs w:val="21"/>
          <w:highlight w:val="none"/>
          <w:lang w:eastAsia="zh-CN"/>
        </w:rPr>
        <w:t>。</w:t>
      </w:r>
    </w:p>
    <w:p w14:paraId="60BE56D3">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Style w:val="25"/>
          <w:rFonts w:hint="eastAsia" w:ascii="宋体" w:hAnsi="宋体" w:eastAsia="宋体" w:cs="宋体"/>
          <w:i w:val="0"/>
          <w:caps w:val="0"/>
          <w:color w:val="auto"/>
          <w:spacing w:val="0"/>
          <w:sz w:val="21"/>
          <w:szCs w:val="21"/>
          <w:highlight w:val="none"/>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sz w:val="21"/>
          <w:szCs w:val="21"/>
          <w:highlight w:val="none"/>
          <w:lang w:val="en-US" w:eastAsia="zh-CN"/>
        </w:rPr>
        <w:t>获取</w:t>
      </w:r>
      <w:r>
        <w:rPr>
          <w:rStyle w:val="25"/>
          <w:rFonts w:hint="eastAsia" w:ascii="宋体" w:hAnsi="宋体" w:eastAsia="宋体" w:cs="宋体"/>
          <w:i w:val="0"/>
          <w:caps w:val="0"/>
          <w:color w:val="auto"/>
          <w:spacing w:val="0"/>
          <w:sz w:val="21"/>
          <w:szCs w:val="21"/>
          <w:highlight w:val="none"/>
        </w:rPr>
        <w:t>方式：潜在供应商登陆</w:t>
      </w:r>
      <w:r>
        <w:rPr>
          <w:rStyle w:val="25"/>
          <w:rFonts w:hint="eastAsia" w:ascii="宋体" w:hAnsi="宋体" w:eastAsia="宋体" w:cs="宋体"/>
          <w:i w:val="0"/>
          <w:caps w:val="0"/>
          <w:color w:val="auto"/>
          <w:spacing w:val="0"/>
          <w:sz w:val="21"/>
          <w:szCs w:val="21"/>
          <w:highlight w:val="none"/>
          <w:lang w:val="en-US" w:eastAsia="zh-CN"/>
        </w:rPr>
        <w:t>政府采购</w:t>
      </w:r>
      <w:r>
        <w:rPr>
          <w:rStyle w:val="25"/>
          <w:rFonts w:hint="eastAsia" w:ascii="宋体" w:hAnsi="宋体" w:eastAsia="宋体" w:cs="宋体"/>
          <w:i w:val="0"/>
          <w:caps w:val="0"/>
          <w:color w:val="auto"/>
          <w:spacing w:val="0"/>
          <w:sz w:val="21"/>
          <w:szCs w:val="21"/>
          <w:highlight w:val="none"/>
        </w:rPr>
        <w:t>云平台，在线申请获取</w:t>
      </w:r>
      <w:r>
        <w:rPr>
          <w:rStyle w:val="25"/>
          <w:rFonts w:hint="eastAsia" w:ascii="宋体" w:hAnsi="宋体" w:cs="宋体"/>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（进入“项目采购”应用，在获取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菜单中选择项目，申请获取</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，本项目</w:t>
      </w:r>
      <w:r>
        <w:rPr>
          <w:rStyle w:val="25"/>
          <w:rFonts w:hint="eastAsia" w:ascii="宋体" w:hAnsi="宋体" w:cs="宋体"/>
          <w:b w:val="0"/>
          <w:bCs/>
          <w:i w:val="0"/>
          <w:caps w:val="0"/>
          <w:color w:val="auto"/>
          <w:spacing w:val="0"/>
          <w:sz w:val="21"/>
          <w:szCs w:val="21"/>
          <w:highlight w:val="none"/>
          <w:lang w:eastAsia="zh-CN"/>
        </w:rPr>
        <w:t>采购文件</w:t>
      </w:r>
      <w:r>
        <w:rPr>
          <w:rStyle w:val="25"/>
          <w:rFonts w:hint="eastAsia" w:ascii="宋体" w:hAnsi="宋体" w:eastAsia="宋体" w:cs="宋体"/>
          <w:b w:val="0"/>
          <w:bCs/>
          <w:i w:val="0"/>
          <w:caps w:val="0"/>
          <w:color w:val="auto"/>
          <w:spacing w:val="0"/>
          <w:sz w:val="21"/>
          <w:szCs w:val="21"/>
          <w:highlight w:val="none"/>
        </w:rPr>
        <w:t>不收取工本费；</w:t>
      </w:r>
      <w:r>
        <w:rPr>
          <w:rStyle w:val="25"/>
          <w:rFonts w:hint="eastAsia" w:ascii="宋体" w:hAnsi="宋体" w:eastAsia="宋体" w:cs="宋体"/>
          <w:b w:val="0"/>
          <w:bCs/>
          <w:i w:val="0"/>
          <w:caps w:val="0"/>
          <w:color w:val="auto"/>
          <w:spacing w:val="0"/>
          <w:sz w:val="21"/>
          <w:szCs w:val="21"/>
          <w:highlight w:val="none"/>
          <w:u w:val="single"/>
        </w:rPr>
        <w:t>仅需浏览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的供应商可点击“游客，浏览</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”直接下载</w:t>
      </w:r>
      <w:r>
        <w:rPr>
          <w:rStyle w:val="25"/>
          <w:rFonts w:hint="eastAsia" w:ascii="宋体" w:hAnsi="宋体" w:cs="宋体"/>
          <w:b w:val="0"/>
          <w:bCs/>
          <w:i w:val="0"/>
          <w:caps w:val="0"/>
          <w:color w:val="auto"/>
          <w:spacing w:val="0"/>
          <w:sz w:val="21"/>
          <w:szCs w:val="21"/>
          <w:highlight w:val="none"/>
          <w:u w:val="single"/>
          <w:lang w:eastAsia="zh-CN"/>
        </w:rPr>
        <w:t>采购文件</w:t>
      </w:r>
      <w:r>
        <w:rPr>
          <w:rStyle w:val="25"/>
          <w:rFonts w:hint="eastAsia" w:ascii="宋体" w:hAnsi="宋体" w:eastAsia="宋体" w:cs="宋体"/>
          <w:b w:val="0"/>
          <w:bCs/>
          <w:i w:val="0"/>
          <w:caps w:val="0"/>
          <w:color w:val="auto"/>
          <w:spacing w:val="0"/>
          <w:sz w:val="21"/>
          <w:szCs w:val="21"/>
          <w:highlight w:val="none"/>
          <w:u w:val="single"/>
        </w:rPr>
        <w:t>浏览</w:t>
      </w:r>
      <w:r>
        <w:rPr>
          <w:rStyle w:val="25"/>
          <w:rFonts w:hint="eastAsia" w:ascii="宋体" w:hAnsi="宋体" w:eastAsia="宋体" w:cs="宋体"/>
          <w:b w:val="0"/>
          <w:bCs/>
          <w:i w:val="0"/>
          <w:caps w:val="0"/>
          <w:color w:val="auto"/>
          <w:spacing w:val="0"/>
          <w:sz w:val="21"/>
          <w:szCs w:val="21"/>
          <w:highlight w:val="none"/>
        </w:rPr>
        <w:t>）；</w:t>
      </w:r>
    </w:p>
    <w:p w14:paraId="28097A7A">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color w:val="auto"/>
          <w:sz w:val="21"/>
          <w:szCs w:val="21"/>
          <w:highlight w:val="none"/>
          <w:lang w:eastAsia="zh-CN"/>
        </w:rPr>
      </w:pPr>
      <w:r>
        <w:rPr>
          <w:rStyle w:val="25"/>
          <w:rFonts w:hint="eastAsia" w:ascii="宋体" w:hAnsi="宋体" w:eastAsia="宋体" w:cs="宋体"/>
          <w:i w:val="0"/>
          <w:caps w:val="0"/>
          <w:color w:val="auto"/>
          <w:spacing w:val="0"/>
          <w:sz w:val="21"/>
          <w:szCs w:val="21"/>
          <w:highlight w:val="none"/>
          <w:lang w:val="en-US" w:eastAsia="zh-CN"/>
        </w:rPr>
        <w:t>3、</w:t>
      </w:r>
      <w:r>
        <w:rPr>
          <w:rFonts w:hint="eastAsia" w:ascii="宋体" w:hAnsi="宋体" w:eastAsia="宋体" w:cs="宋体"/>
          <w:b/>
          <w:bCs/>
          <w:color w:val="auto"/>
          <w:sz w:val="21"/>
          <w:szCs w:val="21"/>
          <w:highlight w:val="none"/>
        </w:rPr>
        <w:t>获取（公告）时间</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自本公告发布之日起至投标文件递交截止时间止；</w:t>
      </w:r>
    </w:p>
    <w:p w14:paraId="501EA068">
      <w:pPr>
        <w:keepNext w:val="0"/>
        <w:keepLines w:val="0"/>
        <w:pageBreakBefore w:val="0"/>
        <w:widowControl w:val="0"/>
        <w:numPr>
          <w:ilvl w:val="0"/>
          <w:numId w:val="0"/>
        </w:numPr>
        <w:kinsoku/>
        <w:wordWrap w:val="0"/>
        <w:overflowPunct/>
        <w:topLinePunct w:val="0"/>
        <w:autoSpaceDE/>
        <w:autoSpaceDN/>
        <w:bidi w:val="0"/>
        <w:adjustRightInd/>
        <w:snapToGrid/>
        <w:spacing w:beforeAutospacing="0" w:afterAutospacing="0" w:line="360" w:lineRule="auto"/>
        <w:ind w:firstLine="420" w:firstLineChars="200"/>
        <w:textAlignment w:val="auto"/>
        <w:rPr>
          <w:rFonts w:hint="eastAsia" w:ascii="宋体" w:hAnsi="宋体" w:eastAsia="宋体" w:cs="宋体"/>
          <w:b w:val="0"/>
          <w:bCs w:val="0"/>
          <w:i w:val="0"/>
          <w:caps w:val="0"/>
          <w:color w:val="auto"/>
          <w:spacing w:val="0"/>
          <w:sz w:val="21"/>
          <w:szCs w:val="21"/>
          <w:highlight w:val="none"/>
        </w:rPr>
      </w:pPr>
      <w:r>
        <w:rPr>
          <w:rFonts w:hint="eastAsia" w:ascii="宋体" w:hAnsi="宋体" w:eastAsia="宋体" w:cs="宋体"/>
          <w:b w:val="0"/>
          <w:bCs w:val="0"/>
          <w:color w:val="auto"/>
          <w:sz w:val="21"/>
          <w:szCs w:val="21"/>
          <w:highlight w:val="none"/>
          <w:lang w:val="en-US" w:eastAsia="zh-CN"/>
        </w:rPr>
        <w:t>4、</w:t>
      </w:r>
      <w:r>
        <w:rPr>
          <w:rStyle w:val="25"/>
          <w:rFonts w:hint="eastAsia" w:ascii="宋体" w:hAnsi="宋体" w:eastAsia="宋体" w:cs="宋体"/>
          <w:b w:val="0"/>
          <w:bCs w:val="0"/>
          <w:i w:val="0"/>
          <w:caps w:val="0"/>
          <w:color w:val="auto"/>
          <w:spacing w:val="0"/>
          <w:sz w:val="21"/>
          <w:szCs w:val="21"/>
          <w:highlight w:val="none"/>
        </w:rPr>
        <w:t>供应商网上报名操作指南：“浙江政府采购网-办事指南-省采中心-网上报名”（http://zfcg.czt.zj.gov.cn/bs_other/2018-03-30/12002.html）。</w:t>
      </w:r>
    </w:p>
    <w:p w14:paraId="2DF76DC2">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0" w:firstLineChars="200"/>
        <w:textAlignment w:val="auto"/>
        <w:rPr>
          <w:rFonts w:hint="eastAsia" w:ascii="宋体" w:hAnsi="宋体" w:eastAsia="宋体" w:cs="宋体"/>
          <w:b w:val="0"/>
          <w:bCs w:val="0"/>
          <w:i w:val="0"/>
          <w:caps w:val="0"/>
          <w:color w:val="auto"/>
          <w:spacing w:val="0"/>
          <w:sz w:val="21"/>
          <w:szCs w:val="21"/>
          <w:highlight w:val="none"/>
        </w:rPr>
      </w:pPr>
      <w:r>
        <w:rPr>
          <w:rStyle w:val="25"/>
          <w:rFonts w:hint="eastAsia" w:ascii="宋体" w:hAnsi="宋体" w:eastAsia="宋体" w:cs="宋体"/>
          <w:b w:val="0"/>
          <w:bCs w:val="0"/>
          <w:i w:val="0"/>
          <w:caps w:val="0"/>
          <w:color w:val="auto"/>
          <w:spacing w:val="0"/>
          <w:sz w:val="21"/>
          <w:szCs w:val="21"/>
          <w:highlight w:val="none"/>
          <w:lang w:val="en-US" w:eastAsia="zh-CN"/>
        </w:rPr>
        <w:t>5</w:t>
      </w:r>
      <w:r>
        <w:rPr>
          <w:rStyle w:val="25"/>
          <w:rFonts w:hint="eastAsia" w:ascii="宋体" w:hAnsi="宋体" w:eastAsia="宋体" w:cs="宋体"/>
          <w:b w:val="0"/>
          <w:bCs w:val="0"/>
          <w:i w:val="0"/>
          <w:caps w:val="0"/>
          <w:color w:val="auto"/>
          <w:spacing w:val="0"/>
          <w:sz w:val="21"/>
          <w:szCs w:val="21"/>
          <w:highlight w:val="none"/>
        </w:rPr>
        <w:t>、供应商获取</w:t>
      </w:r>
      <w:r>
        <w:rPr>
          <w:rStyle w:val="25"/>
          <w:rFonts w:hint="eastAsia" w:cs="宋体"/>
          <w:b w:val="0"/>
          <w:bCs w:val="0"/>
          <w:i w:val="0"/>
          <w:caps w:val="0"/>
          <w:color w:val="auto"/>
          <w:spacing w:val="0"/>
          <w:sz w:val="21"/>
          <w:szCs w:val="21"/>
          <w:highlight w:val="none"/>
          <w:lang w:eastAsia="zh-CN"/>
        </w:rPr>
        <w:t>采购文件</w:t>
      </w:r>
      <w:r>
        <w:rPr>
          <w:rStyle w:val="25"/>
          <w:rFonts w:hint="eastAsia" w:ascii="宋体" w:hAnsi="宋体" w:eastAsia="宋体" w:cs="宋体"/>
          <w:b w:val="0"/>
          <w:bCs w:val="0"/>
          <w:i w:val="0"/>
          <w:caps w:val="0"/>
          <w:color w:val="auto"/>
          <w:spacing w:val="0"/>
          <w:sz w:val="21"/>
          <w:szCs w:val="21"/>
          <w:highlight w:val="none"/>
        </w:rPr>
        <w:t>时须提交的文件资料：无；</w:t>
      </w:r>
    </w:p>
    <w:p w14:paraId="4D64A43A">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Fonts w:hint="eastAsia" w:ascii="宋体" w:hAnsi="宋体" w:eastAsia="宋体" w:cs="宋体"/>
          <w:b w:val="0"/>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lang w:val="en-US" w:eastAsia="zh-CN"/>
        </w:rPr>
        <w:t>6</w:t>
      </w:r>
      <w:r>
        <w:rPr>
          <w:rStyle w:val="25"/>
          <w:rFonts w:hint="eastAsia" w:ascii="宋体" w:hAnsi="宋体" w:eastAsia="宋体" w:cs="宋体"/>
          <w:i w:val="0"/>
          <w:caps w:val="0"/>
          <w:color w:val="auto"/>
          <w:spacing w:val="0"/>
          <w:sz w:val="21"/>
          <w:szCs w:val="21"/>
          <w:highlight w:val="none"/>
        </w:rPr>
        <w:t>、提示：</w:t>
      </w:r>
      <w:r>
        <w:rPr>
          <w:rStyle w:val="25"/>
          <w:rFonts w:hint="eastAsia" w:ascii="宋体" w:hAnsi="宋体" w:eastAsia="宋体" w:cs="宋体"/>
          <w:i w:val="0"/>
          <w:caps w:val="0"/>
          <w:color w:val="auto"/>
          <w:spacing w:val="0"/>
          <w:sz w:val="21"/>
          <w:szCs w:val="21"/>
          <w:highlight w:val="none"/>
          <w:lang w:eastAsia="zh-CN"/>
        </w:rPr>
        <w:t>竞争性磋商公告</w:t>
      </w:r>
      <w:r>
        <w:rPr>
          <w:rStyle w:val="25"/>
          <w:rFonts w:hint="eastAsia" w:ascii="宋体" w:hAnsi="宋体" w:eastAsia="宋体" w:cs="宋体"/>
          <w:i w:val="0"/>
          <w:caps w:val="0"/>
          <w:color w:val="auto"/>
          <w:spacing w:val="0"/>
          <w:sz w:val="21"/>
          <w:szCs w:val="21"/>
          <w:highlight w:val="none"/>
        </w:rPr>
        <w:t>附件内的</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（或采购需求）仅供阅览使用，供应商只有在“政府采购云平台”完成获取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申请并下载了</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后才视作依法获取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（法律法规所指的供应商获取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时间以供应商完成获取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申请后下载</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的时间为准）。</w:t>
      </w:r>
    </w:p>
    <w:p w14:paraId="57754F1D">
      <w:pPr>
        <w:pStyle w:val="19"/>
        <w:keepNext w:val="0"/>
        <w:keepLines w:val="0"/>
        <w:pageBreakBefore w:val="0"/>
        <w:widowControl w:val="0"/>
        <w:suppressLineNumbers w:val="0"/>
        <w:kinsoku/>
        <w:wordWrap w:val="0"/>
        <w:overflowPunct/>
        <w:topLinePunct w:val="0"/>
        <w:autoSpaceDE/>
        <w:autoSpaceDN/>
        <w:bidi w:val="0"/>
        <w:adjustRightInd/>
        <w:snapToGrid/>
        <w:spacing w:before="0" w:beforeAutospacing="0" w:after="0" w:afterAutospacing="0" w:line="360" w:lineRule="auto"/>
        <w:ind w:left="0" w:firstLine="422" w:firstLineChars="200"/>
        <w:textAlignment w:val="auto"/>
        <w:rPr>
          <w:rStyle w:val="25"/>
          <w:rFonts w:hint="eastAsia" w:ascii="宋体" w:hAnsi="宋体" w:eastAsia="宋体" w:cs="宋体"/>
          <w:i w:val="0"/>
          <w:caps w:val="0"/>
          <w:color w:val="auto"/>
          <w:spacing w:val="0"/>
          <w:sz w:val="21"/>
          <w:szCs w:val="21"/>
          <w:highlight w:val="none"/>
        </w:rPr>
      </w:pPr>
      <w:r>
        <w:rPr>
          <w:rStyle w:val="25"/>
          <w:rFonts w:hint="eastAsia" w:ascii="宋体" w:hAnsi="宋体" w:eastAsia="宋体" w:cs="宋体"/>
          <w:i w:val="0"/>
          <w:caps w:val="0"/>
          <w:color w:val="auto"/>
          <w:spacing w:val="0"/>
          <w:sz w:val="21"/>
          <w:szCs w:val="21"/>
          <w:highlight w:val="none"/>
        </w:rPr>
        <w:t>注：请供应商按上述要求获取</w:t>
      </w:r>
      <w:r>
        <w:rPr>
          <w:rStyle w:val="25"/>
          <w:rFonts w:hint="eastAsia" w:cs="宋体"/>
          <w:i w:val="0"/>
          <w:caps w:val="0"/>
          <w:color w:val="auto"/>
          <w:spacing w:val="0"/>
          <w:sz w:val="21"/>
          <w:szCs w:val="21"/>
          <w:highlight w:val="none"/>
          <w:lang w:eastAsia="zh-CN"/>
        </w:rPr>
        <w:t>采购文件</w:t>
      </w:r>
      <w:r>
        <w:rPr>
          <w:rStyle w:val="25"/>
          <w:rFonts w:hint="eastAsia" w:ascii="宋体" w:hAnsi="宋体" w:eastAsia="宋体" w:cs="宋体"/>
          <w:i w:val="0"/>
          <w:caps w:val="0"/>
          <w:color w:val="auto"/>
          <w:spacing w:val="0"/>
          <w:sz w:val="21"/>
          <w:szCs w:val="21"/>
          <w:highlight w:val="none"/>
        </w:rPr>
        <w:t>，如未在“</w:t>
      </w:r>
      <w:r>
        <w:rPr>
          <w:rStyle w:val="25"/>
          <w:rFonts w:hint="eastAsia" w:ascii="宋体" w:hAnsi="宋体" w:eastAsia="宋体" w:cs="宋体"/>
          <w:i w:val="0"/>
          <w:caps w:val="0"/>
          <w:color w:val="auto"/>
          <w:spacing w:val="0"/>
          <w:sz w:val="21"/>
          <w:szCs w:val="21"/>
          <w:highlight w:val="none"/>
          <w:lang w:val="en-US" w:eastAsia="zh-CN"/>
        </w:rPr>
        <w:t>政府采购云平台</w:t>
      </w:r>
      <w:r>
        <w:rPr>
          <w:rStyle w:val="25"/>
          <w:rFonts w:hint="eastAsia" w:ascii="宋体" w:hAnsi="宋体" w:eastAsia="宋体" w:cs="宋体"/>
          <w:i w:val="0"/>
          <w:caps w:val="0"/>
          <w:color w:val="auto"/>
          <w:spacing w:val="0"/>
          <w:sz w:val="21"/>
          <w:szCs w:val="21"/>
          <w:highlight w:val="none"/>
        </w:rPr>
        <w:t>”系统内完成相关流程，引起的</w:t>
      </w:r>
      <w:r>
        <w:rPr>
          <w:rStyle w:val="25"/>
          <w:rFonts w:hint="eastAsia" w:ascii="宋体" w:hAnsi="宋体" w:eastAsia="宋体" w:cs="宋体"/>
          <w:i w:val="0"/>
          <w:caps w:val="0"/>
          <w:color w:val="auto"/>
          <w:spacing w:val="0"/>
          <w:sz w:val="21"/>
          <w:szCs w:val="21"/>
          <w:highlight w:val="none"/>
          <w:lang w:val="en-US" w:eastAsia="zh-CN"/>
        </w:rPr>
        <w:t>投标</w:t>
      </w:r>
      <w:r>
        <w:rPr>
          <w:rStyle w:val="25"/>
          <w:rFonts w:hint="eastAsia" w:ascii="宋体" w:hAnsi="宋体" w:eastAsia="宋体" w:cs="宋体"/>
          <w:i w:val="0"/>
          <w:caps w:val="0"/>
          <w:color w:val="auto"/>
          <w:spacing w:val="0"/>
          <w:sz w:val="21"/>
          <w:szCs w:val="21"/>
          <w:highlight w:val="none"/>
        </w:rPr>
        <w:t>无效责任自负。</w:t>
      </w:r>
    </w:p>
    <w:p w14:paraId="7E06604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五、招标答疑会</w:t>
      </w:r>
    </w:p>
    <w:p w14:paraId="09D1FB6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p w14:paraId="5C11EE6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六、</w:t>
      </w:r>
      <w:r>
        <w:rPr>
          <w:rFonts w:hint="eastAsia" w:ascii="宋体" w:hAnsi="宋体" w:eastAsia="宋体" w:cs="宋体"/>
          <w:b/>
          <w:bCs/>
          <w:color w:val="auto"/>
          <w:sz w:val="21"/>
          <w:szCs w:val="21"/>
          <w:highlight w:val="none"/>
          <w:lang w:eastAsia="zh-CN"/>
        </w:rPr>
        <w:t>响应文件递交</w:t>
      </w:r>
      <w:r>
        <w:rPr>
          <w:rFonts w:hint="eastAsia" w:ascii="宋体" w:hAnsi="宋体" w:eastAsia="宋体" w:cs="宋体"/>
          <w:b/>
          <w:bCs/>
          <w:color w:val="auto"/>
          <w:sz w:val="21"/>
          <w:szCs w:val="21"/>
          <w:highlight w:val="none"/>
        </w:rPr>
        <w:t>截止</w:t>
      </w:r>
      <w:r>
        <w:rPr>
          <w:rFonts w:hint="eastAsia" w:ascii="宋体" w:hAnsi="宋体" w:eastAsia="宋体" w:cs="宋体"/>
          <w:b/>
          <w:bCs/>
          <w:color w:val="auto"/>
          <w:sz w:val="21"/>
          <w:szCs w:val="21"/>
          <w:highlight w:val="none"/>
          <w:lang w:eastAsia="zh-CN"/>
        </w:rPr>
        <w:t>时间</w:t>
      </w:r>
      <w:r>
        <w:rPr>
          <w:rFonts w:hint="eastAsia" w:ascii="宋体" w:hAnsi="宋体" w:eastAsia="宋体" w:cs="宋体"/>
          <w:b/>
          <w:bCs/>
          <w:color w:val="auto"/>
          <w:sz w:val="21"/>
          <w:szCs w:val="21"/>
          <w:highlight w:val="none"/>
        </w:rPr>
        <w:t>及</w:t>
      </w:r>
      <w:r>
        <w:rPr>
          <w:rFonts w:hint="eastAsia" w:ascii="宋体" w:hAnsi="宋体" w:eastAsia="宋体" w:cs="宋体"/>
          <w:b/>
          <w:bCs/>
          <w:color w:val="auto"/>
          <w:sz w:val="21"/>
          <w:szCs w:val="21"/>
          <w:highlight w:val="none"/>
          <w:lang w:eastAsia="zh-CN"/>
        </w:rPr>
        <w:t>磋商开始</w:t>
      </w:r>
      <w:r>
        <w:rPr>
          <w:rFonts w:hint="eastAsia" w:ascii="宋体" w:hAnsi="宋体" w:eastAsia="宋体" w:cs="宋体"/>
          <w:b/>
          <w:bCs/>
          <w:color w:val="auto"/>
          <w:sz w:val="21"/>
          <w:szCs w:val="21"/>
          <w:highlight w:val="none"/>
        </w:rPr>
        <w:t>时间、地点：</w:t>
      </w:r>
    </w:p>
    <w:p w14:paraId="78C1DEE8">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w:t>
      </w:r>
      <w:r>
        <w:rPr>
          <w:rFonts w:hint="eastAsia" w:ascii="宋体" w:hAnsi="宋体" w:cs="宋体"/>
          <w:b/>
          <w:bCs/>
          <w:color w:val="auto"/>
          <w:sz w:val="21"/>
          <w:szCs w:val="21"/>
          <w:highlight w:val="none"/>
          <w:lang w:val="en-US" w:eastAsia="zh-CN"/>
        </w:rPr>
        <w:t>递交</w:t>
      </w:r>
      <w:r>
        <w:rPr>
          <w:rFonts w:hint="eastAsia" w:ascii="宋体" w:hAnsi="宋体" w:eastAsia="宋体" w:cs="宋体"/>
          <w:b/>
          <w:bCs/>
          <w:color w:val="auto"/>
          <w:sz w:val="21"/>
          <w:szCs w:val="21"/>
          <w:highlight w:val="none"/>
          <w:lang w:val="en-US" w:eastAsia="zh-CN"/>
        </w:rPr>
        <w:t>磋商</w:t>
      </w:r>
      <w:r>
        <w:rPr>
          <w:rFonts w:hint="eastAsia" w:ascii="宋体" w:hAnsi="宋体" w:cs="宋体"/>
          <w:b/>
          <w:bCs/>
          <w:color w:val="auto"/>
          <w:sz w:val="21"/>
          <w:szCs w:val="21"/>
          <w:highlight w:val="none"/>
          <w:lang w:val="en-US" w:eastAsia="zh-CN"/>
        </w:rPr>
        <w:t>响应文件</w:t>
      </w:r>
      <w:r>
        <w:rPr>
          <w:rFonts w:hint="eastAsia" w:ascii="宋体" w:hAnsi="宋体" w:eastAsia="宋体" w:cs="宋体"/>
          <w:b/>
          <w:bCs/>
          <w:color w:val="auto"/>
          <w:sz w:val="21"/>
          <w:szCs w:val="21"/>
          <w:highlight w:val="none"/>
        </w:rPr>
        <w:t>截止时间</w:t>
      </w:r>
      <w:r>
        <w:rPr>
          <w:rFonts w:hint="eastAsia" w:ascii="宋体" w:hAnsi="宋体" w:eastAsia="宋体" w:cs="宋体"/>
          <w:b/>
          <w:bCs/>
          <w:color w:val="auto"/>
          <w:sz w:val="21"/>
          <w:szCs w:val="21"/>
          <w:highlight w:val="none"/>
          <w:lang w:eastAsia="zh-CN"/>
        </w:rPr>
        <w:t>与地点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日上午09:00</w:t>
      </w:r>
      <w:r>
        <w:rPr>
          <w:rFonts w:hint="eastAsia" w:ascii="宋体" w:hAnsi="宋体" w:eastAsia="宋体" w:cs="宋体"/>
          <w:color w:val="auto"/>
          <w:sz w:val="21"/>
          <w:szCs w:val="21"/>
          <w:highlight w:val="none"/>
          <w:lang w:eastAsia="zh-CN"/>
        </w:rPr>
        <w:t xml:space="preserve">整，地点：通过“政府采购云平台（www.zcygov.cn）”实行在线投标响应   </w:t>
      </w:r>
    </w:p>
    <w:p w14:paraId="3B5F0154">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时间</w:t>
      </w:r>
      <w:r>
        <w:rPr>
          <w:rFonts w:hint="eastAsia" w:ascii="宋体" w:hAnsi="宋体" w:eastAsia="宋体" w:cs="宋体"/>
          <w:b/>
          <w:bCs/>
          <w:color w:val="auto"/>
          <w:sz w:val="21"/>
          <w:szCs w:val="21"/>
          <w:highlight w:val="none"/>
          <w:lang w:eastAsia="zh-CN"/>
        </w:rPr>
        <w:t>及地点</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日上午09:00</w:t>
      </w:r>
      <w:r>
        <w:rPr>
          <w:rFonts w:hint="eastAsia" w:ascii="宋体" w:hAnsi="宋体" w:eastAsia="宋体" w:cs="宋体"/>
          <w:color w:val="auto"/>
          <w:sz w:val="21"/>
          <w:szCs w:val="21"/>
          <w:highlight w:val="none"/>
          <w:lang w:eastAsia="zh-CN"/>
        </w:rPr>
        <w:t>整，地点：通过“政府采购云平台（www.zcygov.cn）”实行在线投标响应</w:t>
      </w:r>
    </w:p>
    <w:p w14:paraId="20E6F28F">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、解密截止时间</w:t>
      </w: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eastAsia="zh-CN"/>
        </w:rPr>
        <w:t>2025年  月  日上午09:30</w:t>
      </w:r>
      <w:r>
        <w:rPr>
          <w:rFonts w:hint="eastAsia" w:ascii="宋体" w:hAnsi="宋体" w:eastAsia="宋体" w:cs="宋体"/>
          <w:color w:val="auto"/>
          <w:sz w:val="21"/>
          <w:szCs w:val="21"/>
          <w:highlight w:val="none"/>
          <w:lang w:eastAsia="zh-CN"/>
        </w:rPr>
        <w:t>整</w:t>
      </w:r>
    </w:p>
    <w:p w14:paraId="1886B5D2">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color w:val="auto"/>
          <w:kern w:val="2"/>
          <w:sz w:val="21"/>
          <w:szCs w:val="21"/>
          <w:highlight w:val="none"/>
          <w:lang w:val="en-US" w:eastAsia="zh-CN" w:bidi="ar-SA"/>
        </w:rPr>
      </w:pPr>
      <w:r>
        <w:rPr>
          <w:rFonts w:hint="eastAsia" w:ascii="宋体" w:hAnsi="宋体" w:eastAsia="宋体" w:cs="宋体"/>
          <w:b/>
          <w:color w:val="auto"/>
          <w:kern w:val="2"/>
          <w:sz w:val="21"/>
          <w:szCs w:val="21"/>
          <w:highlight w:val="none"/>
          <w:lang w:val="en-US" w:eastAsia="zh-CN" w:bidi="ar-SA"/>
        </w:rPr>
        <w:t>七、在线投标响应（电子投标）说明</w:t>
      </w:r>
    </w:p>
    <w:p w14:paraId="4B632F88">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1、本项目通过“政府采购云平台（www.zcygov.cn）”实行在线投标响应（电子投标），供应商应先安装“政采云电子投标客户端”，并按照本</w:t>
      </w:r>
      <w:r>
        <w:rPr>
          <w:rFonts w:hint="eastAsia" w:hAnsi="宋体" w:cs="宋体"/>
          <w:b/>
          <w:bCs/>
          <w:color w:val="auto"/>
          <w:kern w:val="0"/>
          <w:sz w:val="21"/>
          <w:szCs w:val="21"/>
          <w:highlight w:val="none"/>
          <w:lang w:val="en-US" w:eastAsia="zh-CN" w:bidi="ar-SA"/>
        </w:rPr>
        <w:t>采购文件</w:t>
      </w:r>
      <w:r>
        <w:rPr>
          <w:rFonts w:hint="eastAsia" w:ascii="宋体" w:hAnsi="宋体" w:eastAsia="宋体" w:cs="宋体"/>
          <w:b/>
          <w:bCs/>
          <w:color w:val="auto"/>
          <w:kern w:val="0"/>
          <w:sz w:val="21"/>
          <w:szCs w:val="21"/>
          <w:highlight w:val="none"/>
          <w:lang w:val="en-US" w:eastAsia="zh-CN" w:bidi="ar-SA"/>
        </w:rPr>
        <w:t>和“政府采购云平台”的要求，通过“政采云电子投标客户端”编制并加密磋商响应文件。</w:t>
      </w:r>
      <w:r>
        <w:rPr>
          <w:rFonts w:hint="eastAsia" w:ascii="宋体" w:hAnsi="宋体" w:eastAsia="宋体" w:cs="宋体"/>
          <w:color w:val="auto"/>
          <w:sz w:val="21"/>
          <w:szCs w:val="21"/>
          <w:highlight w:val="none"/>
        </w:rPr>
        <w:t>▲</w:t>
      </w:r>
      <w:r>
        <w:rPr>
          <w:rFonts w:hint="eastAsia" w:ascii="宋体" w:hAnsi="宋体" w:eastAsia="宋体" w:cs="宋体"/>
          <w:b/>
          <w:bCs/>
          <w:color w:val="auto"/>
          <w:kern w:val="0"/>
          <w:sz w:val="21"/>
          <w:szCs w:val="21"/>
          <w:highlight w:val="none"/>
          <w:lang w:val="en-US" w:eastAsia="zh-CN" w:bidi="ar-SA"/>
        </w:rPr>
        <w:t>供应商未按规定加密的磋商响应文件，“政府采购云平台”将予以拒收。</w:t>
      </w:r>
    </w:p>
    <w:p w14:paraId="2B181A11">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政采云电子投标客户端”请自行前往“浙江政府采购网-下载专区-电子交易客户端”进行下载；电子投标具体操作流程详见《供应商项目采购-电子招投标操作指南》；通过“政府采购云平台”参与在线投标时如遇平台技术问题详询95763。</w:t>
      </w:r>
      <w:bookmarkStart w:id="2" w:name="_GoBack"/>
      <w:bookmarkEnd w:id="2"/>
    </w:p>
    <w:p w14:paraId="40F8DE65">
      <w:pPr>
        <w:pStyle w:val="53"/>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2、为确保网上操作合法、有效和安全，投标供应商应当在磋商截止时间前完成在“政府采购云平台”的身份认证，确保在电子投标过程中能够对相关数据电文进行加密和使用电子签章。使用“政采云电子投标客户端”需要提前申领CA数字证书，申领流程请自行前往“浙江政府采购网-下载专区-电子交易客户端-</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"http://zfcg.czt.zj.gov.cn/bidClientTemplate/2019-05-27/12945.html" \o "CA驱动和申领流程"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CA驱动和申领流程</w:t>
      </w:r>
      <w:r>
        <w:rPr>
          <w:rFonts w:hint="eastAsia" w:ascii="宋体" w:hAnsi="宋体" w:eastAsia="宋体" w:cs="宋体"/>
          <w:b/>
          <w:bCs/>
          <w:color w:val="auto"/>
          <w:kern w:val="0"/>
          <w:sz w:val="21"/>
          <w:szCs w:val="21"/>
          <w:highlight w:val="none"/>
          <w:lang w:val="en-US" w:eastAsia="zh-CN" w:bidi="ar-SA"/>
        </w:rPr>
        <w:fldChar w:fldCharType="end"/>
      </w:r>
      <w:r>
        <w:rPr>
          <w:rFonts w:hint="eastAsia" w:ascii="宋体" w:hAnsi="宋体" w:eastAsia="宋体" w:cs="宋体"/>
          <w:b/>
          <w:bCs/>
          <w:color w:val="auto"/>
          <w:kern w:val="0"/>
          <w:sz w:val="21"/>
          <w:szCs w:val="21"/>
          <w:highlight w:val="none"/>
          <w:lang w:val="en-US" w:eastAsia="zh-CN" w:bidi="ar-SA"/>
        </w:rPr>
        <w:t>”进行查阅；</w:t>
      </w:r>
    </w:p>
    <w:p w14:paraId="235B700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3、供应商通过政府采购云平台电子投标工具制作磋商响应文件，电子投标工具请供应商自行前往浙江省政府采购网下载并安装，（下载网址：https://zfcg.czt.zj.gov.cn/bidClientTemplate/2021-11-01/12975.html?utm=web-government-front.a2eab82.0.0.19c58540c14611ed94855fb6758c26ac），电子投标具体流程文档详见网址：</w:t>
      </w:r>
      <w:r>
        <w:rPr>
          <w:rFonts w:hint="eastAsia" w:ascii="宋体" w:hAnsi="宋体" w:eastAsia="宋体" w:cs="宋体"/>
          <w:b/>
          <w:bCs/>
          <w:color w:val="auto"/>
          <w:kern w:val="0"/>
          <w:sz w:val="21"/>
          <w:szCs w:val="21"/>
          <w:highlight w:val="none"/>
          <w:lang w:val="en-US" w:eastAsia="zh-CN" w:bidi="ar-SA"/>
        </w:rPr>
        <w:fldChar w:fldCharType="begin"/>
      </w:r>
      <w:r>
        <w:rPr>
          <w:rFonts w:hint="eastAsia" w:ascii="宋体" w:hAnsi="宋体" w:eastAsia="宋体" w:cs="宋体"/>
          <w:b/>
          <w:bCs/>
          <w:color w:val="auto"/>
          <w:kern w:val="0"/>
          <w:sz w:val="21"/>
          <w:szCs w:val="21"/>
          <w:highlight w:val="none"/>
          <w:lang w:val="en-US" w:eastAsia="zh-CN" w:bidi="ar-SA"/>
        </w:rPr>
        <w:instrText xml:space="preserve"> HYPERLINK "https://service.zcygov.cn/#/knowledges/CW1EtGwBFdiHxlNd6I3m/6IMVAG0BFdiHx" </w:instrText>
      </w:r>
      <w:r>
        <w:rPr>
          <w:rFonts w:hint="eastAsia" w:ascii="宋体" w:hAnsi="宋体" w:eastAsia="宋体" w:cs="宋体"/>
          <w:b/>
          <w:bCs/>
          <w:color w:val="auto"/>
          <w:kern w:val="0"/>
          <w:sz w:val="21"/>
          <w:szCs w:val="21"/>
          <w:highlight w:val="none"/>
          <w:lang w:val="en-US" w:eastAsia="zh-CN" w:bidi="ar-SA"/>
        </w:rPr>
        <w:fldChar w:fldCharType="separate"/>
      </w:r>
      <w:r>
        <w:rPr>
          <w:rFonts w:hint="eastAsia" w:ascii="宋体" w:hAnsi="宋体" w:eastAsia="宋体" w:cs="宋体"/>
          <w:b/>
          <w:bCs/>
          <w:color w:val="auto"/>
          <w:kern w:val="0"/>
          <w:sz w:val="21"/>
          <w:szCs w:val="21"/>
          <w:highlight w:val="none"/>
          <w:lang w:val="en-US" w:eastAsia="zh-CN" w:bidi="ar-SA"/>
        </w:rPr>
        <w:t>https://service.zcygov.cn/#/knowledges/CW1EtGwBFdiHxlNd6I3m/6IMVAG0BFdiHx</w:t>
      </w:r>
      <w:r>
        <w:rPr>
          <w:rFonts w:hint="eastAsia" w:ascii="宋体" w:hAnsi="宋体" w:eastAsia="宋体" w:cs="宋体"/>
          <w:b/>
          <w:bCs/>
          <w:color w:val="auto"/>
          <w:kern w:val="0"/>
          <w:sz w:val="21"/>
          <w:szCs w:val="21"/>
          <w:highlight w:val="none"/>
          <w:lang w:val="en-US" w:eastAsia="zh-CN" w:bidi="ar-SA"/>
        </w:rPr>
        <w:fldChar w:fldCharType="end"/>
      </w:r>
    </w:p>
    <w:p w14:paraId="5DB48992">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lNdQ8Na?keyword=%E6%8A%95%E6%A0%87。</w:t>
      </w:r>
    </w:p>
    <w:p w14:paraId="70E9080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4、投标供应商应当在磋商截止时间前，将生成的“电子加密磋商响应文件”上传递交至“政府采购云平台”。磋商截止时间前可以补充、修改或者撤回电子磋商响应文件。补充或者修改电子磋商响应文件的，应当先行撤回原文件，补充、修改后重新传输递交。磋商截止时间前未完成传输的，视为撤回磋商响应文件。</w:t>
      </w:r>
    </w:p>
    <w:p w14:paraId="5991FA3F">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5、供应商同时还可以提供经政采云平台加密处理的、</w:t>
      </w:r>
      <w:r>
        <w:rPr>
          <w:rFonts w:hint="eastAsia" w:ascii="宋体" w:hAnsi="宋体" w:eastAsia="宋体" w:cs="宋体"/>
          <w:b/>
          <w:bCs/>
          <w:color w:val="auto"/>
          <w:kern w:val="2"/>
          <w:sz w:val="21"/>
          <w:szCs w:val="21"/>
          <w:highlight w:val="none"/>
          <w:lang w:val="en-US" w:eastAsia="zh-CN" w:bidi="ar-SA"/>
        </w:rPr>
        <w:t>以介质（U盘）存储的数据电文形式的备份</w:t>
      </w:r>
      <w:r>
        <w:rPr>
          <w:rFonts w:hint="eastAsia" w:ascii="宋体" w:hAnsi="宋体" w:eastAsia="宋体" w:cs="宋体"/>
          <w:b/>
          <w:bCs/>
          <w:color w:val="auto"/>
          <w:kern w:val="0"/>
          <w:sz w:val="21"/>
          <w:szCs w:val="21"/>
          <w:highlight w:val="none"/>
          <w:lang w:val="en-US" w:eastAsia="zh-CN" w:bidi="ar-SA"/>
        </w:rPr>
        <w:t>磋商响应文件。备份磋商响应文件应当在磋商截止时间前按要求密封</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highlight w:val="none"/>
        </w:rPr>
        <w:t>备份磋商响应文件在密封袋的封口处应有磋商供应商公章或磋商授权委托代理人签字。封皮上写明项目编号、标段、招标项目名称、供应商名称，并注明“</w:t>
      </w:r>
      <w:r>
        <w:rPr>
          <w:rFonts w:hint="eastAsia" w:ascii="宋体" w:hAnsi="宋体" w:eastAsia="宋体" w:cs="宋体"/>
          <w:b/>
          <w:bCs/>
          <w:color w:val="auto"/>
          <w:kern w:val="0"/>
          <w:highlight w:val="none"/>
          <w:lang w:val="en-US" w:eastAsia="zh-CN"/>
        </w:rPr>
        <w:t>备份</w:t>
      </w:r>
      <w:r>
        <w:rPr>
          <w:rFonts w:hint="eastAsia" w:ascii="宋体" w:hAnsi="宋体" w:eastAsia="宋体" w:cs="宋体"/>
          <w:b/>
          <w:bCs/>
          <w:color w:val="auto"/>
          <w:kern w:val="0"/>
          <w:highlight w:val="none"/>
        </w:rPr>
        <w:t>磋商响应文件”、“磋商时启封”字样</w:t>
      </w:r>
      <w:r>
        <w:rPr>
          <w:rFonts w:hint="eastAsia" w:ascii="宋体" w:hAnsi="宋体" w:eastAsia="宋体" w:cs="宋体"/>
          <w:b/>
          <w:bCs/>
          <w:color w:val="auto"/>
          <w:kern w:val="0"/>
          <w:highlight w:val="none"/>
          <w:lang w:eastAsia="zh-CN"/>
        </w:rPr>
        <w:t>）</w:t>
      </w:r>
      <w:r>
        <w:rPr>
          <w:rFonts w:hint="eastAsia" w:ascii="宋体" w:hAnsi="宋体" w:eastAsia="宋体" w:cs="宋体"/>
          <w:b/>
          <w:bCs/>
          <w:color w:val="auto"/>
          <w:kern w:val="0"/>
          <w:sz w:val="21"/>
          <w:szCs w:val="21"/>
          <w:highlight w:val="none"/>
          <w:lang w:val="en-US" w:eastAsia="zh-CN" w:bidi="ar-SA"/>
        </w:rPr>
        <w:t>并建议</w:t>
      </w:r>
      <w:r>
        <w:rPr>
          <w:rFonts w:hint="eastAsia" w:ascii="宋体" w:hAnsi="宋体" w:eastAsia="宋体" w:cs="宋体"/>
          <w:b/>
          <w:bCs/>
          <w:color w:val="auto"/>
          <w:kern w:val="2"/>
          <w:sz w:val="21"/>
          <w:szCs w:val="21"/>
          <w:highlight w:val="none"/>
          <w:lang w:val="en-US" w:eastAsia="zh-CN" w:bidi="ar-SA"/>
        </w:rPr>
        <w:t>顺丰</w:t>
      </w:r>
      <w:r>
        <w:rPr>
          <w:rFonts w:hint="eastAsia" w:ascii="宋体" w:hAnsi="宋体" w:eastAsia="宋体" w:cs="宋体"/>
          <w:b/>
          <w:bCs/>
          <w:color w:val="auto"/>
          <w:kern w:val="0"/>
          <w:sz w:val="21"/>
          <w:szCs w:val="21"/>
          <w:highlight w:val="none"/>
          <w:lang w:val="en-US" w:eastAsia="zh-CN" w:bidi="ar-SA"/>
        </w:rPr>
        <w:t>邮寄到</w:t>
      </w:r>
      <w:r>
        <w:rPr>
          <w:rFonts w:hint="eastAsia" w:ascii="宋体" w:hAnsi="宋体" w:eastAsia="宋体" w:cs="宋体"/>
          <w:b/>
          <w:bCs/>
          <w:color w:val="auto"/>
          <w:sz w:val="21"/>
          <w:szCs w:val="21"/>
          <w:highlight w:val="none"/>
          <w:lang w:eastAsia="zh-CN"/>
        </w:rPr>
        <w:t>台州市椒江区中环世纪6幢8</w:t>
      </w:r>
      <w:r>
        <w:rPr>
          <w:rFonts w:hint="eastAsia" w:ascii="宋体" w:hAnsi="宋体" w:eastAsia="宋体" w:cs="宋体"/>
          <w:b/>
          <w:bCs/>
          <w:color w:val="auto"/>
          <w:sz w:val="21"/>
          <w:szCs w:val="21"/>
          <w:highlight w:val="none"/>
          <w:lang w:val="en-US" w:eastAsia="zh-CN"/>
        </w:rPr>
        <w:t>楼</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浙江汇永工程咨询有限公司</w:t>
      </w:r>
      <w:r>
        <w:rPr>
          <w:rFonts w:hint="eastAsia" w:ascii="宋体" w:hAnsi="宋体" w:eastAsia="宋体" w:cs="宋体"/>
          <w:b/>
          <w:bCs/>
          <w:color w:val="auto"/>
          <w:sz w:val="21"/>
          <w:szCs w:val="21"/>
          <w:highlight w:val="none"/>
          <w:lang w:eastAsia="zh-CN"/>
        </w:rPr>
        <w:t>）</w:t>
      </w:r>
      <w:r>
        <w:rPr>
          <w:rFonts w:hint="eastAsia" w:ascii="宋体" w:hAnsi="宋体" w:eastAsia="宋体" w:cs="宋体"/>
          <w:b/>
          <w:bCs/>
          <w:color w:val="auto"/>
          <w:sz w:val="21"/>
          <w:szCs w:val="21"/>
          <w:highlight w:val="none"/>
          <w:lang w:val="en-US" w:eastAsia="zh-CN"/>
        </w:rPr>
        <w:t>收件人：陈奕圩；联系电话：18257695510</w:t>
      </w:r>
      <w:r>
        <w:rPr>
          <w:rFonts w:hint="eastAsia" w:ascii="宋体" w:hAnsi="宋体" w:eastAsia="宋体" w:cs="宋体"/>
          <w:b/>
          <w:bCs/>
          <w:color w:val="auto"/>
          <w:kern w:val="0"/>
          <w:sz w:val="21"/>
          <w:szCs w:val="21"/>
          <w:highlight w:val="none"/>
          <w:lang w:val="en-US" w:eastAsia="zh-CN" w:bidi="ar-SA"/>
        </w:rPr>
        <w:t>，逾期寄达或未按要求密封将被拒收。</w:t>
      </w:r>
    </w:p>
    <w:p w14:paraId="6BD76A85">
      <w:pPr>
        <w:pStyle w:val="11"/>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bidi="ar-SA"/>
        </w:rPr>
        <w:t>6、</w:t>
      </w:r>
      <w:r>
        <w:rPr>
          <w:rFonts w:hint="eastAsia" w:ascii="宋体" w:hAnsi="宋体" w:eastAsia="宋体" w:cs="宋体"/>
          <w:color w:val="auto"/>
          <w:szCs w:val="21"/>
          <w:highlight w:val="none"/>
        </w:rPr>
        <w:t>▲</w:t>
      </w:r>
      <w:r>
        <w:rPr>
          <w:rFonts w:hint="eastAsia" w:ascii="宋体" w:hAnsi="宋体" w:eastAsia="宋体" w:cs="宋体"/>
          <w:b/>
          <w:bCs/>
          <w:color w:val="auto"/>
          <w:kern w:val="0"/>
          <w:sz w:val="21"/>
          <w:szCs w:val="21"/>
          <w:highlight w:val="none"/>
          <w:lang w:val="en-US" w:eastAsia="zh-CN" w:bidi="ar-SA"/>
        </w:rPr>
        <w:t>通过“政府采购云平台”上传递交的“电子加密磋商响应文件”无法按时解密，投标供应商递交了备份磋商响应文件的，以备份磋商响应文件为依据，否则视为磋商响应文件撤回。通过“政府采购云平台”上传递交的“电子加密磋商响应文件”已按时解密的，“备份磋商响应文件”自动失效。▲磋商供应商仅递交备份磋商响应文件的，投标无效。</w:t>
      </w:r>
    </w:p>
    <w:p w14:paraId="12424C35">
      <w:pPr>
        <w:pStyle w:val="12"/>
        <w:keepNext w:val="0"/>
        <w:keepLines w:val="0"/>
        <w:pageBreakBefore w:val="0"/>
        <w:widowControl w:val="0"/>
        <w:kinsoku/>
        <w:wordWrap w:val="0"/>
        <w:overflowPunct/>
        <w:topLinePunct w:val="0"/>
        <w:autoSpaceDE/>
        <w:autoSpaceDN/>
        <w:bidi w:val="0"/>
        <w:adjustRightInd/>
        <w:snapToGrid/>
        <w:spacing w:line="360" w:lineRule="auto"/>
        <w:ind w:left="0" w:leftChars="0" w:firstLine="422" w:firstLineChars="200"/>
        <w:textAlignment w:val="auto"/>
        <w:rPr>
          <w:rFonts w:hint="eastAsia" w:ascii="宋体" w:hAnsi="宋体" w:eastAsia="宋体" w:cs="宋体"/>
          <w:color w:val="auto"/>
          <w:highlight w:val="none"/>
        </w:rPr>
      </w:pPr>
      <w:r>
        <w:rPr>
          <w:rFonts w:hint="eastAsia" w:ascii="宋体" w:hAnsi="宋体" w:eastAsia="宋体" w:cs="宋体"/>
          <w:b/>
          <w:bCs/>
          <w:color w:val="auto"/>
          <w:kern w:val="0"/>
          <w:sz w:val="21"/>
          <w:szCs w:val="21"/>
          <w:highlight w:val="none"/>
          <w:lang w:val="en-US" w:eastAsia="zh-CN" w:bidi="ar-SA"/>
        </w:rPr>
        <w:t xml:space="preserve">   7、在政府采购活动中，供应商提供的货物、工程或者服务符合下列情形的，享受本办法规定的中小企业扶持政策： ①在货物采购项目中，货物由中小企业制造，即货物由中小企业生产且使用该中小企业商号或者注册商标； ②在工程采购项目中，工程由中小企业承建，即工程施工单位为中小企业； ③在服务采购项目中，服务由中小企业承接，即提供服务的人员为中小企业依照《中华人民共和国劳动合同法》 订立劳动合同的从业人员。 在货物采购项目中，供应商提供的货物既有中小企业制 造货物，也有大型企业制造货物的，不享受本办法规定的中 小企业扶持政策。 以联合体形式参加政府采购活动，联合体各方均为中小企业的，联合体视同中小企业。其中，联合体各方均为小微企业的，联合体视同小微企业。</w:t>
      </w:r>
    </w:p>
    <w:p w14:paraId="18AE0ADD">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八</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供应商</w:t>
      </w:r>
      <w:r>
        <w:rPr>
          <w:rFonts w:hint="eastAsia" w:ascii="宋体" w:hAnsi="宋体" w:eastAsia="宋体" w:cs="宋体"/>
          <w:b/>
          <w:bCs/>
          <w:color w:val="auto"/>
          <w:sz w:val="21"/>
          <w:szCs w:val="21"/>
          <w:highlight w:val="none"/>
        </w:rPr>
        <w:t>信用信息查询渠道及截止时点、信用信息查询记录和证据留存的具体方式、信用信息的使用规则：</w:t>
      </w:r>
    </w:p>
    <w:p w14:paraId="3DADCFE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、查询渠道：“信用中国”（www.creditchina.gov.cn）、“中国政府采购网”（www.ccgp.gov.cn）、“浙江政府采购网（www.zjzfcg.gov.cn）。</w:t>
      </w:r>
    </w:p>
    <w:p w14:paraId="3A83808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2、信用信息查询的截止时点：开标后评标前。</w:t>
      </w:r>
    </w:p>
    <w:p w14:paraId="517434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3、信用信息查询记录和证据留存的具体方式：由</w:t>
      </w:r>
      <w:r>
        <w:rPr>
          <w:rFonts w:hint="eastAsia" w:ascii="宋体" w:hAnsi="宋体" w:eastAsia="宋体" w:cs="宋体"/>
          <w:color w:val="auto"/>
          <w:sz w:val="21"/>
          <w:szCs w:val="21"/>
          <w:highlight w:val="none"/>
        </w:rPr>
        <w:t>采购代理机构</w:t>
      </w:r>
      <w:r>
        <w:rPr>
          <w:rFonts w:hint="eastAsia" w:ascii="宋体" w:hAnsi="宋体" w:eastAsia="宋体" w:cs="宋体"/>
          <w:color w:val="auto"/>
          <w:sz w:val="21"/>
          <w:szCs w:val="21"/>
          <w:highlight w:val="none"/>
          <w:lang w:eastAsia="zh-CN"/>
        </w:rPr>
        <w:t>在规定查询时间内打印信用信息查询记录并归入项目档案。</w:t>
      </w:r>
    </w:p>
    <w:p w14:paraId="2F99C51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信用信息的使用规则：对列入失信被执行人、</w:t>
      </w:r>
      <w:r>
        <w:rPr>
          <w:rFonts w:hint="eastAsia" w:ascii="宋体" w:hAnsi="宋体" w:eastAsia="宋体" w:cs="宋体"/>
          <w:color w:val="auto"/>
          <w:sz w:val="21"/>
          <w:szCs w:val="21"/>
          <w:highlight w:val="none"/>
          <w:lang w:eastAsia="zh-CN"/>
        </w:rPr>
        <w:t>重大税收违法失信主体</w:t>
      </w:r>
      <w:r>
        <w:rPr>
          <w:rFonts w:hint="eastAsia" w:ascii="宋体" w:hAnsi="宋体" w:eastAsia="宋体" w:cs="宋体"/>
          <w:color w:val="auto"/>
          <w:sz w:val="21"/>
          <w:szCs w:val="21"/>
          <w:highlight w:val="none"/>
        </w:rPr>
        <w:t>、政府采购严重违法失信行为记录名单及其他不符合《中华人民共和国政府采购法》第二十二条规定条件的供应商，将被拒绝其参与政府采购活动。</w:t>
      </w:r>
    </w:p>
    <w:p w14:paraId="76BAF165">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九</w:t>
      </w:r>
      <w:r>
        <w:rPr>
          <w:rFonts w:hint="eastAsia" w:ascii="宋体" w:hAnsi="宋体" w:eastAsia="宋体" w:cs="宋体"/>
          <w:b/>
          <w:bCs/>
          <w:color w:val="auto"/>
          <w:sz w:val="21"/>
          <w:szCs w:val="21"/>
          <w:highlight w:val="none"/>
        </w:rPr>
        <w:t>、相关注意事项：</w:t>
      </w:r>
    </w:p>
    <w:p w14:paraId="760AF82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《浙江省财政厅关于进一步发挥政府采购政策功能全力推动经济稳进提质的通知》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3号)、《浙江省财政厅关于进一步促进政府采购公平竞争打造最优营商环境的通知》(浙财采监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22号))、《浙江省财政厅关于进一步加大政府采购支持中小企业力度助力扎实稳住经济的通知》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2022</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8号)已分别于2022年1月29日、2022年2月1日和2022年7月1日开始实施，此前有关规定与上述文件内容不一致的，按上述文件要求执行。</w:t>
      </w:r>
    </w:p>
    <w:p w14:paraId="416E2B2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根据《浙江省财政厅关于进一步促进政府采购公平竞争打造最优营商环境的通知》 浙财采监</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2021</w:t>
      </w:r>
      <w:r>
        <w:rPr>
          <w:rFonts w:ascii="宋体" w:hAnsi="宋体" w:eastAsia="宋体" w:cs="宋体"/>
          <w:color w:val="auto"/>
          <w:sz w:val="24"/>
          <w:szCs w:val="24"/>
          <w:highlight w:val="none"/>
        </w:rPr>
        <w:t>〕</w:t>
      </w:r>
      <w:r>
        <w:rPr>
          <w:rFonts w:hint="eastAsia" w:ascii="宋体" w:hAnsi="宋体" w:eastAsia="宋体" w:cs="宋体"/>
          <w:color w:val="auto"/>
          <w:szCs w:val="21"/>
          <w:highlight w:val="none"/>
        </w:rPr>
        <w:t>22号)文件关于“健全行政裁决机制”要求，鼓励供应商在线提起询问，路径为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政采云-项目采购-询问质疑投诉-询问列表</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鼓励供应商在线提起质疑，路径为</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政采云-项目采购-询问质疑投诉-质疑列表。质疑供应商对在线质疑答复不满意的，可在线提起投诉，路径为:浙江政府服务网-政府采购投诉处理-在线办理。</w:t>
      </w:r>
    </w:p>
    <w:p w14:paraId="2603A6F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、本项目公告期限为3个工作日。</w:t>
      </w:r>
      <w:r>
        <w:rPr>
          <w:rFonts w:hint="eastAsia" w:ascii="宋体" w:hAnsi="宋体" w:eastAsia="宋体" w:cs="宋体"/>
          <w:color w:val="auto"/>
          <w:szCs w:val="21"/>
          <w:highlight w:val="none"/>
        </w:rPr>
        <w:t>供应商认为采购文件使自己的权益受到损害的，可以自</w:t>
      </w:r>
      <w:r>
        <w:rPr>
          <w:rFonts w:hint="eastAsia" w:ascii="宋体" w:hAnsi="宋体" w:eastAsia="宋体" w:cs="宋体"/>
          <w:color w:val="auto"/>
          <w:szCs w:val="21"/>
          <w:highlight w:val="none"/>
          <w:lang w:val="en-US" w:eastAsia="zh-CN"/>
        </w:rPr>
        <w:t>获取</w:t>
      </w:r>
      <w:r>
        <w:rPr>
          <w:rFonts w:hint="eastAsia" w:ascii="宋体" w:hAnsi="宋体" w:eastAsia="宋体" w:cs="宋体"/>
          <w:color w:val="auto"/>
          <w:szCs w:val="21"/>
          <w:highlight w:val="none"/>
        </w:rPr>
        <w:t>采购文件之日或采购文件公告期限届满之日起（公告期限届满后获取采购文件的，以公告期限届满之日为准）7个工作日内，</w:t>
      </w:r>
      <w:r>
        <w:rPr>
          <w:rFonts w:hint="eastAsia" w:ascii="宋体" w:hAnsi="宋体" w:eastAsia="宋体" w:cs="宋体"/>
          <w:color w:val="auto"/>
          <w:sz w:val="21"/>
          <w:szCs w:val="21"/>
          <w:highlight w:val="none"/>
        </w:rPr>
        <w:t>以书面形式一次性向采购人和采购代理机构提出同一环节</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后续就采购</w:t>
      </w:r>
      <w:r>
        <w:rPr>
          <w:rFonts w:hint="eastAsia" w:ascii="宋体" w:hAnsi="宋体" w:cs="宋体"/>
          <w:color w:val="auto"/>
          <w:szCs w:val="21"/>
          <w:highlight w:val="none"/>
        </w:rPr>
        <w:t>过程、</w:t>
      </w:r>
      <w:r>
        <w:rPr>
          <w:rFonts w:hint="eastAsia" w:ascii="宋体" w:hAnsi="宋体" w:cs="宋体"/>
          <w:color w:val="auto"/>
          <w:szCs w:val="21"/>
          <w:highlight w:val="none"/>
          <w:lang w:val="en-US" w:eastAsia="zh-CN"/>
        </w:rPr>
        <w:t>采购</w:t>
      </w:r>
      <w:r>
        <w:rPr>
          <w:rFonts w:hint="eastAsia" w:ascii="宋体" w:hAnsi="宋体" w:cs="宋体"/>
          <w:color w:val="auto"/>
          <w:szCs w:val="21"/>
          <w:highlight w:val="none"/>
        </w:rPr>
        <w:t>结果</w:t>
      </w:r>
      <w:r>
        <w:rPr>
          <w:rFonts w:hint="eastAsia" w:ascii="宋体" w:hAnsi="宋体" w:cs="宋体"/>
          <w:color w:val="auto"/>
          <w:szCs w:val="21"/>
          <w:highlight w:val="none"/>
          <w:lang w:val="en-US" w:eastAsia="zh-CN"/>
        </w:rPr>
        <w:t>提出质疑的，也应在同一环节一次性提出</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以供应商</w:t>
      </w:r>
      <w:r>
        <w:rPr>
          <w:rFonts w:hint="eastAsia" w:ascii="宋体" w:hAnsi="宋体" w:eastAsia="宋体" w:cs="宋体"/>
          <w:color w:val="auto"/>
          <w:sz w:val="21"/>
          <w:szCs w:val="21"/>
          <w:highlight w:val="none"/>
          <w:lang w:val="en-US" w:eastAsia="zh-CN"/>
        </w:rPr>
        <w:t>线上</w:t>
      </w:r>
      <w:r>
        <w:rPr>
          <w:rFonts w:hint="eastAsia" w:ascii="宋体" w:hAnsi="宋体" w:eastAsia="宋体" w:cs="宋体"/>
          <w:color w:val="auto"/>
          <w:sz w:val="21"/>
          <w:szCs w:val="21"/>
          <w:highlight w:val="none"/>
        </w:rPr>
        <w:t>提供质疑函的时间为提起质疑的时间。否则，被质疑人可不予接受。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1F74E35A">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未进行供应商资格报名或登记（含网上报名登记）的供应商，应视为未参加政府采购活动，一般不得提出质疑，但因供应商资格条件受到限制、报名时间设定不符合有关规定等原因使供应商不能参加报名或登记的除外。</w:t>
      </w:r>
    </w:p>
    <w:p w14:paraId="1633F86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、请各磋商响应供应商及时办理浙江政府采购网“政府采购供应商注册”手续。</w:t>
      </w:r>
    </w:p>
    <w:p w14:paraId="112C735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参与政府采购项目的注册供应商，需登录浙江政府采购网（http://zfcg.czt.zj.gov.cn）进行网上获取文件；尚未注册的供应商应当先在浙江政府采购网上申请注册，注册终审通过后再进行网上获取文件。</w:t>
      </w:r>
    </w:p>
    <w:p w14:paraId="097C06DD">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7、</w:t>
      </w:r>
      <w:r>
        <w:rPr>
          <w:rFonts w:hint="eastAsia" w:ascii="宋体" w:hAnsi="宋体" w:eastAsia="宋体" w:cs="宋体"/>
          <w:color w:val="auto"/>
          <w:sz w:val="21"/>
          <w:szCs w:val="21"/>
          <w:highlight w:val="none"/>
        </w:rPr>
        <w:t xml:space="preserve">本项目所有公告发布网站：“浙江省政府采购网”（http:// </w:t>
      </w:r>
      <w:r>
        <w:rPr>
          <w:rFonts w:hint="eastAsia" w:ascii="宋体" w:hAnsi="宋体" w:eastAsia="宋体" w:cs="宋体"/>
          <w:color w:val="auto"/>
          <w:sz w:val="21"/>
          <w:szCs w:val="21"/>
          <w:highlight w:val="none"/>
        </w:rPr>
        <w:fldChar w:fldCharType="begin"/>
      </w:r>
      <w:r>
        <w:rPr>
          <w:rFonts w:hint="eastAsia" w:ascii="宋体" w:hAnsi="宋体" w:eastAsia="宋体" w:cs="宋体"/>
          <w:color w:val="auto"/>
          <w:sz w:val="21"/>
          <w:szCs w:val="21"/>
          <w:highlight w:val="none"/>
        </w:rPr>
        <w:instrText xml:space="preserve"> HYPERLINK "http://www.zjzfcg.gov.cn）。" </w:instrText>
      </w:r>
      <w:r>
        <w:rPr>
          <w:rFonts w:hint="eastAsia" w:ascii="宋体" w:hAnsi="宋体" w:eastAsia="宋体" w:cs="宋体"/>
          <w:color w:val="auto"/>
          <w:sz w:val="21"/>
          <w:szCs w:val="21"/>
          <w:highlight w:val="none"/>
        </w:rPr>
        <w:fldChar w:fldCharType="separate"/>
      </w:r>
      <w:r>
        <w:rPr>
          <w:rFonts w:hint="eastAsia" w:ascii="宋体" w:hAnsi="宋体" w:eastAsia="宋体" w:cs="宋体"/>
          <w:color w:val="auto"/>
          <w:sz w:val="21"/>
          <w:szCs w:val="21"/>
          <w:highlight w:val="none"/>
        </w:rPr>
        <w:t>www.zjzfcg.gov.cn）。</w:t>
      </w:r>
      <w:r>
        <w:rPr>
          <w:rFonts w:hint="eastAsia" w:ascii="宋体" w:hAnsi="宋体" w:eastAsia="宋体" w:cs="宋体"/>
          <w:color w:val="auto"/>
          <w:sz w:val="21"/>
          <w:szCs w:val="21"/>
          <w:highlight w:val="none"/>
        </w:rPr>
        <w:fldChar w:fldCharType="end"/>
      </w:r>
    </w:p>
    <w:p w14:paraId="036F027F">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、采购文件发售截止时间之后有潜在供应商提出要求获取采购文件的允许其报名获取，但对采购文件有异议应按规定的时间提出，逾期提出的，采购组织机构可不予受理、答复。</w:t>
      </w:r>
    </w:p>
    <w:p w14:paraId="2AA7127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rPr>
          <w:rFonts w:hint="eastAsia" w:ascii="宋体" w:hAnsi="宋体" w:eastAsia="宋体" w:cs="宋体"/>
          <w:b/>
          <w:bCs/>
          <w:color w:val="auto"/>
          <w:kern w:val="0"/>
          <w:sz w:val="21"/>
          <w:szCs w:val="21"/>
          <w:highlight w:val="none"/>
          <w:lang w:val="en-US" w:eastAsia="zh-CN" w:bidi="ar-SA"/>
        </w:rPr>
      </w:pPr>
      <w:r>
        <w:rPr>
          <w:rFonts w:hint="eastAsia" w:ascii="宋体" w:hAnsi="宋体" w:eastAsia="宋体" w:cs="宋体"/>
          <w:b/>
          <w:bCs/>
          <w:color w:val="auto"/>
          <w:kern w:val="0"/>
          <w:sz w:val="21"/>
          <w:szCs w:val="21"/>
          <w:highlight w:val="none"/>
          <w:lang w:val="en-US" w:eastAsia="zh-CN" w:bidi="ar-SA"/>
        </w:rPr>
        <w:t>十、联系方式：</w:t>
      </w:r>
    </w:p>
    <w:p w14:paraId="77BC7537">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eastAsia="宋体" w:cs="宋体"/>
          <w:b/>
          <w:bCs/>
          <w:color w:val="auto"/>
          <w:sz w:val="21"/>
          <w:szCs w:val="21"/>
          <w:highlight w:val="none"/>
        </w:rPr>
        <w:t>采购代理机构</w:t>
      </w:r>
    </w:p>
    <w:p w14:paraId="0B37E40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采购代理机构名称：</w:t>
      </w:r>
      <w:r>
        <w:rPr>
          <w:rFonts w:hint="eastAsia" w:ascii="宋体" w:hAnsi="宋体" w:eastAsia="宋体" w:cs="宋体"/>
          <w:color w:val="auto"/>
          <w:sz w:val="21"/>
          <w:szCs w:val="21"/>
          <w:highlight w:val="none"/>
          <w:lang w:eastAsia="zh-CN"/>
        </w:rPr>
        <w:t>浙江汇永工程咨询有限公司</w:t>
      </w:r>
    </w:p>
    <w:p w14:paraId="2BE6F9C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联系人：</w:t>
      </w:r>
      <w:r>
        <w:rPr>
          <w:rFonts w:hint="eastAsia" w:ascii="宋体" w:hAnsi="宋体" w:eastAsia="宋体" w:cs="宋体"/>
          <w:color w:val="auto"/>
          <w:szCs w:val="21"/>
          <w:highlight w:val="none"/>
          <w:lang w:val="en-US" w:eastAsia="zh-CN"/>
        </w:rPr>
        <w:t>王女士</w:t>
      </w:r>
    </w:p>
    <w:p w14:paraId="42D4B95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联系电话：0576-88885613  18257695510；</w:t>
      </w:r>
    </w:p>
    <w:p w14:paraId="2DE6024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Cs w:val="21"/>
          <w:highlight w:val="none"/>
          <w:lang w:eastAsia="zh-CN"/>
        </w:rPr>
      </w:pPr>
      <w:r>
        <w:rPr>
          <w:rFonts w:hint="eastAsia" w:ascii="宋体" w:hAnsi="宋体" w:eastAsia="宋体" w:cs="宋体"/>
          <w:color w:val="auto"/>
          <w:szCs w:val="21"/>
          <w:highlight w:val="none"/>
        </w:rPr>
        <w:t>质疑接收人：</w:t>
      </w:r>
      <w:r>
        <w:rPr>
          <w:rFonts w:hint="eastAsia" w:ascii="宋体" w:hAnsi="宋体" w:eastAsia="宋体" w:cs="宋体"/>
          <w:color w:val="auto"/>
          <w:szCs w:val="21"/>
          <w:highlight w:val="none"/>
          <w:lang w:val="en-US" w:eastAsia="zh-CN"/>
        </w:rPr>
        <w:t>管女士</w:t>
      </w:r>
    </w:p>
    <w:p w14:paraId="4EC3976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rPr>
        <w:t>联系电话：</w:t>
      </w:r>
      <w:r>
        <w:rPr>
          <w:rFonts w:hint="eastAsia" w:ascii="宋体" w:hAnsi="宋体" w:eastAsia="宋体" w:cs="宋体"/>
          <w:color w:val="auto"/>
          <w:szCs w:val="21"/>
          <w:highlight w:val="none"/>
          <w:lang w:eastAsia="zh-CN"/>
        </w:rPr>
        <w:t>13396938203</w:t>
      </w:r>
    </w:p>
    <w:p w14:paraId="0973BCA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地点：</w:t>
      </w:r>
      <w:r>
        <w:rPr>
          <w:rFonts w:hint="eastAsia" w:ascii="宋体" w:hAnsi="宋体" w:eastAsia="宋体" w:cs="宋体"/>
          <w:color w:val="auto"/>
          <w:sz w:val="21"/>
          <w:szCs w:val="21"/>
          <w:highlight w:val="none"/>
          <w:lang w:eastAsia="zh-CN"/>
        </w:rPr>
        <w:t>台州市椒江区中环世纪中心6幢8楼</w:t>
      </w:r>
    </w:p>
    <w:p w14:paraId="0EC1EBFB">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 xml:space="preserve">采购人 </w:t>
      </w:r>
    </w:p>
    <w:p w14:paraId="5C8D5F4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采购人名称：</w:t>
      </w:r>
      <w:r>
        <w:rPr>
          <w:rFonts w:hint="eastAsia" w:ascii="宋体" w:hAnsi="宋体" w:cs="宋体"/>
          <w:color w:val="auto"/>
          <w:sz w:val="21"/>
          <w:szCs w:val="21"/>
          <w:highlight w:val="none"/>
          <w:lang w:eastAsia="zh-CN"/>
        </w:rPr>
        <w:t>台州市第一中学</w:t>
      </w:r>
    </w:p>
    <w:p w14:paraId="481114A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left="0" w:leftChars="0" w:firstLine="420" w:firstLineChars="200"/>
        <w:textAlignment w:val="auto"/>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联系人：</w:t>
      </w:r>
      <w:r>
        <w:rPr>
          <w:rFonts w:hint="eastAsia" w:ascii="宋体" w:hAnsi="宋体" w:eastAsia="宋体" w:cs="宋体"/>
          <w:color w:val="auto"/>
          <w:sz w:val="21"/>
          <w:szCs w:val="21"/>
          <w:highlight w:val="none"/>
          <w:lang w:val="en-US" w:eastAsia="zh-CN"/>
        </w:rPr>
        <w:t>倪老师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询问</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0576-89058619</w:t>
      </w:r>
    </w:p>
    <w:p w14:paraId="7AF762A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default"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联系人：</w:t>
      </w:r>
      <w:r>
        <w:rPr>
          <w:rFonts w:hint="eastAsia" w:ascii="宋体" w:hAnsi="宋体" w:cs="宋体"/>
          <w:color w:val="auto"/>
          <w:sz w:val="21"/>
          <w:szCs w:val="21"/>
          <w:highlight w:val="none"/>
          <w:lang w:val="en-US" w:eastAsia="zh-CN"/>
        </w:rPr>
        <w:t>潘</w:t>
      </w:r>
      <w:r>
        <w:rPr>
          <w:rFonts w:hint="eastAsia" w:ascii="宋体" w:hAnsi="宋体" w:eastAsia="宋体" w:cs="宋体"/>
          <w:color w:val="auto"/>
          <w:sz w:val="21"/>
          <w:szCs w:val="21"/>
          <w:highlight w:val="none"/>
          <w:lang w:val="en-US" w:eastAsia="zh-CN"/>
        </w:rPr>
        <w:t>老师</w:t>
      </w:r>
      <w:r>
        <w:rPr>
          <w:rFonts w:hint="eastAsia" w:ascii="宋体" w:hAnsi="宋体" w:eastAsia="宋体" w:cs="宋体"/>
          <w:color w:val="auto"/>
          <w:sz w:val="21"/>
          <w:szCs w:val="21"/>
          <w:highlight w:val="none"/>
          <w:lang w:eastAsia="zh-CN"/>
        </w:rPr>
        <w:t xml:space="preserve">     </w:t>
      </w:r>
      <w:r>
        <w:rPr>
          <w:rFonts w:hint="eastAsia" w:ascii="宋体" w:hAnsi="宋体" w:cs="宋体"/>
          <w:color w:val="auto"/>
          <w:sz w:val="21"/>
          <w:szCs w:val="21"/>
          <w:highlight w:val="none"/>
          <w:lang w:val="en-US" w:eastAsia="zh-CN"/>
        </w:rPr>
        <w:t>质疑</w:t>
      </w:r>
      <w:r>
        <w:rPr>
          <w:rFonts w:hint="eastAsia" w:ascii="宋体" w:hAnsi="宋体" w:eastAsia="宋体" w:cs="宋体"/>
          <w:color w:val="auto"/>
          <w:sz w:val="21"/>
          <w:szCs w:val="21"/>
          <w:highlight w:val="none"/>
          <w:lang w:eastAsia="zh-CN"/>
        </w:rPr>
        <w:t>联系电话：</w:t>
      </w:r>
      <w:r>
        <w:rPr>
          <w:rFonts w:hint="eastAsia" w:ascii="宋体" w:hAnsi="宋体" w:eastAsia="宋体" w:cs="宋体"/>
          <w:color w:val="auto"/>
          <w:sz w:val="21"/>
          <w:szCs w:val="21"/>
          <w:highlight w:val="none"/>
          <w:lang w:val="en-US" w:eastAsia="zh-CN"/>
        </w:rPr>
        <w:t>0576-8905</w:t>
      </w:r>
      <w:r>
        <w:rPr>
          <w:rFonts w:hint="eastAsia" w:ascii="宋体" w:hAnsi="宋体" w:cs="宋体"/>
          <w:color w:val="auto"/>
          <w:sz w:val="21"/>
          <w:szCs w:val="21"/>
          <w:highlight w:val="none"/>
          <w:lang w:val="en-US" w:eastAsia="zh-CN"/>
        </w:rPr>
        <w:t>8602</w:t>
      </w:r>
    </w:p>
    <w:p w14:paraId="3EB21E9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采购人地址：</w:t>
      </w:r>
      <w:r>
        <w:rPr>
          <w:rFonts w:hint="eastAsia" w:ascii="宋体" w:hAnsi="宋体" w:cs="宋体"/>
          <w:color w:val="auto"/>
          <w:sz w:val="21"/>
          <w:szCs w:val="21"/>
          <w:highlight w:val="none"/>
          <w:lang w:val="en-US" w:eastAsia="zh-CN"/>
        </w:rPr>
        <w:t>浙江省台州市椒江区枫南东路388号</w:t>
      </w:r>
    </w:p>
    <w:p w14:paraId="050D2C00">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同级政府采购监督管理部门</w:t>
      </w:r>
    </w:p>
    <w:p w14:paraId="5648ED7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同级政府采购监督管理部门名称：台州市财政局政府采购监管处</w:t>
      </w:r>
    </w:p>
    <w:p w14:paraId="0F3E1F5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联系人：陈老师</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李老师</w:t>
      </w:r>
    </w:p>
    <w:p w14:paraId="2EDC501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监督投诉电话：0576-88206705</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0576-88206731</w:t>
      </w:r>
    </w:p>
    <w:p w14:paraId="58021C5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地址：台州市椒江区纬一路66号</w:t>
      </w:r>
    </w:p>
    <w:p w14:paraId="006EB460">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firstLine="422" w:firstLineChars="200"/>
        <w:textAlignment w:val="auto"/>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lang w:val="en-US" w:eastAsia="zh-CN"/>
        </w:rPr>
        <w:t>4、</w:t>
      </w:r>
      <w:r>
        <w:rPr>
          <w:rFonts w:hint="eastAsia" w:ascii="宋体" w:hAnsi="宋体" w:eastAsia="宋体" w:cs="宋体"/>
          <w:b/>
          <w:bCs/>
          <w:color w:val="auto"/>
          <w:szCs w:val="21"/>
          <w:highlight w:val="none"/>
        </w:rPr>
        <w:t>其余事项</w:t>
      </w:r>
    </w:p>
    <w:p w14:paraId="2559FDA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both"/>
        <w:textAlignment w:val="auto"/>
        <w:rPr>
          <w:rFonts w:hint="eastAsia" w:ascii="宋体" w:hAnsi="宋体" w:eastAsia="宋体" w:cs="宋体"/>
          <w:b w:val="0"/>
          <w:bCs w:val="0"/>
          <w:color w:val="auto"/>
          <w:sz w:val="32"/>
          <w:szCs w:val="32"/>
          <w:highlight w:val="none"/>
        </w:rPr>
      </w:pP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合同履约保函</w:t>
      </w:r>
      <w:r>
        <w:rPr>
          <w:rFonts w:hint="eastAsia" w:ascii="宋体" w:hAnsi="宋体" w:eastAsia="宋体" w:cs="宋体"/>
          <w:b w:val="0"/>
          <w:bCs w:val="0"/>
          <w:color w:val="auto"/>
          <w:sz w:val="21"/>
          <w:szCs w:val="21"/>
          <w:highlight w:val="none"/>
        </w:rPr>
        <w:t>联系方式</w:t>
      </w:r>
    </w:p>
    <w:tbl>
      <w:tblPr>
        <w:tblStyle w:val="23"/>
        <w:tblW w:w="8575"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3387"/>
        <w:gridCol w:w="2288"/>
        <w:gridCol w:w="1276"/>
        <w:gridCol w:w="1624"/>
      </w:tblGrid>
      <w:tr w14:paraId="4A52507B">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47" w:hRule="atLeast"/>
        </w:trPr>
        <w:tc>
          <w:tcPr>
            <w:tcW w:w="3387" w:type="dxa"/>
            <w:vAlign w:val="center"/>
          </w:tcPr>
          <w:p w14:paraId="441C7010">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37A4D69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76" w:type="dxa"/>
            <w:vAlign w:val="center"/>
          </w:tcPr>
          <w:p w14:paraId="7296F3DB">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24" w:type="dxa"/>
            <w:vAlign w:val="center"/>
          </w:tcPr>
          <w:p w14:paraId="4840F968">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4D0EB0F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BB8330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vAlign w:val="center"/>
          </w:tcPr>
          <w:p w14:paraId="38F5FCD9">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18DEFF2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24" w:type="dxa"/>
            <w:vAlign w:val="center"/>
          </w:tcPr>
          <w:p w14:paraId="5F58525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565EAE2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9DBA30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永诚财产保险股份有限公司台州分公司</w:t>
            </w:r>
          </w:p>
        </w:tc>
        <w:tc>
          <w:tcPr>
            <w:tcW w:w="2288" w:type="dxa"/>
            <w:vAlign w:val="center"/>
          </w:tcPr>
          <w:p w14:paraId="6F80DD8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年费率1%，最低保费1000元</w:t>
            </w:r>
          </w:p>
        </w:tc>
        <w:tc>
          <w:tcPr>
            <w:tcW w:w="1276" w:type="dxa"/>
            <w:vAlign w:val="center"/>
          </w:tcPr>
          <w:p w14:paraId="7934CC4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尹刚强</w:t>
            </w:r>
          </w:p>
        </w:tc>
        <w:tc>
          <w:tcPr>
            <w:tcW w:w="1624" w:type="dxa"/>
            <w:vAlign w:val="center"/>
          </w:tcPr>
          <w:p w14:paraId="20E3B7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13750668184</w:t>
            </w:r>
          </w:p>
        </w:tc>
      </w:tr>
      <w:tr w14:paraId="3F1DED0A">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3E6B61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华泰财产保险有限公司台州中心支公司</w:t>
            </w:r>
          </w:p>
        </w:tc>
        <w:tc>
          <w:tcPr>
            <w:tcW w:w="2288" w:type="dxa"/>
            <w:vAlign w:val="center"/>
          </w:tcPr>
          <w:p w14:paraId="48725593">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年费率0.5%，最低保费1000元</w:t>
            </w:r>
          </w:p>
        </w:tc>
        <w:tc>
          <w:tcPr>
            <w:tcW w:w="1276" w:type="dxa"/>
            <w:vAlign w:val="center"/>
          </w:tcPr>
          <w:p w14:paraId="0AAEF07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王灵芳</w:t>
            </w:r>
          </w:p>
        </w:tc>
        <w:tc>
          <w:tcPr>
            <w:tcW w:w="1624" w:type="dxa"/>
            <w:vAlign w:val="center"/>
          </w:tcPr>
          <w:p w14:paraId="6796C06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88869818 13586123199</w:t>
            </w:r>
          </w:p>
        </w:tc>
      </w:tr>
      <w:tr w14:paraId="7BEA4D7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F2058C">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中国大地财产保险股份有限公司台州中心支公司</w:t>
            </w:r>
          </w:p>
        </w:tc>
        <w:tc>
          <w:tcPr>
            <w:tcW w:w="2288" w:type="dxa"/>
            <w:vAlign w:val="center"/>
          </w:tcPr>
          <w:p w14:paraId="322796F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年费率1.5%，最低保费1000元</w:t>
            </w:r>
          </w:p>
        </w:tc>
        <w:tc>
          <w:tcPr>
            <w:tcW w:w="1276" w:type="dxa"/>
            <w:vAlign w:val="center"/>
          </w:tcPr>
          <w:p w14:paraId="4A1D791B">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徐小明</w:t>
            </w:r>
          </w:p>
        </w:tc>
        <w:tc>
          <w:tcPr>
            <w:tcW w:w="1624" w:type="dxa"/>
            <w:vAlign w:val="center"/>
          </w:tcPr>
          <w:p w14:paraId="7DA72619">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88552788      13968603112</w:t>
            </w:r>
          </w:p>
        </w:tc>
      </w:tr>
      <w:tr w14:paraId="49DD323C">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1510012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vAlign w:val="center"/>
          </w:tcPr>
          <w:p w14:paraId="55D8EC17">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76" w:type="dxa"/>
            <w:vAlign w:val="center"/>
          </w:tcPr>
          <w:p w14:paraId="2D2B89B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24" w:type="dxa"/>
            <w:vAlign w:val="center"/>
          </w:tcPr>
          <w:p w14:paraId="00FA429A">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0F3CC6D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168E73B">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中华联合财产保险股份有限公司台州中心支公司</w:t>
            </w:r>
          </w:p>
        </w:tc>
        <w:tc>
          <w:tcPr>
            <w:tcW w:w="2288" w:type="dxa"/>
            <w:vAlign w:val="center"/>
          </w:tcPr>
          <w:p w14:paraId="3FEF289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年费率2%，最低保费500元</w:t>
            </w:r>
          </w:p>
        </w:tc>
        <w:tc>
          <w:tcPr>
            <w:tcW w:w="1276" w:type="dxa"/>
            <w:vAlign w:val="center"/>
          </w:tcPr>
          <w:p w14:paraId="53F1B34E">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王仙高</w:t>
            </w:r>
          </w:p>
        </w:tc>
        <w:tc>
          <w:tcPr>
            <w:tcW w:w="1624" w:type="dxa"/>
            <w:vAlign w:val="center"/>
          </w:tcPr>
          <w:p w14:paraId="78E8FC1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13858600221</w:t>
            </w:r>
          </w:p>
        </w:tc>
      </w:tr>
      <w:tr w14:paraId="289C9B07">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FA0713A">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中国人民财产保险股份有限公司台州中心支公司</w:t>
            </w:r>
          </w:p>
        </w:tc>
        <w:tc>
          <w:tcPr>
            <w:tcW w:w="2288" w:type="dxa"/>
            <w:vAlign w:val="center"/>
          </w:tcPr>
          <w:p w14:paraId="778A8CD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年费率0.3%，最低保费1000元</w:t>
            </w:r>
          </w:p>
        </w:tc>
        <w:tc>
          <w:tcPr>
            <w:tcW w:w="1276" w:type="dxa"/>
            <w:vAlign w:val="center"/>
          </w:tcPr>
          <w:p w14:paraId="2AB0AB62">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王仙春</w:t>
            </w:r>
          </w:p>
        </w:tc>
        <w:tc>
          <w:tcPr>
            <w:tcW w:w="1624" w:type="dxa"/>
            <w:vAlign w:val="center"/>
          </w:tcPr>
          <w:p w14:paraId="6F5B9DC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13515769179</w:t>
            </w:r>
          </w:p>
        </w:tc>
      </w:tr>
      <w:tr w14:paraId="376F526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449AA48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永安财产保险股份有限公司台州中心支公司</w:t>
            </w:r>
          </w:p>
        </w:tc>
        <w:tc>
          <w:tcPr>
            <w:tcW w:w="2288" w:type="dxa"/>
            <w:vAlign w:val="center"/>
          </w:tcPr>
          <w:p w14:paraId="7F5E5C37">
            <w:pPr>
              <w:jc w:val="left"/>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年费率0.3%，最低保费1000</w:t>
            </w:r>
            <w:r>
              <w:rPr>
                <w:rFonts w:hint="eastAsia" w:ascii="宋体" w:hAnsi="宋体" w:eastAsia="宋体" w:cs="宋体"/>
                <w:color w:val="auto"/>
                <w:sz w:val="21"/>
                <w:szCs w:val="21"/>
                <w:highlight w:val="none"/>
                <w:lang w:val="en-US" w:eastAsia="zh-CN"/>
              </w:rPr>
              <w:t>元</w:t>
            </w:r>
          </w:p>
        </w:tc>
        <w:tc>
          <w:tcPr>
            <w:tcW w:w="1276" w:type="dxa"/>
            <w:vAlign w:val="center"/>
          </w:tcPr>
          <w:p w14:paraId="38B39E74">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王春宇</w:t>
            </w:r>
          </w:p>
        </w:tc>
        <w:tc>
          <w:tcPr>
            <w:tcW w:w="1624" w:type="dxa"/>
            <w:vAlign w:val="center"/>
          </w:tcPr>
          <w:p w14:paraId="57590C26">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13676675331</w:t>
            </w:r>
          </w:p>
        </w:tc>
      </w:tr>
    </w:tbl>
    <w:p w14:paraId="749AA650">
      <w:pPr>
        <w:jc w:val="both"/>
        <w:rPr>
          <w:rFonts w:hint="eastAsia" w:ascii="宋体" w:hAnsi="宋体" w:eastAsia="宋体" w:cs="宋体"/>
          <w:b/>
          <w:bCs/>
          <w:color w:val="auto"/>
          <w:sz w:val="21"/>
          <w:szCs w:val="21"/>
          <w:highlight w:val="none"/>
        </w:rPr>
      </w:pPr>
    </w:p>
    <w:p w14:paraId="0BEEA8BB">
      <w:pPr>
        <w:jc w:val="both"/>
        <w:rPr>
          <w:rFonts w:hint="eastAsia" w:ascii="宋体" w:hAnsi="宋体" w:eastAsia="宋体" w:cs="宋体"/>
          <w:b w:val="0"/>
          <w:bCs w:val="0"/>
          <w:color w:val="auto"/>
          <w:sz w:val="21"/>
          <w:szCs w:val="21"/>
          <w:highlight w:val="none"/>
        </w:rPr>
      </w:pPr>
      <w:r>
        <w:rPr>
          <w:rFonts w:hint="eastAsia" w:ascii="宋体" w:hAnsi="宋体" w:eastAsia="宋体" w:cs="宋体"/>
          <w:color w:val="auto"/>
          <w:szCs w:val="21"/>
          <w:highlight w:val="none"/>
          <w:lang w:val="en-US" w:eastAsia="zh-CN"/>
        </w:rPr>
        <w:t>（2）预付款保函联</w:t>
      </w:r>
      <w:r>
        <w:rPr>
          <w:rFonts w:hint="eastAsia" w:ascii="宋体" w:hAnsi="宋体" w:eastAsia="宋体" w:cs="宋体"/>
          <w:b w:val="0"/>
          <w:bCs w:val="0"/>
          <w:color w:val="auto"/>
          <w:sz w:val="21"/>
          <w:szCs w:val="21"/>
          <w:highlight w:val="none"/>
        </w:rPr>
        <w:t>系方式</w:t>
      </w:r>
    </w:p>
    <w:tbl>
      <w:tblPr>
        <w:tblStyle w:val="23"/>
        <w:tblW w:w="8562" w:type="dxa"/>
        <w:tblInd w:w="144"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3387"/>
        <w:gridCol w:w="2288"/>
        <w:gridCol w:w="1287"/>
        <w:gridCol w:w="1600"/>
      </w:tblGrid>
      <w:tr w14:paraId="1EE1C3A3">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8" w:hRule="atLeast"/>
        </w:trPr>
        <w:tc>
          <w:tcPr>
            <w:tcW w:w="3387" w:type="dxa"/>
            <w:vAlign w:val="center"/>
          </w:tcPr>
          <w:p w14:paraId="339CB84C">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保险公司名称</w:t>
            </w:r>
          </w:p>
        </w:tc>
        <w:tc>
          <w:tcPr>
            <w:tcW w:w="2288" w:type="dxa"/>
            <w:vAlign w:val="center"/>
          </w:tcPr>
          <w:p w14:paraId="723EF682">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保费率</w:t>
            </w:r>
          </w:p>
        </w:tc>
        <w:tc>
          <w:tcPr>
            <w:tcW w:w="1287" w:type="dxa"/>
            <w:vAlign w:val="center"/>
          </w:tcPr>
          <w:p w14:paraId="61B820A9">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联系人</w:t>
            </w:r>
          </w:p>
        </w:tc>
        <w:tc>
          <w:tcPr>
            <w:tcW w:w="1600" w:type="dxa"/>
            <w:vAlign w:val="center"/>
          </w:tcPr>
          <w:p w14:paraId="7C4D9A9E">
            <w:pPr>
              <w:jc w:val="center"/>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联系电话</w:t>
            </w:r>
          </w:p>
        </w:tc>
      </w:tr>
      <w:tr w14:paraId="6BCD1570">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76EBA670">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中国人寿财产保险股份有限公司台州中心支公司</w:t>
            </w:r>
          </w:p>
        </w:tc>
        <w:tc>
          <w:tcPr>
            <w:tcW w:w="2288" w:type="dxa"/>
          </w:tcPr>
          <w:p w14:paraId="03B5DD78">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年费率3%，最低保费500元</w:t>
            </w:r>
          </w:p>
        </w:tc>
        <w:tc>
          <w:tcPr>
            <w:tcW w:w="1287" w:type="dxa"/>
            <w:vAlign w:val="center"/>
          </w:tcPr>
          <w:p w14:paraId="32892C45">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徐凌</w:t>
            </w:r>
          </w:p>
        </w:tc>
        <w:tc>
          <w:tcPr>
            <w:tcW w:w="1600" w:type="dxa"/>
            <w:vAlign w:val="center"/>
          </w:tcPr>
          <w:p w14:paraId="5BDA1F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13905168070</w:t>
            </w:r>
          </w:p>
        </w:tc>
      </w:tr>
      <w:tr w14:paraId="14619B1D">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506B732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阳光保险台州中心支公司</w:t>
            </w:r>
          </w:p>
        </w:tc>
        <w:tc>
          <w:tcPr>
            <w:tcW w:w="2288" w:type="dxa"/>
          </w:tcPr>
          <w:p w14:paraId="2B2ECE8E">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年费率1%，最低保费500元</w:t>
            </w:r>
          </w:p>
        </w:tc>
        <w:tc>
          <w:tcPr>
            <w:tcW w:w="1287" w:type="dxa"/>
            <w:vAlign w:val="center"/>
          </w:tcPr>
          <w:p w14:paraId="5DEB7C40">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林高明</w:t>
            </w:r>
          </w:p>
        </w:tc>
        <w:tc>
          <w:tcPr>
            <w:tcW w:w="1600" w:type="dxa"/>
            <w:vAlign w:val="center"/>
          </w:tcPr>
          <w:p w14:paraId="2FC68913">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15888682693</w:t>
            </w:r>
          </w:p>
        </w:tc>
      </w:tr>
      <w:tr w14:paraId="6A95A0C6">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3387" w:type="dxa"/>
            <w:vAlign w:val="center"/>
          </w:tcPr>
          <w:p w14:paraId="05EC8EAD">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天安财产保险股份有限公司台州中心支公司</w:t>
            </w:r>
          </w:p>
        </w:tc>
        <w:tc>
          <w:tcPr>
            <w:tcW w:w="2288" w:type="dxa"/>
          </w:tcPr>
          <w:p w14:paraId="4780E5C2">
            <w:pPr>
              <w:jc w:val="lef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年费率1%-2%，最低保费500元</w:t>
            </w:r>
          </w:p>
        </w:tc>
        <w:tc>
          <w:tcPr>
            <w:tcW w:w="1287" w:type="dxa"/>
            <w:vAlign w:val="center"/>
          </w:tcPr>
          <w:p w14:paraId="1E110B6C">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罗赛</w:t>
            </w:r>
          </w:p>
        </w:tc>
        <w:tc>
          <w:tcPr>
            <w:tcW w:w="1600" w:type="dxa"/>
            <w:vAlign w:val="center"/>
          </w:tcPr>
          <w:p w14:paraId="09D2C69F">
            <w:pPr>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13736605643</w:t>
            </w:r>
          </w:p>
        </w:tc>
      </w:tr>
    </w:tbl>
    <w:p w14:paraId="1B85D8E5">
      <w:pPr>
        <w:spacing w:line="360" w:lineRule="auto"/>
        <w:rPr>
          <w:rFonts w:hint="eastAsia" w:ascii="宋体" w:hAnsi="宋体" w:eastAsia="宋体" w:cs="宋体"/>
          <w:color w:val="auto"/>
          <w:highlight w:val="none"/>
        </w:rPr>
      </w:pP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中标供应商如有融资需求，可使用以下银行的政采贷服务。</w:t>
      </w:r>
    </w:p>
    <w:tbl>
      <w:tblPr>
        <w:tblStyle w:val="2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69"/>
        <w:gridCol w:w="1334"/>
        <w:gridCol w:w="1688"/>
        <w:gridCol w:w="2131"/>
      </w:tblGrid>
      <w:tr w14:paraId="77C3C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99C18F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银行</w:t>
            </w:r>
          </w:p>
        </w:tc>
        <w:tc>
          <w:tcPr>
            <w:tcW w:w="1334" w:type="dxa"/>
            <w:vAlign w:val="center"/>
          </w:tcPr>
          <w:p w14:paraId="58BEAE26">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贷款年利率</w:t>
            </w:r>
          </w:p>
        </w:tc>
        <w:tc>
          <w:tcPr>
            <w:tcW w:w="1688" w:type="dxa"/>
            <w:vAlign w:val="center"/>
          </w:tcPr>
          <w:p w14:paraId="5AB831B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联系人</w:t>
            </w:r>
          </w:p>
        </w:tc>
        <w:tc>
          <w:tcPr>
            <w:tcW w:w="2131" w:type="dxa"/>
            <w:vAlign w:val="center"/>
          </w:tcPr>
          <w:p w14:paraId="13060F8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联系电话</w:t>
            </w:r>
          </w:p>
        </w:tc>
      </w:tr>
      <w:tr w14:paraId="24C63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05FEB0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中国工商银行</w:t>
            </w:r>
          </w:p>
        </w:tc>
        <w:tc>
          <w:tcPr>
            <w:tcW w:w="1334" w:type="dxa"/>
            <w:vAlign w:val="center"/>
          </w:tcPr>
          <w:p w14:paraId="650E58E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2A6B71D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卢嘉诚</w:t>
            </w:r>
          </w:p>
        </w:tc>
        <w:tc>
          <w:tcPr>
            <w:tcW w:w="2131" w:type="dxa"/>
            <w:vAlign w:val="center"/>
          </w:tcPr>
          <w:p w14:paraId="2C933718">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88588246  13867658508</w:t>
            </w:r>
          </w:p>
        </w:tc>
      </w:tr>
      <w:tr w14:paraId="609797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C61264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中国农业银行</w:t>
            </w:r>
          </w:p>
        </w:tc>
        <w:tc>
          <w:tcPr>
            <w:tcW w:w="1334" w:type="dxa"/>
            <w:vAlign w:val="center"/>
          </w:tcPr>
          <w:p w14:paraId="1EE18E9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4552079F">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龚盛</w:t>
            </w:r>
          </w:p>
        </w:tc>
        <w:tc>
          <w:tcPr>
            <w:tcW w:w="2131" w:type="dxa"/>
            <w:vAlign w:val="center"/>
          </w:tcPr>
          <w:p w14:paraId="74FC971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15858682216</w:t>
            </w:r>
          </w:p>
        </w:tc>
      </w:tr>
      <w:tr w14:paraId="5BB48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A12800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中国建设银行</w:t>
            </w:r>
          </w:p>
        </w:tc>
        <w:tc>
          <w:tcPr>
            <w:tcW w:w="1334" w:type="dxa"/>
            <w:vAlign w:val="center"/>
          </w:tcPr>
          <w:p w14:paraId="5168938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3.8%起</w:t>
            </w:r>
          </w:p>
        </w:tc>
        <w:tc>
          <w:tcPr>
            <w:tcW w:w="1688" w:type="dxa"/>
            <w:vAlign w:val="center"/>
          </w:tcPr>
          <w:p w14:paraId="1963EB8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梅晶晶</w:t>
            </w:r>
          </w:p>
        </w:tc>
        <w:tc>
          <w:tcPr>
            <w:tcW w:w="2131" w:type="dxa"/>
            <w:vAlign w:val="center"/>
          </w:tcPr>
          <w:p w14:paraId="7B61744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88</w:t>
            </w:r>
            <w:r>
              <w:rPr>
                <w:rFonts w:hint="eastAsia" w:ascii="宋体" w:hAnsi="宋体" w:eastAsia="宋体" w:cs="宋体"/>
                <w:color w:val="auto"/>
                <w:sz w:val="21"/>
                <w:szCs w:val="21"/>
                <w:highlight w:val="none"/>
                <w:vertAlign w:val="baseline"/>
                <w:lang w:val="en-US" w:eastAsia="zh-CN"/>
              </w:rPr>
              <w:t>525339</w:t>
            </w:r>
          </w:p>
          <w:p w14:paraId="54D2D5C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13</w:t>
            </w:r>
            <w:r>
              <w:rPr>
                <w:rFonts w:hint="eastAsia" w:ascii="宋体" w:hAnsi="宋体" w:eastAsia="宋体" w:cs="宋体"/>
                <w:color w:val="auto"/>
                <w:sz w:val="21"/>
                <w:szCs w:val="21"/>
                <w:highlight w:val="none"/>
                <w:vertAlign w:val="baseline"/>
                <w:lang w:val="en-US" w:eastAsia="zh-CN"/>
              </w:rPr>
              <w:t>736585303</w:t>
            </w:r>
          </w:p>
        </w:tc>
      </w:tr>
      <w:tr w14:paraId="1FEAE1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8800CD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中国银行</w:t>
            </w:r>
          </w:p>
        </w:tc>
        <w:tc>
          <w:tcPr>
            <w:tcW w:w="1334" w:type="dxa"/>
            <w:vAlign w:val="center"/>
          </w:tcPr>
          <w:p w14:paraId="49010B5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3.75%起</w:t>
            </w:r>
          </w:p>
        </w:tc>
        <w:tc>
          <w:tcPr>
            <w:tcW w:w="1688" w:type="dxa"/>
            <w:vAlign w:val="center"/>
          </w:tcPr>
          <w:p w14:paraId="4D0FEE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w:t>
            </w:r>
          </w:p>
        </w:tc>
        <w:tc>
          <w:tcPr>
            <w:tcW w:w="2131" w:type="dxa"/>
            <w:vAlign w:val="center"/>
          </w:tcPr>
          <w:p w14:paraId="25D1CB1C">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13857677798</w:t>
            </w:r>
          </w:p>
        </w:tc>
      </w:tr>
      <w:tr w14:paraId="0EBD2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C112C7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浦发银行台州分行</w:t>
            </w:r>
          </w:p>
        </w:tc>
        <w:tc>
          <w:tcPr>
            <w:tcW w:w="1334" w:type="dxa"/>
            <w:vAlign w:val="center"/>
          </w:tcPr>
          <w:p w14:paraId="140A02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12DD26A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王渊</w:t>
            </w:r>
          </w:p>
        </w:tc>
        <w:tc>
          <w:tcPr>
            <w:tcW w:w="2131" w:type="dxa"/>
            <w:vAlign w:val="center"/>
          </w:tcPr>
          <w:p w14:paraId="569C485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13616676319</w:t>
            </w:r>
          </w:p>
        </w:tc>
      </w:tr>
      <w:tr w14:paraId="1F86A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BA62630">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浦发银行椒江分行</w:t>
            </w:r>
          </w:p>
        </w:tc>
        <w:tc>
          <w:tcPr>
            <w:tcW w:w="1334" w:type="dxa"/>
            <w:vAlign w:val="center"/>
          </w:tcPr>
          <w:p w14:paraId="70E866E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689F994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孙瑞华</w:t>
            </w:r>
          </w:p>
        </w:tc>
        <w:tc>
          <w:tcPr>
            <w:tcW w:w="2131" w:type="dxa"/>
            <w:vAlign w:val="center"/>
          </w:tcPr>
          <w:p w14:paraId="30CDDA8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13857688081</w:t>
            </w:r>
          </w:p>
        </w:tc>
      </w:tr>
      <w:tr w14:paraId="58708F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3009879A">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val="en-US" w:eastAsia="zh-CN"/>
              </w:rPr>
              <w:t>交通银行台州分行</w:t>
            </w:r>
          </w:p>
        </w:tc>
        <w:tc>
          <w:tcPr>
            <w:tcW w:w="1334" w:type="dxa"/>
            <w:vAlign w:val="center"/>
          </w:tcPr>
          <w:p w14:paraId="5260137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3.75%起</w:t>
            </w:r>
          </w:p>
        </w:tc>
        <w:tc>
          <w:tcPr>
            <w:tcW w:w="1688" w:type="dxa"/>
            <w:vAlign w:val="center"/>
          </w:tcPr>
          <w:p w14:paraId="1E46BD04">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周翔宇</w:t>
            </w:r>
          </w:p>
        </w:tc>
        <w:tc>
          <w:tcPr>
            <w:tcW w:w="2131" w:type="dxa"/>
            <w:vAlign w:val="center"/>
          </w:tcPr>
          <w:p w14:paraId="71BE56C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13867697018</w:t>
            </w:r>
          </w:p>
        </w:tc>
      </w:tr>
      <w:tr w14:paraId="7D6A0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D3F6FD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招商银行台州分行</w:t>
            </w:r>
          </w:p>
        </w:tc>
        <w:tc>
          <w:tcPr>
            <w:tcW w:w="1334" w:type="dxa"/>
            <w:vAlign w:val="center"/>
          </w:tcPr>
          <w:p w14:paraId="0F97BB4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4.32%起</w:t>
            </w:r>
          </w:p>
        </w:tc>
        <w:tc>
          <w:tcPr>
            <w:tcW w:w="1688" w:type="dxa"/>
            <w:vAlign w:val="center"/>
          </w:tcPr>
          <w:p w14:paraId="6916C25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王海玲</w:t>
            </w:r>
          </w:p>
        </w:tc>
        <w:tc>
          <w:tcPr>
            <w:tcW w:w="2131" w:type="dxa"/>
            <w:vAlign w:val="center"/>
          </w:tcPr>
          <w:p w14:paraId="5398027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13566413827</w:t>
            </w:r>
          </w:p>
        </w:tc>
      </w:tr>
      <w:tr w14:paraId="2D9D2C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7710C7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浙商银行台州分行</w:t>
            </w:r>
          </w:p>
        </w:tc>
        <w:tc>
          <w:tcPr>
            <w:tcW w:w="1334" w:type="dxa"/>
            <w:vAlign w:val="center"/>
          </w:tcPr>
          <w:p w14:paraId="41C86174">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5.01%起</w:t>
            </w:r>
          </w:p>
        </w:tc>
        <w:tc>
          <w:tcPr>
            <w:tcW w:w="1688" w:type="dxa"/>
            <w:vAlign w:val="center"/>
          </w:tcPr>
          <w:p w14:paraId="2BA3E22D">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章涉漪</w:t>
            </w:r>
          </w:p>
        </w:tc>
        <w:tc>
          <w:tcPr>
            <w:tcW w:w="2131" w:type="dxa"/>
            <w:vAlign w:val="center"/>
          </w:tcPr>
          <w:p w14:paraId="62CE4FB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81880185</w:t>
            </w:r>
          </w:p>
          <w:p w14:paraId="0E8897EA">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13606681262</w:t>
            </w:r>
          </w:p>
        </w:tc>
      </w:tr>
      <w:tr w14:paraId="69557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437B346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中信银行台州分行</w:t>
            </w:r>
          </w:p>
        </w:tc>
        <w:tc>
          <w:tcPr>
            <w:tcW w:w="1334" w:type="dxa"/>
            <w:vAlign w:val="center"/>
          </w:tcPr>
          <w:p w14:paraId="778A267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4.15%起</w:t>
            </w:r>
          </w:p>
        </w:tc>
        <w:tc>
          <w:tcPr>
            <w:tcW w:w="1688" w:type="dxa"/>
            <w:vAlign w:val="center"/>
          </w:tcPr>
          <w:p w14:paraId="6A46F0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陈金园</w:t>
            </w:r>
          </w:p>
        </w:tc>
        <w:tc>
          <w:tcPr>
            <w:tcW w:w="2131" w:type="dxa"/>
            <w:vAlign w:val="center"/>
          </w:tcPr>
          <w:p w14:paraId="4A9CEB8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13586052161</w:t>
            </w:r>
          </w:p>
        </w:tc>
      </w:tr>
      <w:tr w14:paraId="6B46BF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4E5A05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华夏银行台州分行</w:t>
            </w:r>
          </w:p>
        </w:tc>
        <w:tc>
          <w:tcPr>
            <w:tcW w:w="1334" w:type="dxa"/>
            <w:vAlign w:val="center"/>
          </w:tcPr>
          <w:p w14:paraId="43A4CEB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4.5%起</w:t>
            </w:r>
          </w:p>
        </w:tc>
        <w:tc>
          <w:tcPr>
            <w:tcW w:w="1688" w:type="dxa"/>
            <w:vAlign w:val="center"/>
          </w:tcPr>
          <w:p w14:paraId="30CCE09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邱明达</w:t>
            </w:r>
          </w:p>
        </w:tc>
        <w:tc>
          <w:tcPr>
            <w:tcW w:w="2131" w:type="dxa"/>
            <w:vAlign w:val="center"/>
          </w:tcPr>
          <w:p w14:paraId="2230BAA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81871518</w:t>
            </w:r>
          </w:p>
          <w:p w14:paraId="4DD789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13736252233</w:t>
            </w:r>
          </w:p>
        </w:tc>
      </w:tr>
      <w:tr w14:paraId="0691E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525B45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泰隆银行开发区支行</w:t>
            </w:r>
          </w:p>
        </w:tc>
        <w:tc>
          <w:tcPr>
            <w:tcW w:w="1334" w:type="dxa"/>
            <w:vAlign w:val="center"/>
          </w:tcPr>
          <w:p w14:paraId="310FC84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636AABB1">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梁宛莉</w:t>
            </w:r>
          </w:p>
        </w:tc>
        <w:tc>
          <w:tcPr>
            <w:tcW w:w="2131" w:type="dxa"/>
            <w:vAlign w:val="center"/>
          </w:tcPr>
          <w:p w14:paraId="23854F7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13306869100</w:t>
            </w:r>
          </w:p>
        </w:tc>
      </w:tr>
      <w:tr w14:paraId="04481A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1A2B27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民泰银行椒江支行</w:t>
            </w:r>
          </w:p>
        </w:tc>
        <w:tc>
          <w:tcPr>
            <w:tcW w:w="1334" w:type="dxa"/>
            <w:vAlign w:val="center"/>
          </w:tcPr>
          <w:p w14:paraId="5127FFE2">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5.8%起</w:t>
            </w:r>
          </w:p>
        </w:tc>
        <w:tc>
          <w:tcPr>
            <w:tcW w:w="1688" w:type="dxa"/>
            <w:vAlign w:val="center"/>
          </w:tcPr>
          <w:p w14:paraId="0561E30E">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陈慧珠</w:t>
            </w:r>
          </w:p>
        </w:tc>
        <w:tc>
          <w:tcPr>
            <w:tcW w:w="2131" w:type="dxa"/>
            <w:vAlign w:val="center"/>
          </w:tcPr>
          <w:p w14:paraId="782BFC2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13857699669</w:t>
            </w:r>
          </w:p>
        </w:tc>
      </w:tr>
      <w:tr w14:paraId="7CBD62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58096FB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绍兴银行台州分行</w:t>
            </w:r>
          </w:p>
        </w:tc>
        <w:tc>
          <w:tcPr>
            <w:tcW w:w="1334" w:type="dxa"/>
            <w:vAlign w:val="center"/>
          </w:tcPr>
          <w:p w14:paraId="4B79179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5.1%起</w:t>
            </w:r>
          </w:p>
        </w:tc>
        <w:tc>
          <w:tcPr>
            <w:tcW w:w="1688" w:type="dxa"/>
            <w:vAlign w:val="center"/>
          </w:tcPr>
          <w:p w14:paraId="46B681A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郭庭斌</w:t>
            </w:r>
          </w:p>
        </w:tc>
        <w:tc>
          <w:tcPr>
            <w:tcW w:w="2131" w:type="dxa"/>
            <w:vAlign w:val="center"/>
          </w:tcPr>
          <w:p w14:paraId="37FEBD3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15958633119</w:t>
            </w:r>
          </w:p>
        </w:tc>
      </w:tr>
      <w:tr w14:paraId="54C39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10C574F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温州银行台州分行</w:t>
            </w:r>
          </w:p>
        </w:tc>
        <w:tc>
          <w:tcPr>
            <w:tcW w:w="1334" w:type="dxa"/>
            <w:vAlign w:val="center"/>
          </w:tcPr>
          <w:p w14:paraId="6F48886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4.55%起</w:t>
            </w:r>
          </w:p>
        </w:tc>
        <w:tc>
          <w:tcPr>
            <w:tcW w:w="1688" w:type="dxa"/>
            <w:vAlign w:val="center"/>
          </w:tcPr>
          <w:p w14:paraId="0D314307">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王晓波</w:t>
            </w:r>
          </w:p>
        </w:tc>
        <w:tc>
          <w:tcPr>
            <w:tcW w:w="2131" w:type="dxa"/>
            <w:vAlign w:val="center"/>
          </w:tcPr>
          <w:p w14:paraId="72B612C1">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15824005475</w:t>
            </w:r>
          </w:p>
        </w:tc>
      </w:tr>
      <w:tr w14:paraId="4B695E0A">
        <w:tblPrEx>
          <w:tblCellMar>
            <w:top w:w="0" w:type="dxa"/>
            <w:left w:w="108" w:type="dxa"/>
            <w:bottom w:w="0" w:type="dxa"/>
            <w:right w:w="108" w:type="dxa"/>
          </w:tblCellMar>
        </w:tblPrEx>
        <w:trPr>
          <w:jc w:val="center"/>
        </w:trPr>
        <w:tc>
          <w:tcPr>
            <w:tcW w:w="3369" w:type="dxa"/>
            <w:vAlign w:val="center"/>
          </w:tcPr>
          <w:p w14:paraId="218B9358">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平安银行台州分行</w:t>
            </w:r>
          </w:p>
        </w:tc>
        <w:tc>
          <w:tcPr>
            <w:tcW w:w="1334" w:type="dxa"/>
            <w:vAlign w:val="center"/>
          </w:tcPr>
          <w:p w14:paraId="01535A63">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6.53%起</w:t>
            </w:r>
          </w:p>
        </w:tc>
        <w:tc>
          <w:tcPr>
            <w:tcW w:w="1688" w:type="dxa"/>
            <w:vAlign w:val="center"/>
          </w:tcPr>
          <w:p w14:paraId="7B683205">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李俊丽</w:t>
            </w:r>
          </w:p>
        </w:tc>
        <w:tc>
          <w:tcPr>
            <w:tcW w:w="2131" w:type="dxa"/>
            <w:vAlign w:val="center"/>
          </w:tcPr>
          <w:p w14:paraId="694BCDDC">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15906861025</w:t>
            </w:r>
          </w:p>
        </w:tc>
      </w:tr>
      <w:tr w14:paraId="24E02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27C1382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宁波银行台州分行</w:t>
            </w:r>
          </w:p>
        </w:tc>
        <w:tc>
          <w:tcPr>
            <w:tcW w:w="1334" w:type="dxa"/>
            <w:vAlign w:val="center"/>
          </w:tcPr>
          <w:p w14:paraId="39A9BDA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4.35%起</w:t>
            </w:r>
          </w:p>
        </w:tc>
        <w:tc>
          <w:tcPr>
            <w:tcW w:w="1688" w:type="dxa"/>
            <w:vAlign w:val="center"/>
          </w:tcPr>
          <w:p w14:paraId="3B6DEBFB">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戴莉丽</w:t>
            </w:r>
          </w:p>
        </w:tc>
        <w:tc>
          <w:tcPr>
            <w:tcW w:w="2131" w:type="dxa"/>
            <w:vAlign w:val="center"/>
          </w:tcPr>
          <w:p w14:paraId="0034C557">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13566627207</w:t>
            </w:r>
          </w:p>
        </w:tc>
      </w:tr>
      <w:tr w14:paraId="642C83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7E069039">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金华银行台州分行</w:t>
            </w:r>
          </w:p>
        </w:tc>
        <w:tc>
          <w:tcPr>
            <w:tcW w:w="1334" w:type="dxa"/>
            <w:vAlign w:val="center"/>
          </w:tcPr>
          <w:p w14:paraId="0FFD653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4.05%起</w:t>
            </w:r>
          </w:p>
        </w:tc>
        <w:tc>
          <w:tcPr>
            <w:tcW w:w="1688" w:type="dxa"/>
            <w:vAlign w:val="center"/>
          </w:tcPr>
          <w:p w14:paraId="39B95A39">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金雪婷</w:t>
            </w:r>
          </w:p>
        </w:tc>
        <w:tc>
          <w:tcPr>
            <w:tcW w:w="2131" w:type="dxa"/>
            <w:vAlign w:val="center"/>
          </w:tcPr>
          <w:p w14:paraId="0A1E6BA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81886670</w:t>
            </w:r>
          </w:p>
          <w:p w14:paraId="11771BB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15968661569</w:t>
            </w:r>
          </w:p>
        </w:tc>
      </w:tr>
      <w:tr w14:paraId="2CA1DB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6D186796">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台州银行</w:t>
            </w:r>
          </w:p>
        </w:tc>
        <w:tc>
          <w:tcPr>
            <w:tcW w:w="1334" w:type="dxa"/>
            <w:vAlign w:val="center"/>
          </w:tcPr>
          <w:p w14:paraId="0495EF9F">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5.6%起</w:t>
            </w:r>
          </w:p>
        </w:tc>
        <w:tc>
          <w:tcPr>
            <w:tcW w:w="1688" w:type="dxa"/>
            <w:vAlign w:val="center"/>
          </w:tcPr>
          <w:p w14:paraId="4A522973">
            <w:pPr>
              <w:jc w:val="center"/>
              <w:rPr>
                <w:rFonts w:hint="eastAsia" w:ascii="宋体" w:hAnsi="宋体" w:eastAsia="宋体" w:cs="宋体"/>
                <w:color w:val="auto"/>
                <w:sz w:val="21"/>
                <w:szCs w:val="21"/>
                <w:highlight w:val="none"/>
                <w:vertAlign w:val="baseline"/>
                <w:lang w:eastAsia="zh-CN"/>
              </w:rPr>
            </w:pPr>
            <w:r>
              <w:rPr>
                <w:rFonts w:hint="eastAsia" w:ascii="宋体" w:hAnsi="宋体" w:eastAsia="宋体" w:cs="宋体"/>
                <w:color w:val="auto"/>
                <w:sz w:val="21"/>
                <w:szCs w:val="21"/>
                <w:highlight w:val="none"/>
                <w:vertAlign w:val="baseline"/>
                <w:lang w:eastAsia="zh-CN"/>
              </w:rPr>
              <w:t>洪婷</w:t>
            </w:r>
          </w:p>
        </w:tc>
        <w:tc>
          <w:tcPr>
            <w:tcW w:w="2131" w:type="dxa"/>
            <w:vAlign w:val="center"/>
          </w:tcPr>
          <w:p w14:paraId="63558EA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15858624999</w:t>
            </w:r>
          </w:p>
        </w:tc>
      </w:tr>
      <w:tr w14:paraId="558E28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369" w:type="dxa"/>
            <w:vAlign w:val="center"/>
          </w:tcPr>
          <w:p w14:paraId="03910695">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邮储银行台州分行</w:t>
            </w:r>
          </w:p>
        </w:tc>
        <w:tc>
          <w:tcPr>
            <w:tcW w:w="1334" w:type="dxa"/>
            <w:vAlign w:val="center"/>
          </w:tcPr>
          <w:p w14:paraId="41475E20">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3.85%起</w:t>
            </w:r>
          </w:p>
        </w:tc>
        <w:tc>
          <w:tcPr>
            <w:tcW w:w="1688" w:type="dxa"/>
            <w:vAlign w:val="center"/>
          </w:tcPr>
          <w:p w14:paraId="79C4F81D">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eastAsia="zh-CN"/>
              </w:rPr>
              <w:t>董庆</w:t>
            </w:r>
          </w:p>
        </w:tc>
        <w:tc>
          <w:tcPr>
            <w:tcW w:w="2131" w:type="dxa"/>
            <w:vAlign w:val="center"/>
          </w:tcPr>
          <w:p w14:paraId="7AA2A98B">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81888982</w:t>
            </w:r>
          </w:p>
          <w:p w14:paraId="7EBB577E">
            <w:pPr>
              <w:jc w:val="center"/>
              <w:rPr>
                <w:rFonts w:hint="eastAsia" w:ascii="宋体" w:hAnsi="宋体" w:eastAsia="宋体" w:cs="宋体"/>
                <w:color w:val="auto"/>
                <w:sz w:val="21"/>
                <w:szCs w:val="21"/>
                <w:highlight w:val="none"/>
                <w:vertAlign w:val="baseline"/>
                <w:lang w:val="en-US" w:eastAsia="zh-CN"/>
              </w:rPr>
            </w:pPr>
            <w:r>
              <w:rPr>
                <w:rFonts w:hint="eastAsia" w:ascii="宋体" w:hAnsi="宋体" w:eastAsia="宋体" w:cs="宋体"/>
                <w:color w:val="auto"/>
                <w:sz w:val="21"/>
                <w:szCs w:val="21"/>
                <w:highlight w:val="none"/>
                <w:vertAlign w:val="baseline"/>
                <w:lang w:val="en-US" w:eastAsia="zh-CN"/>
              </w:rPr>
              <w:t>18957683735</w:t>
            </w:r>
          </w:p>
        </w:tc>
      </w:tr>
    </w:tbl>
    <w:p w14:paraId="67FEBE68">
      <w:pPr>
        <w:pStyle w:val="2"/>
        <w:rPr>
          <w:rFonts w:hint="eastAsia" w:ascii="宋体" w:hAnsi="宋体" w:eastAsia="宋体" w:cs="宋体"/>
          <w:color w:val="auto"/>
          <w:highlight w:val="none"/>
        </w:rPr>
      </w:pPr>
    </w:p>
    <w:p w14:paraId="03AFC934">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color w:val="auto"/>
          <w:szCs w:val="21"/>
          <w:highlight w:val="none"/>
        </w:rPr>
      </w:pPr>
      <w:r>
        <w:rPr>
          <w:rFonts w:hint="eastAsia" w:ascii="宋体" w:hAnsi="宋体" w:eastAsia="宋体" w:cs="宋体"/>
          <w:b/>
          <w:color w:val="auto"/>
          <w:szCs w:val="21"/>
          <w:highlight w:val="none"/>
          <w:lang w:val="en-US" w:eastAsia="zh-CN"/>
        </w:rPr>
        <w:t>十一</w:t>
      </w:r>
      <w:r>
        <w:rPr>
          <w:rFonts w:hint="eastAsia" w:ascii="宋体" w:hAnsi="宋体" w:eastAsia="宋体" w:cs="宋体"/>
          <w:b/>
          <w:color w:val="auto"/>
          <w:szCs w:val="21"/>
          <w:highlight w:val="none"/>
        </w:rPr>
        <w:t>、采购（中标）公告发布媒体：</w:t>
      </w:r>
      <w:r>
        <w:rPr>
          <w:rFonts w:hint="eastAsia" w:ascii="宋体" w:hAnsi="宋体" w:eastAsia="宋体" w:cs="宋体"/>
          <w:color w:val="auto"/>
          <w:szCs w:val="21"/>
          <w:highlight w:val="none"/>
        </w:rPr>
        <w:t>浙江政府采购网（</w:t>
      </w:r>
      <w:r>
        <w:rPr>
          <w:rFonts w:hint="eastAsia" w:ascii="宋体" w:hAnsi="宋体" w:eastAsia="宋体" w:cs="宋体"/>
          <w:color w:val="auto"/>
          <w:highlight w:val="none"/>
        </w:rPr>
        <w:fldChar w:fldCharType="begin"/>
      </w:r>
      <w:r>
        <w:rPr>
          <w:rFonts w:hint="eastAsia" w:ascii="宋体" w:hAnsi="宋体" w:eastAsia="宋体" w:cs="宋体"/>
          <w:color w:val="auto"/>
          <w:highlight w:val="none"/>
        </w:rPr>
        <w:instrText xml:space="preserve"> HYPERLINK "http://www.zjzfcg.gov.cn/new/" </w:instrText>
      </w:r>
      <w:r>
        <w:rPr>
          <w:rFonts w:hint="eastAsia" w:ascii="宋体" w:hAnsi="宋体" w:eastAsia="宋体" w:cs="宋体"/>
          <w:color w:val="auto"/>
          <w:highlight w:val="none"/>
        </w:rPr>
        <w:fldChar w:fldCharType="separate"/>
      </w:r>
      <w:r>
        <w:rPr>
          <w:rStyle w:val="27"/>
          <w:rFonts w:hint="eastAsia" w:ascii="宋体" w:hAnsi="宋体" w:eastAsia="宋体" w:cs="宋体"/>
          <w:color w:val="auto"/>
          <w:szCs w:val="21"/>
          <w:highlight w:val="none"/>
        </w:rPr>
        <w:t>http://zfcg.czt.zj.gov.cn</w:t>
      </w:r>
      <w:r>
        <w:rPr>
          <w:rStyle w:val="27"/>
          <w:rFonts w:hint="eastAsia" w:ascii="宋体" w:hAnsi="宋体" w:eastAsia="宋体" w:cs="宋体"/>
          <w:color w:val="auto"/>
          <w:szCs w:val="21"/>
          <w:highlight w:val="none"/>
        </w:rPr>
        <w:fldChar w:fldCharType="end"/>
      </w:r>
      <w:r>
        <w:rPr>
          <w:rFonts w:hint="eastAsia" w:ascii="宋体" w:hAnsi="宋体" w:eastAsia="宋体" w:cs="宋体"/>
          <w:color w:val="auto"/>
          <w:szCs w:val="21"/>
          <w:highlight w:val="none"/>
        </w:rPr>
        <w:t>）</w:t>
      </w:r>
    </w:p>
    <w:p w14:paraId="5D8FFBC5">
      <w:pPr>
        <w:keepNext w:val="0"/>
        <w:keepLines w:val="0"/>
        <w:pageBreakBefore w:val="0"/>
        <w:widowControl w:val="0"/>
        <w:kinsoku/>
        <w:wordWrap w:val="0"/>
        <w:overflowPunct/>
        <w:topLinePunct w:val="0"/>
        <w:autoSpaceDE/>
        <w:autoSpaceDN/>
        <w:bidi w:val="0"/>
        <w:adjustRightInd/>
        <w:snapToGrid/>
        <w:spacing w:beforeAutospacing="0" w:afterAutospacing="0" w:line="360" w:lineRule="auto"/>
        <w:ind w:right="0" w:rightChars="0" w:firstLine="422" w:firstLineChars="200"/>
        <w:textAlignment w:val="auto"/>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备注：请贵单位下载本次招标采购文件后，认真阅读各项内容，进行必要的准备工作，按文件的要求详细填写和编制响应文件，并按以上确定的时间、地点准时上传</w:t>
      </w:r>
      <w:r>
        <w:rPr>
          <w:rFonts w:hint="eastAsia" w:ascii="宋体" w:hAnsi="宋体" w:eastAsia="宋体" w:cs="宋体"/>
          <w:b/>
          <w:color w:val="auto"/>
          <w:szCs w:val="21"/>
          <w:highlight w:val="none"/>
          <w:lang w:val="en-US" w:eastAsia="zh-CN"/>
        </w:rPr>
        <w:t>响应</w:t>
      </w:r>
      <w:r>
        <w:rPr>
          <w:rFonts w:hint="eastAsia" w:ascii="宋体" w:hAnsi="宋体" w:eastAsia="宋体" w:cs="宋体"/>
          <w:b/>
          <w:color w:val="auto"/>
          <w:szCs w:val="21"/>
          <w:highlight w:val="none"/>
        </w:rPr>
        <w:t>文件。</w:t>
      </w:r>
    </w:p>
    <w:p w14:paraId="3EDD79EC">
      <w:pPr>
        <w:spacing w:line="240" w:lineRule="auto"/>
        <w:ind w:firstLine="420" w:firstLineChars="200"/>
        <w:jc w:val="left"/>
        <w:rPr>
          <w:rFonts w:hint="eastAsia" w:ascii="宋体" w:hAnsi="宋体" w:eastAsia="宋体" w:cs="宋体"/>
          <w:color w:val="auto"/>
          <w:sz w:val="21"/>
          <w:szCs w:val="21"/>
          <w:highlight w:val="none"/>
        </w:rPr>
      </w:pPr>
    </w:p>
    <w:p w14:paraId="61BCE746">
      <w:pPr>
        <w:spacing w:line="240" w:lineRule="auto"/>
        <w:jc w:val="righ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eastAsia="zh-CN"/>
        </w:rPr>
        <w:t>浙江汇永工程咨询有限公司</w:t>
      </w:r>
    </w:p>
    <w:p w14:paraId="517803A3">
      <w:pPr>
        <w:pStyle w:val="8"/>
        <w:jc w:val="right"/>
        <w:rPr>
          <w:rFonts w:hint="eastAsia" w:ascii="宋体" w:hAnsi="宋体" w:eastAsia="宋体" w:cs="宋体"/>
          <w:b/>
          <w:color w:val="auto"/>
          <w:sz w:val="36"/>
          <w:szCs w:val="36"/>
          <w:highlight w:val="none"/>
          <w:lang w:val="en-US" w:eastAsia="zh-CN"/>
        </w:rPr>
        <w:sectPr>
          <w:headerReference r:id="rId3" w:type="default"/>
          <w:footerReference r:id="rId4" w:type="default"/>
          <w:pgSz w:w="11906" w:h="16838"/>
          <w:pgMar w:top="1440" w:right="1440" w:bottom="1440" w:left="1803" w:header="851" w:footer="992" w:gutter="0"/>
          <w:pgNumType w:fmt="decimal"/>
          <w:cols w:space="0" w:num="1"/>
          <w:docGrid w:type="lines" w:linePitch="325" w:charSpace="0"/>
        </w:sectPr>
      </w:pPr>
      <w:r>
        <w:rPr>
          <w:rFonts w:hint="eastAsia" w:ascii="宋体" w:hAnsi="宋体" w:cs="宋体"/>
          <w:color w:val="auto"/>
          <w:sz w:val="21"/>
          <w:szCs w:val="21"/>
          <w:highlight w:val="none"/>
          <w:lang w:eastAsia="zh-CN"/>
        </w:rPr>
        <w:t>二○二五年三月</w:t>
      </w:r>
    </w:p>
    <w:p w14:paraId="7354F7BA">
      <w:pPr>
        <w:numPr>
          <w:ilvl w:val="0"/>
          <w:numId w:val="0"/>
        </w:num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lang w:val="en-US" w:eastAsia="zh-CN"/>
        </w:rPr>
        <w:t xml:space="preserve">第二章 </w:t>
      </w:r>
      <w:r>
        <w:rPr>
          <w:rFonts w:hint="eastAsia" w:ascii="宋体" w:hAnsi="宋体" w:eastAsia="宋体" w:cs="宋体"/>
          <w:b/>
          <w:color w:val="auto"/>
          <w:sz w:val="36"/>
          <w:szCs w:val="36"/>
          <w:highlight w:val="none"/>
          <w:lang w:eastAsia="zh-CN"/>
        </w:rPr>
        <w:t>供应商须知</w:t>
      </w:r>
    </w:p>
    <w:p w14:paraId="22AD3153">
      <w:pPr>
        <w:keepNext w:val="0"/>
        <w:keepLines w:val="0"/>
        <w:pageBreakBefore w:val="0"/>
        <w:kinsoku/>
        <w:wordWrap/>
        <w:overflowPunct/>
        <w:topLinePunct w:val="0"/>
        <w:bidi w:val="0"/>
        <w:spacing w:line="360" w:lineRule="auto"/>
        <w:jc w:val="center"/>
        <w:outlineLvl w:val="9"/>
        <w:rPr>
          <w:rFonts w:hint="eastAsia" w:ascii="宋体" w:hAnsi="宋体" w:eastAsia="宋体" w:cs="宋体"/>
          <w:b/>
          <w:color w:val="auto"/>
          <w:sz w:val="28"/>
          <w:szCs w:val="28"/>
          <w:highlight w:val="none"/>
        </w:rPr>
      </w:pPr>
      <w:r>
        <w:rPr>
          <w:rFonts w:hint="eastAsia" w:ascii="宋体" w:hAnsi="宋体" w:eastAsia="宋体" w:cs="宋体"/>
          <w:b/>
          <w:color w:val="auto"/>
          <w:sz w:val="28"/>
          <w:szCs w:val="28"/>
          <w:highlight w:val="none"/>
        </w:rPr>
        <w:t>前</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附</w:t>
      </w:r>
      <w:r>
        <w:rPr>
          <w:rFonts w:hint="eastAsia" w:ascii="宋体" w:hAnsi="宋体" w:eastAsia="宋体" w:cs="宋体"/>
          <w:b/>
          <w:color w:val="auto"/>
          <w:sz w:val="28"/>
          <w:szCs w:val="28"/>
          <w:highlight w:val="none"/>
          <w:lang w:val="en-US" w:eastAsia="zh-CN"/>
        </w:rPr>
        <w:t xml:space="preserve"> </w:t>
      </w:r>
      <w:r>
        <w:rPr>
          <w:rFonts w:hint="eastAsia" w:ascii="宋体" w:hAnsi="宋体" w:eastAsia="宋体" w:cs="宋体"/>
          <w:b/>
          <w:color w:val="auto"/>
          <w:sz w:val="28"/>
          <w:szCs w:val="28"/>
          <w:highlight w:val="none"/>
        </w:rPr>
        <w:t>表</w:t>
      </w:r>
    </w:p>
    <w:tbl>
      <w:tblPr>
        <w:tblStyle w:val="22"/>
        <w:tblW w:w="92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4"/>
        <w:gridCol w:w="2083"/>
        <w:gridCol w:w="6462"/>
      </w:tblGrid>
      <w:tr w14:paraId="565B7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12BD98E3">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2083" w:type="dxa"/>
            <w:vAlign w:val="center"/>
          </w:tcPr>
          <w:p w14:paraId="5EB3266E">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w:t>
            </w:r>
          </w:p>
        </w:tc>
        <w:tc>
          <w:tcPr>
            <w:tcW w:w="6462" w:type="dxa"/>
            <w:vAlign w:val="center"/>
          </w:tcPr>
          <w:p w14:paraId="51C1E045">
            <w:pPr>
              <w:keepNext w:val="0"/>
              <w:keepLines w:val="0"/>
              <w:pageBreakBefore w:val="0"/>
              <w:kinsoku/>
              <w:wordWrap/>
              <w:overflowPunct/>
              <w:topLinePunct w:val="0"/>
              <w:bidi w:val="0"/>
              <w:spacing w:line="24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内容</w:t>
            </w:r>
          </w:p>
        </w:tc>
      </w:tr>
      <w:tr w14:paraId="046E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jc w:val="center"/>
        </w:trPr>
        <w:tc>
          <w:tcPr>
            <w:tcW w:w="674" w:type="dxa"/>
            <w:vAlign w:val="center"/>
          </w:tcPr>
          <w:p w14:paraId="044DCB5C">
            <w:pPr>
              <w:spacing w:line="240" w:lineRule="auto"/>
              <w:jc w:val="center"/>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sz w:val="21"/>
                <w:szCs w:val="21"/>
                <w:highlight w:val="none"/>
                <w:lang w:val="en-US" w:eastAsia="zh-CN"/>
              </w:rPr>
              <w:t>1</w:t>
            </w:r>
          </w:p>
        </w:tc>
        <w:tc>
          <w:tcPr>
            <w:tcW w:w="2083" w:type="dxa"/>
            <w:vAlign w:val="center"/>
          </w:tcPr>
          <w:p w14:paraId="4BB40E93">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项目说明</w:t>
            </w:r>
          </w:p>
        </w:tc>
        <w:tc>
          <w:tcPr>
            <w:tcW w:w="6462" w:type="dxa"/>
            <w:vAlign w:val="center"/>
          </w:tcPr>
          <w:p w14:paraId="231AF1BF">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项目类别：服务类</w:t>
            </w:r>
          </w:p>
          <w:p w14:paraId="45975422">
            <w:pPr>
              <w:keepNext w:val="0"/>
              <w:keepLines w:val="0"/>
              <w:pageBreakBefore w:val="0"/>
              <w:widowControl/>
              <w:kinsoku/>
              <w:wordWrap/>
              <w:overflowPunct/>
              <w:topLinePunct w:val="0"/>
              <w:autoSpaceDE/>
              <w:autoSpaceDN/>
              <w:bidi w:val="0"/>
              <w:adjustRightInd w:val="0"/>
              <w:snapToGrid w:val="0"/>
              <w:spacing w:line="360" w:lineRule="auto"/>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采购标的所属行业：根据《工业和信息化部、国家统计局、国家发展和改革委员会、财政部关于印发中小企业划型标准规定的通知》（工信部联企业[2011]300号）规定，本项目采购标的对应的中小企业划分标准所属行业为（十六）其他未列明行业。</w:t>
            </w:r>
          </w:p>
        </w:tc>
      </w:tr>
      <w:tr w14:paraId="32090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65FE9D1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2</w:t>
            </w:r>
          </w:p>
        </w:tc>
        <w:tc>
          <w:tcPr>
            <w:tcW w:w="2083" w:type="dxa"/>
            <w:vAlign w:val="center"/>
          </w:tcPr>
          <w:p w14:paraId="0CF44C1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供应商特定资格要求</w:t>
            </w:r>
          </w:p>
        </w:tc>
        <w:tc>
          <w:tcPr>
            <w:tcW w:w="6462" w:type="dxa"/>
            <w:vAlign w:val="center"/>
          </w:tcPr>
          <w:p w14:paraId="3603964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符合</w:t>
            </w:r>
            <w:r>
              <w:rPr>
                <w:rFonts w:hint="eastAsia" w:ascii="宋体" w:hAnsi="宋体" w:eastAsia="宋体" w:cs="宋体"/>
                <w:color w:val="auto"/>
                <w:sz w:val="21"/>
                <w:szCs w:val="21"/>
                <w:highlight w:val="none"/>
                <w:lang w:eastAsia="zh-CN"/>
              </w:rPr>
              <w:t>竞争性磋商公告</w:t>
            </w:r>
            <w:r>
              <w:rPr>
                <w:rFonts w:hint="eastAsia" w:ascii="宋体" w:hAnsi="宋体" w:eastAsia="宋体" w:cs="宋体"/>
                <w:color w:val="auto"/>
                <w:sz w:val="21"/>
                <w:szCs w:val="21"/>
                <w:highlight w:val="none"/>
              </w:rPr>
              <w:t>资格要求的供应商</w:t>
            </w:r>
          </w:p>
        </w:tc>
      </w:tr>
      <w:tr w14:paraId="048708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674" w:type="dxa"/>
            <w:vAlign w:val="center"/>
          </w:tcPr>
          <w:p w14:paraId="2E25B65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p>
        </w:tc>
        <w:tc>
          <w:tcPr>
            <w:tcW w:w="2083" w:type="dxa"/>
            <w:vAlign w:val="center"/>
          </w:tcPr>
          <w:p w14:paraId="221531B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答疑会或现场踏勘</w:t>
            </w:r>
          </w:p>
        </w:tc>
        <w:tc>
          <w:tcPr>
            <w:tcW w:w="6462" w:type="dxa"/>
            <w:vAlign w:val="center"/>
          </w:tcPr>
          <w:p w14:paraId="0D756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无</w:t>
            </w:r>
          </w:p>
        </w:tc>
      </w:tr>
      <w:tr w14:paraId="37C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jc w:val="center"/>
        </w:trPr>
        <w:tc>
          <w:tcPr>
            <w:tcW w:w="674" w:type="dxa"/>
            <w:vAlign w:val="center"/>
          </w:tcPr>
          <w:p w14:paraId="2064A3FD">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c>
          <w:tcPr>
            <w:tcW w:w="2083" w:type="dxa"/>
            <w:vAlign w:val="center"/>
          </w:tcPr>
          <w:p w14:paraId="7F2ACB01">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lang w:val="en-US" w:eastAsia="zh-CN"/>
              </w:rPr>
              <w:t>组成</w:t>
            </w:r>
            <w:r>
              <w:rPr>
                <w:rFonts w:hint="eastAsia" w:ascii="宋体" w:hAnsi="宋体" w:eastAsia="宋体" w:cs="宋体"/>
                <w:color w:val="auto"/>
                <w:sz w:val="21"/>
                <w:szCs w:val="21"/>
                <w:highlight w:val="none"/>
              </w:rPr>
              <w:t>要求</w:t>
            </w:r>
          </w:p>
        </w:tc>
        <w:tc>
          <w:tcPr>
            <w:tcW w:w="6462" w:type="dxa"/>
            <w:vAlign w:val="center"/>
          </w:tcPr>
          <w:p w14:paraId="7EE0301C">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本项目实行电子投标，供应商应准备电子磋商响应文件、</w:t>
            </w:r>
            <w:r>
              <w:rPr>
                <w:rFonts w:hint="eastAsia" w:ascii="宋体" w:hAnsi="宋体" w:eastAsia="宋体" w:cs="宋体"/>
                <w:color w:val="auto"/>
                <w:sz w:val="21"/>
                <w:szCs w:val="21"/>
                <w:highlight w:val="none"/>
                <w:lang w:val="en-US" w:eastAsia="zh-CN"/>
              </w:rPr>
              <w:t>还可以提供</w:t>
            </w:r>
            <w:r>
              <w:rPr>
                <w:rFonts w:hint="eastAsia" w:ascii="宋体" w:hAnsi="宋体" w:eastAsia="宋体" w:cs="宋体"/>
                <w:color w:val="auto"/>
                <w:sz w:val="21"/>
                <w:szCs w:val="21"/>
                <w:highlight w:val="none"/>
              </w:rPr>
              <w:t>以介质（U盘）存储的数据电文形式的备份磋商响应文件</w:t>
            </w:r>
            <w:r>
              <w:rPr>
                <w:rFonts w:hint="eastAsia" w:ascii="宋体" w:hAnsi="宋体" w:eastAsia="宋体" w:cs="宋体"/>
                <w:color w:val="auto"/>
                <w:sz w:val="21"/>
                <w:szCs w:val="21"/>
                <w:highlight w:val="none"/>
                <w:lang w:eastAsia="zh-CN"/>
              </w:rPr>
              <w:t>。</w:t>
            </w:r>
          </w:p>
          <w:p w14:paraId="2C972D3A">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电子磋商响应文件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指通过“</w:t>
            </w:r>
            <w:r>
              <w:rPr>
                <w:rFonts w:hint="eastAsia" w:ascii="宋体" w:hAnsi="宋体" w:eastAsia="宋体" w:cs="宋体"/>
                <w:color w:val="auto"/>
                <w:sz w:val="21"/>
                <w:szCs w:val="21"/>
                <w:highlight w:val="none"/>
                <w:lang w:eastAsia="zh-CN"/>
              </w:rPr>
              <w:t>政采云电子投标客户端</w:t>
            </w:r>
            <w:r>
              <w:rPr>
                <w:rFonts w:hint="eastAsia" w:ascii="宋体" w:hAnsi="宋体" w:eastAsia="宋体" w:cs="宋体"/>
                <w:color w:val="auto"/>
                <w:sz w:val="21"/>
                <w:szCs w:val="21"/>
                <w:highlight w:val="none"/>
              </w:rPr>
              <w:t>”完成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文件编制后生成并加密的数据电文形式的</w:t>
            </w:r>
            <w:r>
              <w:rPr>
                <w:rFonts w:hint="eastAsia" w:ascii="宋体" w:hAnsi="宋体" w:eastAsia="宋体" w:cs="宋体"/>
                <w:color w:val="auto"/>
                <w:sz w:val="21"/>
                <w:szCs w:val="21"/>
                <w:highlight w:val="none"/>
                <w:lang w:val="en-US" w:eastAsia="zh-CN"/>
              </w:rPr>
              <w:t>电子</w:t>
            </w:r>
            <w:r>
              <w:rPr>
                <w:rFonts w:hint="eastAsia" w:ascii="宋体" w:hAnsi="宋体" w:eastAsia="宋体" w:cs="宋体"/>
                <w:color w:val="auto"/>
                <w:sz w:val="21"/>
                <w:szCs w:val="21"/>
                <w:highlight w:val="none"/>
              </w:rPr>
              <w:t>磋商响应文件。</w:t>
            </w:r>
          </w:p>
          <w:p w14:paraId="58735CB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备份磋商响应文件</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是指“电子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文件”同时生成的数据电文形式的电子文件（备份标书），以U盘形式提供。</w:t>
            </w:r>
          </w:p>
          <w:p w14:paraId="110BEE31">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以上两类</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rPr>
              <w:t>文件均由资格</w:t>
            </w:r>
            <w:r>
              <w:rPr>
                <w:rFonts w:hint="eastAsia" w:ascii="宋体" w:hAnsi="宋体" w:eastAsia="宋体" w:cs="宋体"/>
                <w:color w:val="auto"/>
                <w:sz w:val="21"/>
                <w:szCs w:val="21"/>
                <w:highlight w:val="none"/>
                <w:lang w:val="en-US" w:eastAsia="zh-CN"/>
              </w:rPr>
              <w:t>证明文件</w:t>
            </w:r>
            <w:r>
              <w:rPr>
                <w:rFonts w:hint="eastAsia" w:ascii="宋体" w:hAnsi="宋体" w:eastAsia="宋体" w:cs="宋体"/>
                <w:color w:val="auto"/>
                <w:sz w:val="21"/>
                <w:szCs w:val="21"/>
                <w:highlight w:val="none"/>
              </w:rPr>
              <w:t>、商务技术文件、报价文件三部分组成。</w:t>
            </w:r>
          </w:p>
        </w:tc>
      </w:tr>
      <w:tr w14:paraId="3C80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705F072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c>
          <w:tcPr>
            <w:tcW w:w="2083" w:type="dxa"/>
            <w:vAlign w:val="center"/>
          </w:tcPr>
          <w:p w14:paraId="21C3A8C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有效期</w:t>
            </w:r>
          </w:p>
        </w:tc>
        <w:tc>
          <w:tcPr>
            <w:tcW w:w="6462" w:type="dxa"/>
            <w:vAlign w:val="center"/>
          </w:tcPr>
          <w:p w14:paraId="691A8AA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有效期为90天，</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有效期从提交</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的截止之日起算。</w:t>
            </w:r>
          </w:p>
        </w:tc>
      </w:tr>
      <w:tr w14:paraId="76F02F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38" w:hRule="atLeast"/>
          <w:jc w:val="center"/>
        </w:trPr>
        <w:tc>
          <w:tcPr>
            <w:tcW w:w="674" w:type="dxa"/>
            <w:vAlign w:val="center"/>
          </w:tcPr>
          <w:p w14:paraId="427CC27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c>
          <w:tcPr>
            <w:tcW w:w="2083" w:type="dxa"/>
            <w:vAlign w:val="center"/>
          </w:tcPr>
          <w:p w14:paraId="6D92170E">
            <w:pPr>
              <w:pStyle w:val="8"/>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电子磋商响应文件的传输递交</w:t>
            </w:r>
          </w:p>
        </w:tc>
        <w:tc>
          <w:tcPr>
            <w:tcW w:w="6462" w:type="dxa"/>
            <w:vAlign w:val="center"/>
          </w:tcPr>
          <w:p w14:paraId="33CAB772">
            <w:pPr>
              <w:keepNext w:val="0"/>
              <w:keepLines w:val="0"/>
              <w:pageBreakBefore w:val="0"/>
              <w:kinsoku/>
              <w:wordWrap/>
              <w:overflowPunct/>
              <w:topLinePunct w:val="0"/>
              <w:bidi w:val="0"/>
              <w:spacing w:line="240" w:lineRule="auto"/>
              <w:outlineLvl w:val="9"/>
              <w:rPr>
                <w:rFonts w:hint="eastAsia" w:ascii="宋体" w:hAnsi="宋体" w:eastAsia="宋体" w:cs="宋体"/>
                <w:b/>
                <w:bCs/>
                <w:color w:val="auto"/>
                <w:kern w:val="2"/>
                <w:sz w:val="21"/>
                <w:szCs w:val="21"/>
                <w:highlight w:val="none"/>
                <w:u w:val="single"/>
                <w:lang w:val="en-US" w:eastAsia="zh-CN" w:bidi="ar-SA"/>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val="0"/>
                <w:bCs w:val="0"/>
                <w:color w:val="auto"/>
                <w:kern w:val="2"/>
                <w:sz w:val="21"/>
                <w:szCs w:val="21"/>
                <w:highlight w:val="non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日上午09:00</w:t>
            </w:r>
            <w:r>
              <w:rPr>
                <w:rFonts w:hint="eastAsia" w:ascii="宋体" w:hAnsi="宋体" w:eastAsia="宋体" w:cs="宋体"/>
                <w:b/>
                <w:bCs/>
                <w:color w:val="auto"/>
                <w:kern w:val="2"/>
                <w:sz w:val="21"/>
                <w:szCs w:val="21"/>
                <w:highlight w:val="none"/>
                <w:u w:val="single"/>
                <w:lang w:val="en-US" w:eastAsia="zh-CN" w:bidi="ar-SA"/>
              </w:rPr>
              <w:t>整</w:t>
            </w:r>
          </w:p>
          <w:p w14:paraId="43751194">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供应商应当在磋商截止时间前完成电子磋商响应文件的传输递交，磋商截止时间前可以补充、修改或者撤回电子磋商响应文件。补充或者修改电子磋商响应文件的，应当先行撤回原文件，补充、修改后重新传输递交。磋商截止时间前未完成传输的，视为撤回磋商响应文件。磋商截止时间后寄达的磋商响应文件，将被拒收。</w:t>
            </w:r>
          </w:p>
        </w:tc>
      </w:tr>
      <w:tr w14:paraId="40BE8B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74" w:type="dxa"/>
            <w:vAlign w:val="center"/>
          </w:tcPr>
          <w:p w14:paraId="31895B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7</w:t>
            </w:r>
          </w:p>
        </w:tc>
        <w:tc>
          <w:tcPr>
            <w:tcW w:w="2083" w:type="dxa"/>
            <w:vAlign w:val="center"/>
          </w:tcPr>
          <w:p w14:paraId="42DEA36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备份磋商响应文件的递交</w:t>
            </w:r>
          </w:p>
        </w:tc>
        <w:tc>
          <w:tcPr>
            <w:tcW w:w="6462" w:type="dxa"/>
            <w:vAlign w:val="center"/>
          </w:tcPr>
          <w:p w14:paraId="17F8B4CE">
            <w:pPr>
              <w:keepNext w:val="0"/>
              <w:keepLines w:val="0"/>
              <w:pageBreakBefore w:val="0"/>
              <w:kinsoku/>
              <w:wordWrap/>
              <w:overflowPunct/>
              <w:topLinePunct w:val="0"/>
              <w:bidi w:val="0"/>
              <w:spacing w:line="240" w:lineRule="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逾期寄达或未按要求密封将被拒收。</w:t>
            </w:r>
          </w:p>
          <w:p w14:paraId="7D05E84A">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b/>
                <w:bCs/>
                <w:color w:val="auto"/>
                <w:kern w:val="2"/>
                <w:sz w:val="21"/>
                <w:szCs w:val="21"/>
                <w:highlight w:val="none"/>
                <w:lang w:val="en-US" w:eastAsia="zh-CN" w:bidi="ar-SA"/>
              </w:rPr>
              <w:t>截止时间：</w:t>
            </w:r>
            <w:r>
              <w:rPr>
                <w:rFonts w:hint="eastAsia" w:ascii="宋体" w:hAnsi="宋体" w:eastAsia="宋体" w:cs="宋体"/>
                <w:b/>
                <w:bCs/>
                <w:color w:val="auto"/>
                <w:kern w:val="2"/>
                <w:sz w:val="21"/>
                <w:szCs w:val="21"/>
                <w:highlight w:val="none"/>
                <w:u w:val="single"/>
                <w:lang w:val="en-US" w:eastAsia="zh-CN" w:bidi="ar-SA"/>
              </w:rPr>
              <w:t xml:space="preserve"> </w:t>
            </w:r>
            <w:r>
              <w:rPr>
                <w:rFonts w:hint="eastAsia" w:ascii="宋体" w:hAnsi="宋体" w:cs="宋体"/>
                <w:b/>
                <w:bCs/>
                <w:color w:val="auto"/>
                <w:kern w:val="2"/>
                <w:sz w:val="21"/>
                <w:szCs w:val="21"/>
                <w:highlight w:val="none"/>
                <w:u w:val="single"/>
                <w:lang w:val="en-US" w:eastAsia="zh-CN" w:bidi="ar-SA"/>
              </w:rPr>
              <w:t>2025年  月  日上午09:00</w:t>
            </w:r>
            <w:r>
              <w:rPr>
                <w:rFonts w:hint="eastAsia" w:ascii="宋体" w:hAnsi="宋体" w:eastAsia="宋体" w:cs="宋体"/>
                <w:b/>
                <w:bCs/>
                <w:color w:val="auto"/>
                <w:kern w:val="2"/>
                <w:sz w:val="21"/>
                <w:szCs w:val="21"/>
                <w:highlight w:val="none"/>
                <w:u w:val="single"/>
                <w:lang w:val="en-US" w:eastAsia="zh-CN" w:bidi="ar-SA"/>
              </w:rPr>
              <w:t>整</w:t>
            </w:r>
          </w:p>
        </w:tc>
      </w:tr>
      <w:tr w14:paraId="7CEB4D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674" w:type="dxa"/>
            <w:vAlign w:val="center"/>
          </w:tcPr>
          <w:p w14:paraId="71C53F4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8</w:t>
            </w:r>
          </w:p>
        </w:tc>
        <w:tc>
          <w:tcPr>
            <w:tcW w:w="2083" w:type="dxa"/>
            <w:vAlign w:val="center"/>
          </w:tcPr>
          <w:p w14:paraId="0AE00D24">
            <w:pPr>
              <w:keepNext w:val="0"/>
              <w:keepLines w:val="0"/>
              <w:pageBreakBefore w:val="0"/>
              <w:kinsoku/>
              <w:wordWrap/>
              <w:overflowPunct/>
              <w:topLinePunct w:val="0"/>
              <w:bidi w:val="0"/>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w:t>
            </w:r>
            <w:r>
              <w:rPr>
                <w:rFonts w:hint="eastAsia" w:ascii="宋体" w:hAnsi="宋体" w:eastAsia="宋体" w:cs="宋体"/>
                <w:color w:val="auto"/>
                <w:sz w:val="21"/>
                <w:szCs w:val="21"/>
                <w:highlight w:val="none"/>
                <w:lang w:eastAsia="zh-CN"/>
              </w:rPr>
              <w:t>份数</w:t>
            </w:r>
            <w:r>
              <w:rPr>
                <w:rFonts w:hint="eastAsia" w:ascii="宋体" w:hAnsi="宋体" w:eastAsia="宋体" w:cs="宋体"/>
                <w:color w:val="auto"/>
                <w:sz w:val="21"/>
                <w:szCs w:val="21"/>
                <w:highlight w:val="none"/>
                <w:lang w:val="en-US" w:eastAsia="zh-CN"/>
              </w:rPr>
              <w:t>及密封要求</w:t>
            </w:r>
          </w:p>
        </w:tc>
        <w:tc>
          <w:tcPr>
            <w:tcW w:w="6462" w:type="dxa"/>
            <w:vAlign w:val="center"/>
          </w:tcPr>
          <w:p w14:paraId="40C69427">
            <w:pPr>
              <w:pStyle w:val="19"/>
              <w:keepNext w:val="0"/>
              <w:keepLines w:val="0"/>
              <w:pageBreakBefore w:val="0"/>
              <w:numPr>
                <w:ilvl w:val="0"/>
                <w:numId w:val="0"/>
              </w:numPr>
              <w:kinsoku/>
              <w:wordWrap/>
              <w:overflowPunct/>
              <w:topLinePunct w:val="0"/>
              <w:bidi w:val="0"/>
              <w:spacing w:before="0" w:beforeAutospacing="0" w:after="0" w:afterAutospacing="0" w:line="240" w:lineRule="auto"/>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一份，以U盘形式提供。</w:t>
            </w:r>
          </w:p>
          <w:p w14:paraId="660466D8">
            <w:pPr>
              <w:keepNext w:val="0"/>
              <w:keepLines w:val="0"/>
              <w:pageBreakBefore w:val="0"/>
              <w:kinsoku/>
              <w:wordWrap/>
              <w:overflowPunct/>
              <w:topLinePunct w:val="0"/>
              <w:bidi w:val="0"/>
              <w:spacing w:line="240" w:lineRule="auto"/>
              <w:rPr>
                <w:rFonts w:hint="eastAsia" w:ascii="宋体" w:hAnsi="宋体" w:cs="宋体"/>
                <w:bCs/>
                <w:color w:val="auto"/>
                <w:sz w:val="21"/>
                <w:szCs w:val="21"/>
                <w:highlight w:val="none"/>
                <w:lang w:eastAsia="zh-CN"/>
              </w:rPr>
            </w:pPr>
            <w:r>
              <w:rPr>
                <w:rFonts w:hint="eastAsia" w:ascii="宋体" w:hAnsi="宋体" w:eastAsia="宋体" w:cs="宋体"/>
                <w:bCs/>
                <w:color w:val="auto"/>
                <w:sz w:val="21"/>
                <w:szCs w:val="21"/>
                <w:highlight w:val="none"/>
              </w:rPr>
              <w:t>备份</w:t>
            </w:r>
            <w:r>
              <w:rPr>
                <w:rFonts w:hint="eastAsia" w:ascii="宋体" w:hAnsi="宋体" w:eastAsia="宋体" w:cs="宋体"/>
                <w:bCs/>
                <w:color w:val="auto"/>
                <w:sz w:val="21"/>
                <w:szCs w:val="21"/>
                <w:highlight w:val="none"/>
                <w:lang w:val="en-US" w:eastAsia="zh-CN"/>
              </w:rPr>
              <w:t>磋商响应</w:t>
            </w:r>
            <w:r>
              <w:rPr>
                <w:rFonts w:hint="eastAsia" w:ascii="宋体" w:hAnsi="宋体" w:eastAsia="宋体" w:cs="宋体"/>
                <w:bCs/>
                <w:color w:val="auto"/>
                <w:sz w:val="21"/>
                <w:szCs w:val="21"/>
                <w:highlight w:val="none"/>
              </w:rPr>
              <w:t>文件在密封袋的封口处加盖投标人公章、法定代表人代表或授权委托代理人印章或签字。封皮上写明项目编号、标项、招标项目名称、投标人名称，并注明“</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文件名称”、“开标时启封”字样</w:t>
            </w:r>
            <w:r>
              <w:rPr>
                <w:rFonts w:hint="eastAsia" w:ascii="宋体" w:hAnsi="宋体" w:cs="宋体"/>
                <w:bCs/>
                <w:color w:val="auto"/>
                <w:sz w:val="21"/>
                <w:szCs w:val="21"/>
                <w:highlight w:val="none"/>
                <w:lang w:eastAsia="zh-CN"/>
              </w:rPr>
              <w:t>。</w:t>
            </w:r>
          </w:p>
          <w:p w14:paraId="449CCBE4">
            <w:pPr>
              <w:keepNext w:val="0"/>
              <w:keepLines w:val="0"/>
              <w:pageBreakBefore w:val="0"/>
              <w:kinsoku/>
              <w:wordWrap/>
              <w:overflowPunct/>
              <w:topLinePunct w:val="0"/>
              <w:bidi w:val="0"/>
              <w:spacing w:line="240" w:lineRule="auto"/>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bCs/>
                <w:color w:val="auto"/>
                <w:sz w:val="21"/>
                <w:szCs w:val="21"/>
                <w:highlight w:val="none"/>
              </w:rPr>
              <w:t>，采购代理机构对</w:t>
            </w:r>
            <w:r>
              <w:rPr>
                <w:rFonts w:hint="eastAsia" w:ascii="宋体" w:hAnsi="宋体" w:eastAsia="宋体" w:cs="宋体"/>
                <w:bCs/>
                <w:color w:val="auto"/>
                <w:sz w:val="21"/>
                <w:szCs w:val="21"/>
                <w:highlight w:val="none"/>
                <w:lang w:val="en-US" w:eastAsia="zh-CN"/>
              </w:rPr>
              <w:t>响应</w:t>
            </w:r>
            <w:r>
              <w:rPr>
                <w:rFonts w:hint="eastAsia" w:ascii="宋体" w:hAnsi="宋体" w:eastAsia="宋体" w:cs="宋体"/>
                <w:bCs/>
                <w:color w:val="auto"/>
                <w:sz w:val="21"/>
                <w:szCs w:val="21"/>
                <w:highlight w:val="none"/>
              </w:rPr>
              <w:t>文件的误投和提前启封不负责任。</w:t>
            </w:r>
          </w:p>
          <w:p w14:paraId="6BFAFF33">
            <w:pPr>
              <w:keepNext w:val="0"/>
              <w:keepLines w:val="0"/>
              <w:pageBreakBefore w:val="0"/>
              <w:kinsoku/>
              <w:wordWrap/>
              <w:overflowPunct/>
              <w:topLinePunct w:val="0"/>
              <w:bidi w:val="0"/>
              <w:spacing w:line="240" w:lineRule="auto"/>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color w:val="auto"/>
                <w:sz w:val="21"/>
                <w:szCs w:val="21"/>
                <w:highlight w:val="none"/>
              </w:rPr>
              <w:t>如电子</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文件解密成功，则备份</w:t>
            </w:r>
            <w:r>
              <w:rPr>
                <w:rFonts w:hint="eastAsia" w:ascii="宋体" w:hAnsi="宋体" w:eastAsia="宋体" w:cs="宋体"/>
                <w:color w:val="auto"/>
                <w:sz w:val="21"/>
                <w:szCs w:val="21"/>
                <w:highlight w:val="none"/>
                <w:lang w:val="en-US" w:eastAsia="zh-CN"/>
              </w:rPr>
              <w:t>磋商响应</w:t>
            </w:r>
            <w:r>
              <w:rPr>
                <w:rFonts w:hint="eastAsia" w:ascii="宋体" w:hAnsi="宋体" w:eastAsia="宋体" w:cs="宋体"/>
                <w:color w:val="auto"/>
                <w:sz w:val="21"/>
                <w:szCs w:val="21"/>
                <w:highlight w:val="none"/>
              </w:rPr>
              <w:t>文件不再拆封。</w:t>
            </w:r>
          </w:p>
        </w:tc>
      </w:tr>
      <w:tr w14:paraId="20C815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56729C98">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9</w:t>
            </w:r>
          </w:p>
        </w:tc>
        <w:tc>
          <w:tcPr>
            <w:tcW w:w="2083" w:type="dxa"/>
            <w:vAlign w:val="center"/>
          </w:tcPr>
          <w:p w14:paraId="13DC52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解密时间</w:t>
            </w:r>
            <w:r>
              <w:rPr>
                <w:rFonts w:hint="eastAsia" w:ascii="宋体" w:hAnsi="宋体" w:eastAsia="宋体" w:cs="宋体"/>
                <w:color w:val="auto"/>
                <w:sz w:val="21"/>
                <w:szCs w:val="21"/>
                <w:highlight w:val="none"/>
                <w:lang w:val="en-US" w:eastAsia="zh-CN"/>
              </w:rPr>
              <w:t>及地点</w:t>
            </w:r>
          </w:p>
        </w:tc>
        <w:tc>
          <w:tcPr>
            <w:tcW w:w="6462" w:type="dxa"/>
            <w:vAlign w:val="center"/>
          </w:tcPr>
          <w:p w14:paraId="5A55B8B3">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时间：</w:t>
            </w:r>
            <w:r>
              <w:rPr>
                <w:rFonts w:hint="eastAsia" w:ascii="宋体" w:hAnsi="宋体" w:cs="宋体"/>
                <w:color w:val="auto"/>
                <w:sz w:val="21"/>
                <w:szCs w:val="21"/>
                <w:highlight w:val="none"/>
                <w:lang w:eastAsia="zh-CN"/>
              </w:rPr>
              <w:t>2025年  月  日上午09:00</w:t>
            </w:r>
            <w:r>
              <w:rPr>
                <w:rFonts w:hint="eastAsia" w:ascii="宋体" w:hAnsi="宋体" w:eastAsia="宋体" w:cs="宋体"/>
                <w:color w:val="auto"/>
                <w:sz w:val="21"/>
                <w:szCs w:val="21"/>
                <w:highlight w:val="none"/>
                <w:lang w:eastAsia="zh-CN"/>
              </w:rPr>
              <w:t>-</w:t>
            </w:r>
            <w:r>
              <w:rPr>
                <w:rFonts w:hint="eastAsia" w:ascii="宋体" w:hAnsi="宋体" w:cs="宋体"/>
                <w:color w:val="auto"/>
                <w:sz w:val="21"/>
                <w:szCs w:val="21"/>
                <w:highlight w:val="none"/>
                <w:lang w:eastAsia="zh-CN"/>
              </w:rPr>
              <w:t>09:30</w:t>
            </w:r>
            <w:r>
              <w:rPr>
                <w:rFonts w:hint="eastAsia" w:ascii="宋体" w:hAnsi="宋体" w:eastAsia="宋体" w:cs="宋体"/>
                <w:color w:val="auto"/>
                <w:sz w:val="21"/>
                <w:szCs w:val="21"/>
                <w:highlight w:val="none"/>
              </w:rPr>
              <w:t>（北京时间）</w:t>
            </w:r>
          </w:p>
          <w:p w14:paraId="55A64C97">
            <w:pPr>
              <w:pStyle w:val="52"/>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kern w:val="2"/>
                <w:sz w:val="21"/>
                <w:szCs w:val="21"/>
                <w:highlight w:val="none"/>
                <w:lang w:val="en-US" w:eastAsia="zh-CN" w:bidi="ar-SA"/>
              </w:rPr>
              <w:t>地点：政采云平台（www.zcygov.cn）</w:t>
            </w:r>
          </w:p>
        </w:tc>
      </w:tr>
      <w:tr w14:paraId="332F8E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2" w:hRule="atLeast"/>
          <w:jc w:val="center"/>
        </w:trPr>
        <w:tc>
          <w:tcPr>
            <w:tcW w:w="674" w:type="dxa"/>
            <w:vAlign w:val="center"/>
          </w:tcPr>
          <w:p w14:paraId="0FAC49A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10</w:t>
            </w:r>
          </w:p>
        </w:tc>
        <w:tc>
          <w:tcPr>
            <w:tcW w:w="2083" w:type="dxa"/>
            <w:vAlign w:val="center"/>
          </w:tcPr>
          <w:p w14:paraId="1B293B6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实质性条款</w:t>
            </w:r>
          </w:p>
        </w:tc>
        <w:tc>
          <w:tcPr>
            <w:tcW w:w="6462" w:type="dxa"/>
            <w:vAlign w:val="center"/>
          </w:tcPr>
          <w:p w14:paraId="04D241E7">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带“</w:t>
            </w:r>
            <w:r>
              <w:rPr>
                <w:rFonts w:hint="eastAsia" w:ascii="宋体" w:hAnsi="宋体" w:eastAsia="宋体" w:cs="宋体"/>
                <w:color w:val="auto"/>
                <w:sz w:val="21"/>
                <w:szCs w:val="21"/>
                <w:highlight w:val="none"/>
              </w:rPr>
              <w:t>▲”的条款是实质性条款，</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须作出实质性响应</w:t>
            </w:r>
            <w:r>
              <w:rPr>
                <w:rFonts w:hint="eastAsia" w:ascii="宋体" w:hAnsi="宋体" w:eastAsia="宋体" w:cs="宋体"/>
                <w:color w:val="auto"/>
                <w:sz w:val="21"/>
                <w:szCs w:val="21"/>
                <w:highlight w:val="none"/>
                <w:lang w:eastAsia="zh-CN"/>
              </w:rPr>
              <w:t>，否则终止磋商。</w:t>
            </w:r>
          </w:p>
        </w:tc>
      </w:tr>
      <w:tr w14:paraId="7CBA92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7" w:hRule="atLeast"/>
          <w:jc w:val="center"/>
        </w:trPr>
        <w:tc>
          <w:tcPr>
            <w:tcW w:w="674" w:type="dxa"/>
            <w:vAlign w:val="center"/>
          </w:tcPr>
          <w:p w14:paraId="6359FF1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11</w:t>
            </w:r>
          </w:p>
        </w:tc>
        <w:tc>
          <w:tcPr>
            <w:tcW w:w="2083" w:type="dxa"/>
            <w:vAlign w:val="center"/>
          </w:tcPr>
          <w:p w14:paraId="1F600A87">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其他要求</w:t>
            </w:r>
          </w:p>
        </w:tc>
        <w:tc>
          <w:tcPr>
            <w:tcW w:w="6462" w:type="dxa"/>
            <w:vAlign w:val="center"/>
          </w:tcPr>
          <w:p w14:paraId="50D52065">
            <w:pPr>
              <w:keepNext w:val="0"/>
              <w:keepLines w:val="0"/>
              <w:pageBreakBefore w:val="0"/>
              <w:numPr>
                <w:ilvl w:val="0"/>
                <w:numId w:val="2"/>
              </w:numPr>
              <w:kinsoku/>
              <w:wordWrap/>
              <w:overflowPunct/>
              <w:topLinePunct w:val="0"/>
              <w:bidi w:val="0"/>
              <w:spacing w:line="240" w:lineRule="auto"/>
              <w:jc w:val="left"/>
              <w:outlineLvl w:val="9"/>
              <w:rPr>
                <w:rFonts w:hint="eastAsia" w:ascii="宋体" w:hAnsi="宋体" w:eastAsia="宋体" w:cs="宋体"/>
                <w:color w:val="auto"/>
                <w:highlight w:val="none"/>
              </w:rPr>
            </w:pPr>
            <w:r>
              <w:rPr>
                <w:rFonts w:hint="eastAsia" w:ascii="宋体" w:hAnsi="宋体" w:eastAsia="宋体" w:cs="宋体"/>
                <w:color w:val="auto"/>
                <w:highlight w:val="none"/>
              </w:rPr>
              <w:t>踏勘现场时间及地点：不组织，各投标单位根据自己需要，自行前往勘察现场和周围环境，所产生的费用由投标单位自理。</w:t>
            </w:r>
          </w:p>
          <w:p w14:paraId="32745D40">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节能产品、环保产品：无要求；</w:t>
            </w:r>
          </w:p>
          <w:p w14:paraId="068819EA">
            <w:pPr>
              <w:keepNext w:val="0"/>
              <w:keepLines w:val="0"/>
              <w:pageBreakBefore w:val="0"/>
              <w:numPr>
                <w:ilvl w:val="0"/>
                <w:numId w:val="2"/>
              </w:numPr>
              <w:kinsoku/>
              <w:wordWrap/>
              <w:overflowPunct/>
              <w:topLinePunct w:val="0"/>
              <w:bidi w:val="0"/>
              <w:spacing w:line="240" w:lineRule="auto"/>
              <w:ind w:left="0" w:leftChars="0" w:firstLine="0" w:firstLine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样品：无要求；</w:t>
            </w:r>
          </w:p>
          <w:p w14:paraId="09006210">
            <w:pPr>
              <w:keepNext w:val="0"/>
              <w:keepLines w:val="0"/>
              <w:pageBreakBefore w:val="0"/>
              <w:numPr>
                <w:ilvl w:val="0"/>
                <w:numId w:val="0"/>
              </w:numPr>
              <w:kinsoku/>
              <w:wordWrap/>
              <w:overflowPunct/>
              <w:topLinePunct w:val="0"/>
              <w:bidi w:val="0"/>
              <w:spacing w:line="240" w:lineRule="auto"/>
              <w:ind w:leftChars="0"/>
              <w:jc w:val="left"/>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4、现场演示：无要求。</w:t>
            </w:r>
          </w:p>
        </w:tc>
      </w:tr>
      <w:tr w14:paraId="4A4DF6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jc w:val="center"/>
        </w:trPr>
        <w:tc>
          <w:tcPr>
            <w:tcW w:w="674" w:type="dxa"/>
            <w:vAlign w:val="center"/>
          </w:tcPr>
          <w:p w14:paraId="5813157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12</w:t>
            </w:r>
          </w:p>
        </w:tc>
        <w:tc>
          <w:tcPr>
            <w:tcW w:w="2083" w:type="dxa"/>
            <w:vAlign w:val="center"/>
          </w:tcPr>
          <w:p w14:paraId="458575CC">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中小企业扶持政策</w:t>
            </w:r>
          </w:p>
        </w:tc>
        <w:tc>
          <w:tcPr>
            <w:tcW w:w="6462" w:type="dxa"/>
            <w:vAlign w:val="center"/>
          </w:tcPr>
          <w:p w14:paraId="10BC00EA">
            <w:pPr>
              <w:pStyle w:val="52"/>
              <w:numPr>
                <w:ilvl w:val="0"/>
                <w:numId w:val="0"/>
              </w:num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依据《政府采购促进中小企业发展管理办法》（财库【2020】46号）第四条规定，本项目服务由中小企业承接，即提供服务的人员为中小企业依照《中华人民共和国劳动合同法》签订劳动合同的从业人员，享受该办法规定对中小企业的扶持政策。残疾人福利性单位和监狱企业视同小型、微型企业。</w:t>
            </w:r>
          </w:p>
          <w:p w14:paraId="6814DC66">
            <w:pPr>
              <w:pStyle w:val="52"/>
              <w:keepNext w:val="0"/>
              <w:keepLines w:val="0"/>
              <w:pageBreakBefore w:val="0"/>
              <w:numPr>
                <w:ilvl w:val="0"/>
                <w:numId w:val="0"/>
              </w:numPr>
              <w:kinsoku/>
              <w:wordWrap/>
              <w:overflowPunct/>
              <w:topLinePunct w:val="0"/>
              <w:bidi w:val="0"/>
              <w:spacing w:line="240" w:lineRule="auto"/>
              <w:outlineLvl w:val="9"/>
              <w:rPr>
                <w:rFonts w:hint="eastAsia" w:ascii="宋体" w:hAnsi="宋体" w:eastAsia="宋体" w:cs="宋体"/>
                <w:color w:val="auto"/>
                <w:sz w:val="21"/>
                <w:szCs w:val="21"/>
                <w:highlight w:val="none"/>
                <w:lang w:val="en-US" w:eastAsia="zh-CN" w:bidi="ar-SA"/>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依据《政府采购促进中小企业发展管理办法》（财库【2020】46号）第十二条规定，享受扶持政策获得政府采购合同的，小微企业不得将合同分包给大中型企业，中型企业不得将合同分包给大型企业，否则按违约处理。</w:t>
            </w:r>
          </w:p>
        </w:tc>
      </w:tr>
      <w:tr w14:paraId="661297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49B24D8B">
            <w:pPr>
              <w:keepNext w:val="0"/>
              <w:keepLines w:val="0"/>
              <w:pageBreakBefore w:val="0"/>
              <w:kinsoku/>
              <w:wordWrap/>
              <w:overflowPunct/>
              <w:topLinePunct w:val="0"/>
              <w:bidi w:val="0"/>
              <w:spacing w:line="240" w:lineRule="auto"/>
              <w:jc w:val="center"/>
              <w:outlineLvl w:val="9"/>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13</w:t>
            </w:r>
          </w:p>
        </w:tc>
        <w:tc>
          <w:tcPr>
            <w:tcW w:w="2083" w:type="dxa"/>
            <w:shd w:val="clear" w:color="auto" w:fill="auto"/>
            <w:vAlign w:val="center"/>
          </w:tcPr>
          <w:p w14:paraId="4BB36A39">
            <w:pPr>
              <w:spacing w:line="240" w:lineRule="auto"/>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其他</w:t>
            </w:r>
          </w:p>
        </w:tc>
        <w:tc>
          <w:tcPr>
            <w:tcW w:w="6462" w:type="dxa"/>
            <w:shd w:val="clear" w:color="auto" w:fill="auto"/>
            <w:vAlign w:val="center"/>
          </w:tcPr>
          <w:p w14:paraId="609A7913">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1、各供应商自行在浙江政府采购网下载或查阅采购文件和相关更正公告等，不另行通知，如有遗漏采购人、采购代理机构概不负责。</w:t>
            </w:r>
          </w:p>
          <w:p w14:paraId="7220EE9D">
            <w:pPr>
              <w:spacing w:line="240" w:lineRule="auto"/>
              <w:rPr>
                <w:rFonts w:hint="eastAsia" w:ascii="宋体" w:hAnsi="宋体" w:eastAsia="宋体" w:cs="宋体"/>
                <w:color w:val="auto"/>
                <w:szCs w:val="21"/>
                <w:highlight w:val="none"/>
              </w:rPr>
            </w:pPr>
            <w:r>
              <w:rPr>
                <w:rFonts w:hint="eastAsia" w:ascii="宋体" w:hAnsi="宋体" w:eastAsia="宋体" w:cs="宋体"/>
                <w:color w:val="auto"/>
                <w:szCs w:val="21"/>
                <w:highlight w:val="none"/>
              </w:rPr>
              <w:t>2、两家或两家以上供应商提供的投标文件出自同一终端设备的，或在相同Internet主机分配地址（相同IP地址）报名或网上投标的，后果由供应商自行承担。</w:t>
            </w:r>
          </w:p>
          <w:p w14:paraId="0F0D9EFE">
            <w:pPr>
              <w:spacing w:line="240" w:lineRule="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Cs w:val="21"/>
                <w:highlight w:val="none"/>
              </w:rPr>
              <w:t>3、开标时间后30分钟内供应商须携带CA自备电脑登录“政采云”平台，用“项目采购-开标评标”功能解密投标文件，投标人未按时解密或解密失败的，其上传的电子投标文件自动失效。</w:t>
            </w:r>
          </w:p>
        </w:tc>
      </w:tr>
      <w:tr w14:paraId="60479E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jc w:val="center"/>
        </w:trPr>
        <w:tc>
          <w:tcPr>
            <w:tcW w:w="674" w:type="dxa"/>
            <w:vAlign w:val="center"/>
          </w:tcPr>
          <w:p w14:paraId="24DC65AE">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Cs w:val="21"/>
                <w:highlight w:val="none"/>
                <w:lang w:val="en-US" w:eastAsia="zh-CN"/>
              </w:rPr>
              <w:t>1</w:t>
            </w:r>
            <w:r>
              <w:rPr>
                <w:rFonts w:hint="eastAsia" w:ascii="宋体" w:hAnsi="宋体" w:cs="宋体"/>
                <w:color w:val="auto"/>
                <w:szCs w:val="21"/>
                <w:highlight w:val="none"/>
                <w:lang w:val="en-US" w:eastAsia="zh-CN"/>
              </w:rPr>
              <w:t>4</w:t>
            </w:r>
          </w:p>
        </w:tc>
        <w:tc>
          <w:tcPr>
            <w:tcW w:w="2083" w:type="dxa"/>
            <w:vAlign w:val="center"/>
          </w:tcPr>
          <w:p w14:paraId="336C3D6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解释权</w:t>
            </w:r>
          </w:p>
        </w:tc>
        <w:tc>
          <w:tcPr>
            <w:tcW w:w="6462" w:type="dxa"/>
            <w:vAlign w:val="center"/>
          </w:tcPr>
          <w:p w14:paraId="1291E7D0">
            <w:pPr>
              <w:keepNext w:val="0"/>
              <w:keepLines w:val="0"/>
              <w:pageBreakBefore w:val="0"/>
              <w:kinsoku/>
              <w:wordWrap/>
              <w:overflowPunct/>
              <w:topLinePunct w:val="0"/>
              <w:bidi w:val="0"/>
              <w:spacing w:line="240" w:lineRule="auto"/>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Cs w:val="21"/>
                <w:highlight w:val="none"/>
              </w:rPr>
              <w:t>本</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的解释权属于</w:t>
            </w:r>
            <w:r>
              <w:rPr>
                <w:rFonts w:hint="eastAsia" w:ascii="宋体" w:hAnsi="宋体" w:eastAsia="宋体" w:cs="宋体"/>
                <w:b/>
                <w:color w:val="auto"/>
                <w:szCs w:val="21"/>
                <w:highlight w:val="none"/>
                <w:lang w:eastAsia="zh-CN"/>
              </w:rPr>
              <w:t>浙江汇永工程咨询有限公司</w:t>
            </w:r>
            <w:r>
              <w:rPr>
                <w:rFonts w:hint="eastAsia" w:ascii="宋体" w:hAnsi="宋体" w:eastAsia="宋体" w:cs="宋体"/>
                <w:b/>
                <w:color w:val="auto"/>
                <w:szCs w:val="21"/>
                <w:highlight w:val="none"/>
                <w:lang w:val="en-US" w:eastAsia="zh-CN"/>
              </w:rPr>
              <w:t>和采购人</w:t>
            </w:r>
          </w:p>
        </w:tc>
      </w:tr>
    </w:tbl>
    <w:p w14:paraId="461A7DA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一、总则</w:t>
      </w:r>
    </w:p>
    <w:p w14:paraId="26DD305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（一） 适用范围</w:t>
      </w:r>
    </w:p>
    <w:p w14:paraId="09B259D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本磋商文件适用于本次项目的磋商、</w:t>
      </w:r>
      <w:r>
        <w:rPr>
          <w:rFonts w:hint="eastAsia" w:ascii="宋体" w:hAnsi="宋体" w:eastAsia="宋体" w:cs="宋体"/>
          <w:color w:val="auto"/>
          <w:sz w:val="21"/>
          <w:szCs w:val="21"/>
          <w:highlight w:val="none"/>
          <w:lang w:eastAsia="zh-CN"/>
        </w:rPr>
        <w:t>评审、确定成交供应商</w:t>
      </w:r>
      <w:r>
        <w:rPr>
          <w:rFonts w:hint="eastAsia" w:ascii="宋体" w:hAnsi="宋体" w:eastAsia="宋体" w:cs="宋体"/>
          <w:color w:val="auto"/>
          <w:sz w:val="21"/>
          <w:szCs w:val="21"/>
          <w:highlight w:val="none"/>
        </w:rPr>
        <w:t>、验收、合同履约、付款等行为（法律、法规另有规定的，从其规定）。</w:t>
      </w:r>
    </w:p>
    <w:p w14:paraId="53FAF28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（二）定义</w:t>
      </w:r>
    </w:p>
    <w:p w14:paraId="08954D5E">
      <w:pPr>
        <w:keepNext w:val="0"/>
        <w:keepLines w:val="0"/>
        <w:pageBreakBefore w:val="0"/>
        <w:widowControl w:val="0"/>
        <w:tabs>
          <w:tab w:val="left" w:pos="0"/>
          <w:tab w:val="left" w:pos="851"/>
        </w:tabs>
        <w:kinsoku/>
        <w:wordWrap w:val="0"/>
        <w:overflowPunct/>
        <w:topLinePunct w:val="0"/>
        <w:autoSpaceDE/>
        <w:autoSpaceDN/>
        <w:bidi w:val="0"/>
        <w:adjustRightInd/>
        <w:snapToGrid/>
        <w:spacing w:after="0"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w:t>
      </w:r>
      <w:r>
        <w:rPr>
          <w:rFonts w:hint="eastAsia" w:ascii="宋体" w:hAnsi="宋体" w:eastAsia="宋体" w:cs="宋体"/>
          <w:b w:val="0"/>
          <w:bCs w:val="0"/>
          <w:color w:val="auto"/>
          <w:kern w:val="2"/>
          <w:sz w:val="21"/>
          <w:szCs w:val="21"/>
          <w:highlight w:val="none"/>
          <w:lang w:val="zh-CN" w:eastAsia="zh-CN" w:bidi="ar-SA"/>
        </w:rPr>
        <w:t>“采购组织机构”指采购人委托组织磋商的集中采购机构或采购代理机构。</w:t>
      </w:r>
    </w:p>
    <w:p w14:paraId="6958912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2、采购人：是指委托</w:t>
      </w:r>
      <w:r>
        <w:rPr>
          <w:rFonts w:hint="eastAsia" w:ascii="宋体" w:hAnsi="宋体" w:eastAsia="宋体" w:cs="宋体"/>
          <w:b w:val="0"/>
          <w:bCs w:val="0"/>
          <w:color w:val="auto"/>
          <w:kern w:val="2"/>
          <w:sz w:val="21"/>
          <w:szCs w:val="21"/>
          <w:highlight w:val="none"/>
          <w:lang w:val="zh-CN" w:eastAsia="zh-CN" w:bidi="ar-SA"/>
        </w:rPr>
        <w:t>集中采购机构或</w:t>
      </w:r>
      <w:r>
        <w:rPr>
          <w:rFonts w:hint="eastAsia" w:ascii="宋体" w:hAnsi="宋体" w:eastAsia="宋体" w:cs="宋体"/>
          <w:b w:val="0"/>
          <w:bCs w:val="0"/>
          <w:color w:val="auto"/>
          <w:kern w:val="2"/>
          <w:sz w:val="21"/>
          <w:szCs w:val="21"/>
          <w:highlight w:val="none"/>
          <w:lang w:val="en-US" w:eastAsia="zh-CN" w:bidi="ar-SA"/>
        </w:rPr>
        <w:t>采购代理机构采购本次项目的国家机关、事业单位和团体组织。</w:t>
      </w:r>
    </w:p>
    <w:p w14:paraId="743CC01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3、磋商供应商：是指向</w:t>
      </w:r>
      <w:r>
        <w:rPr>
          <w:rFonts w:hint="eastAsia" w:ascii="宋体" w:hAnsi="宋体" w:eastAsia="宋体" w:cs="宋体"/>
          <w:b w:val="0"/>
          <w:bCs w:val="0"/>
          <w:color w:val="auto"/>
          <w:kern w:val="2"/>
          <w:sz w:val="21"/>
          <w:szCs w:val="21"/>
          <w:highlight w:val="none"/>
          <w:lang w:val="zh-CN" w:eastAsia="zh-CN" w:bidi="ar-SA"/>
        </w:rPr>
        <w:t>采购组织机构</w:t>
      </w:r>
      <w:r>
        <w:rPr>
          <w:rFonts w:hint="eastAsia" w:ascii="宋体" w:hAnsi="宋体" w:eastAsia="宋体" w:cs="宋体"/>
          <w:b w:val="0"/>
          <w:bCs w:val="0"/>
          <w:color w:val="auto"/>
          <w:kern w:val="2"/>
          <w:sz w:val="21"/>
          <w:szCs w:val="21"/>
          <w:highlight w:val="none"/>
          <w:lang w:val="en-US" w:eastAsia="zh-CN" w:bidi="ar-SA"/>
        </w:rPr>
        <w:t>提交磋商响应文件的单位或个人。</w:t>
      </w:r>
    </w:p>
    <w:p w14:paraId="19F8C8F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4、货物：是指各种形态和种类的物品，包括原材料、燃料、设备、产品等。</w:t>
      </w:r>
    </w:p>
    <w:p w14:paraId="3D1CA23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5、服务：是指除货物和工程以外的政府采购对象，包括各类专业服务、信息网络开发服务、金融保险服务、运输服务，以及维修与维护服务等。</w:t>
      </w:r>
    </w:p>
    <w:p w14:paraId="40403FA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6、“书面形式”包括信函、传真等。</w:t>
      </w:r>
    </w:p>
    <w:p w14:paraId="367443F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7、“▲”系指实质性要求条款。</w:t>
      </w:r>
    </w:p>
    <w:p w14:paraId="632668D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（三）</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bCs/>
          <w:color w:val="auto"/>
          <w:sz w:val="21"/>
          <w:szCs w:val="21"/>
          <w:highlight w:val="none"/>
        </w:rPr>
        <w:t>费用</w:t>
      </w:r>
    </w:p>
    <w:p w14:paraId="4596546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不论磋商结果如何，供应商均应自行承担所有与磋商有关的全部费用（磋商文件有相关规定除外）。</w:t>
      </w:r>
    </w:p>
    <w:p w14:paraId="30A427E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（四）特别说明</w:t>
      </w:r>
    </w:p>
    <w:p w14:paraId="5FD2C24D">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1、供应商磋商所使用的资格、信誉、荣誉、业绩与企业认证必须为本法人所拥有。供应商磋商所使用的采购项目实施人员必须为本法人员工。▲其中涉及资格条件的如非本法人所拥有，则投标无效。</w:t>
      </w:r>
    </w:p>
    <w:p w14:paraId="28B6145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2、供应商所标产品除磋商文件中明确规定要求“提供官网截图或相应检测报告的证明材料”以外，所有技术参数描述均以磋商响应文件为准。</w:t>
      </w:r>
      <w:r>
        <w:rPr>
          <w:rFonts w:hint="eastAsia" w:ascii="宋体" w:hAnsi="宋体" w:eastAsia="宋体" w:cs="宋体"/>
          <w:b/>
          <w:bCs/>
          <w:color w:val="auto"/>
          <w:kern w:val="2"/>
          <w:sz w:val="21"/>
          <w:szCs w:val="21"/>
          <w:highlight w:val="none"/>
          <w:lang w:val="en-US" w:eastAsia="zh-CN" w:bidi="ar-SA"/>
        </w:rPr>
        <w:t>磋商供应商对所标产品技术参数的真实性承担法律责任。</w:t>
      </w:r>
      <w:r>
        <w:rPr>
          <w:rFonts w:hint="eastAsia" w:ascii="宋体" w:hAnsi="宋体" w:eastAsia="宋体" w:cs="宋体"/>
          <w:color w:val="auto"/>
          <w:kern w:val="2"/>
          <w:sz w:val="21"/>
          <w:szCs w:val="21"/>
          <w:highlight w:val="none"/>
          <w:lang w:val="en-US" w:eastAsia="zh-CN" w:bidi="ar-SA"/>
        </w:rPr>
        <w:t>项目磋商结束后、质疑期限内，如有质疑供应商认为成交供应商所标产品、磋商响应文件技术参数与采购需求存在重大偏离、错误、甚至造假的情况，应提供具体有效的证明材料。</w:t>
      </w:r>
      <w:r>
        <w:rPr>
          <w:rFonts w:hint="eastAsia" w:ascii="宋体" w:hAnsi="宋体" w:eastAsia="宋体" w:cs="宋体"/>
          <w:color w:val="auto"/>
          <w:kern w:val="2"/>
          <w:sz w:val="21"/>
          <w:szCs w:val="21"/>
          <w:highlight w:val="none"/>
          <w:lang w:val="en-US" w:eastAsia="zh-CN" w:bidi="ar-SA"/>
        </w:rPr>
        <w:tab/>
      </w:r>
    </w:p>
    <w:p w14:paraId="5249A364">
      <w:pPr>
        <w:pStyle w:val="54"/>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供应商在磋商活动中提供任何虚假材料,其响应无效，并报监管部门查处；成交后发现的,成交人须依照根据《中华人民共和国政府采购法》第七十七条第一款第一项之规定，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10D648DB">
      <w:pPr>
        <w:pStyle w:val="54"/>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▲4、供应商不得相互串通磋商报价，不得妨碍其他供应商的公平竞争，不得损害采购人或其他供应商的合法权益，供应商不得以向采购人、磋商小组成员行贿或者采取其他不正当手段谋取成交。</w:t>
      </w:r>
    </w:p>
    <w:p w14:paraId="353381C2">
      <w:pPr>
        <w:pStyle w:val="54"/>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▲5、为采购项目提供整体设计、规范编制或者项目管理、监理、检测等服务的供应商，不得再参加该采购项目的其他采购活动。</w:t>
      </w:r>
    </w:p>
    <w:p w14:paraId="797BB990">
      <w:pPr>
        <w:pStyle w:val="54"/>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6、磋商响应文件格式中的表格式样可以根据项目差别做适当调整,但应当保持表格样式基本形态不变。</w:t>
      </w:r>
    </w:p>
    <w:p w14:paraId="2E798E16">
      <w:pPr>
        <w:keepNext w:val="0"/>
        <w:keepLines w:val="0"/>
        <w:pageBreakBefore w:val="0"/>
        <w:widowControl w:val="0"/>
        <w:tabs>
          <w:tab w:val="left" w:pos="851"/>
        </w:tabs>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7、单位负责人为同一人或者存在直接控股、管理关系的不同供应商，不得参加同一合同项下的政府采购活动。</w:t>
      </w:r>
      <w:r>
        <w:rPr>
          <w:rFonts w:hint="eastAsia" w:ascii="宋体" w:hAnsi="宋体" w:eastAsia="宋体" w:cs="宋体"/>
          <w:color w:val="auto"/>
          <w:szCs w:val="21"/>
          <w:highlight w:val="none"/>
        </w:rPr>
        <w:t>电子交易平台运营机构，以及与该机构有直接控股或者管理关系可能影响采购公正性的任何单位和个人，不得在该平台进行的政府采购项目电子交易中投标、响应和代理政府采购项目。</w:t>
      </w:r>
    </w:p>
    <w:p w14:paraId="3EAC5949">
      <w:pPr>
        <w:keepNext w:val="0"/>
        <w:keepLines w:val="0"/>
        <w:pageBreakBefore w:val="0"/>
        <w:widowControl w:val="0"/>
        <w:tabs>
          <w:tab w:val="left" w:pos="851"/>
        </w:tabs>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8、投标人在参与政府采购活动中所签署的一切文件，包括但不限于签到表、《政府采购活动现场确认声明书》等文件，特别是有关利害关系应如实填写、如实披露，投标人授权参与政府采购的人员视为应当知道与招标人、其他投标人之间的利害关系。如未如实披露，则视为提供虚假材料，由投标人承担不利后果。</w:t>
      </w:r>
    </w:p>
    <w:p w14:paraId="28D004CF">
      <w:pPr>
        <w:keepNext w:val="0"/>
        <w:keepLines w:val="0"/>
        <w:pageBreakBefore w:val="0"/>
        <w:widowControl w:val="0"/>
        <w:tabs>
          <w:tab w:val="left" w:pos="851"/>
        </w:tabs>
        <w:kinsoku/>
        <w:wordWrap w:val="0"/>
        <w:overflowPunct/>
        <w:topLinePunct w:val="0"/>
        <w:autoSpaceDE/>
        <w:autoSpaceDN/>
        <w:bidi w:val="0"/>
        <w:adjustRightInd/>
        <w:snapToGrid/>
        <w:spacing w:after="0"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rPr>
        <w:t>9、</w:t>
      </w:r>
      <w:r>
        <w:rPr>
          <w:rFonts w:hint="eastAsia" w:ascii="宋体" w:hAnsi="宋体" w:eastAsia="宋体" w:cs="宋体"/>
          <w:b w:val="0"/>
          <w:bCs w:val="0"/>
          <w:color w:val="auto"/>
          <w:kern w:val="2"/>
          <w:sz w:val="21"/>
          <w:szCs w:val="21"/>
          <w:highlight w:val="none"/>
          <w:lang w:val="en-US" w:eastAsia="zh-CN" w:bidi="ar-SA"/>
        </w:rPr>
        <w:t>本项目不允许转包、分包。</w:t>
      </w:r>
    </w:p>
    <w:p w14:paraId="2B5B6A5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二、磋商响应文件</w:t>
      </w:r>
    </w:p>
    <w:p w14:paraId="1F4D541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Cs w:val="21"/>
          <w:highlight w:val="none"/>
          <w:lang w:val="en-US" w:eastAsia="zh-CN"/>
        </w:rPr>
      </w:pPr>
      <w:r>
        <w:rPr>
          <w:rFonts w:hint="eastAsia" w:ascii="宋体" w:hAnsi="宋体" w:eastAsia="宋体" w:cs="宋体"/>
          <w:b/>
          <w:bCs/>
          <w:color w:val="auto"/>
          <w:sz w:val="21"/>
          <w:szCs w:val="21"/>
          <w:highlight w:val="none"/>
        </w:rPr>
        <w:t>（一）</w:t>
      </w:r>
      <w:r>
        <w:rPr>
          <w:rFonts w:hint="eastAsia" w:ascii="宋体" w:hAnsi="宋体" w:eastAsia="宋体" w:cs="宋体"/>
          <w:b/>
          <w:bCs/>
          <w:color w:val="auto"/>
          <w:sz w:val="21"/>
          <w:szCs w:val="21"/>
          <w:highlight w:val="none"/>
          <w:lang w:val="en-US" w:eastAsia="zh-CN"/>
        </w:rPr>
        <w:t>磋商</w:t>
      </w:r>
      <w:r>
        <w:rPr>
          <w:rFonts w:hint="eastAsia" w:ascii="宋体" w:hAnsi="宋体" w:eastAsia="宋体" w:cs="宋体"/>
          <w:b/>
          <w:color w:val="auto"/>
          <w:szCs w:val="21"/>
          <w:highlight w:val="none"/>
          <w:lang w:val="en-US" w:eastAsia="zh-CN"/>
        </w:rPr>
        <w:t>响应文件的形式和效力</w:t>
      </w:r>
    </w:p>
    <w:p w14:paraId="7CEDEF9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本项目实行电子投标，供应商应准备</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w:t>
      </w:r>
      <w:r>
        <w:rPr>
          <w:rFonts w:hint="eastAsia" w:ascii="宋体" w:hAnsi="宋体" w:eastAsia="宋体" w:cs="宋体"/>
          <w:bCs/>
          <w:color w:val="auto"/>
          <w:sz w:val="21"/>
          <w:szCs w:val="21"/>
          <w:highlight w:val="none"/>
          <w:lang w:val="en-US" w:eastAsia="zh-CN"/>
        </w:rPr>
        <w:t>还可以提供</w:t>
      </w:r>
      <w:r>
        <w:rPr>
          <w:rFonts w:hint="eastAsia" w:ascii="宋体" w:hAnsi="宋体" w:eastAsia="宋体" w:cs="宋体"/>
          <w:bCs/>
          <w:color w:val="auto"/>
          <w:sz w:val="21"/>
          <w:szCs w:val="21"/>
          <w:highlight w:val="none"/>
          <w:lang w:eastAsia="zh-CN"/>
        </w:rPr>
        <w:t>备份磋商响应文件。</w:t>
      </w:r>
    </w:p>
    <w:p w14:paraId="2755B36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1、</w:t>
      </w:r>
      <w:r>
        <w:rPr>
          <w:rFonts w:hint="eastAsia" w:ascii="宋体" w:hAnsi="宋体" w:eastAsia="宋体" w:cs="宋体"/>
          <w:color w:val="auto"/>
          <w:szCs w:val="21"/>
          <w:highlight w:val="none"/>
          <w:lang w:val="zh-CN"/>
        </w:rPr>
        <w:t>电子磋商响应文件按</w:t>
      </w:r>
      <w:r>
        <w:rPr>
          <w:rFonts w:hint="eastAsia" w:ascii="宋体" w:hAnsi="宋体" w:eastAsia="宋体" w:cs="宋体"/>
          <w:color w:val="auto"/>
          <w:szCs w:val="21"/>
          <w:highlight w:val="none"/>
          <w:lang w:val="en-US" w:eastAsia="zh-CN"/>
        </w:rPr>
        <w:t>政府采购</w:t>
      </w:r>
      <w:r>
        <w:rPr>
          <w:rFonts w:hint="eastAsia" w:ascii="宋体" w:hAnsi="宋体" w:eastAsia="宋体" w:cs="宋体"/>
          <w:color w:val="auto"/>
          <w:szCs w:val="21"/>
          <w:highlight w:val="none"/>
          <w:lang w:val="zh-CN"/>
        </w:rPr>
        <w:t>云平台供应商项目采购-电子招</w:t>
      </w:r>
      <w:r>
        <w:rPr>
          <w:rFonts w:hint="eastAsia" w:ascii="宋体" w:hAnsi="宋体" w:eastAsia="宋体" w:cs="宋体"/>
          <w:color w:val="auto"/>
          <w:szCs w:val="21"/>
          <w:highlight w:val="none"/>
          <w:lang w:val="en-US" w:eastAsia="zh-CN"/>
        </w:rPr>
        <w:t>投标</w:t>
      </w:r>
      <w:r>
        <w:rPr>
          <w:rFonts w:hint="eastAsia" w:ascii="宋体" w:hAnsi="宋体" w:eastAsia="宋体" w:cs="宋体"/>
          <w:color w:val="auto"/>
          <w:szCs w:val="21"/>
          <w:highlight w:val="none"/>
          <w:lang w:val="zh-CN"/>
        </w:rPr>
        <w:t>操作指南（网址：https://helpcenter.zcygov.cn/document/#/document/detail?siteCode=beijing&amp;manualId=359&amp;topicId=1447）及本磋商文件要求制作、加密并递交</w:t>
      </w:r>
      <w:r>
        <w:rPr>
          <w:rFonts w:hint="eastAsia" w:ascii="宋体" w:hAnsi="宋体" w:eastAsia="宋体" w:cs="宋体"/>
          <w:bCs/>
          <w:color w:val="auto"/>
          <w:sz w:val="21"/>
          <w:szCs w:val="21"/>
          <w:highlight w:val="none"/>
          <w:lang w:val="zh-CN"/>
        </w:rPr>
        <w:t>。</w:t>
      </w:r>
    </w:p>
    <w:p w14:paraId="3D6FCA5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rPr>
          <w:rFonts w:hint="eastAsia" w:ascii="宋体" w:hAnsi="宋体" w:eastAsia="宋体" w:cs="宋体"/>
          <w:bCs/>
          <w:color w:val="auto"/>
          <w:sz w:val="21"/>
          <w:szCs w:val="21"/>
          <w:highlight w:val="none"/>
        </w:rPr>
      </w:pPr>
      <w:r>
        <w:rPr>
          <w:rFonts w:hint="eastAsia" w:ascii="宋体" w:hAnsi="宋体" w:eastAsia="宋体" w:cs="宋体"/>
          <w:color w:val="auto"/>
          <w:szCs w:val="21"/>
          <w:highlight w:val="none"/>
          <w:lang w:val="en-US" w:eastAsia="zh-CN"/>
        </w:rPr>
        <w:t>2、</w:t>
      </w:r>
      <w:r>
        <w:rPr>
          <w:rFonts w:hint="eastAsia" w:ascii="宋体" w:hAnsi="宋体" w:eastAsia="宋体" w:cs="宋体"/>
          <w:color w:val="auto"/>
          <w:szCs w:val="21"/>
          <w:highlight w:val="none"/>
          <w:lang w:val="zh-CN"/>
        </w:rPr>
        <w:t>备份磋商响应文件是指“电子</w:t>
      </w:r>
      <w:r>
        <w:rPr>
          <w:rFonts w:hint="eastAsia" w:ascii="宋体" w:hAnsi="宋体" w:eastAsia="宋体" w:cs="宋体"/>
          <w:color w:val="auto"/>
          <w:szCs w:val="21"/>
          <w:highlight w:val="none"/>
          <w:lang w:val="en-US" w:eastAsia="zh-CN"/>
        </w:rPr>
        <w:t>响应</w:t>
      </w:r>
      <w:r>
        <w:rPr>
          <w:rFonts w:hint="eastAsia" w:ascii="宋体" w:hAnsi="宋体" w:eastAsia="宋体" w:cs="宋体"/>
          <w:color w:val="auto"/>
          <w:szCs w:val="21"/>
          <w:highlight w:val="none"/>
          <w:lang w:val="zh-CN"/>
        </w:rPr>
        <w:t>文件”同时生成的数据电文形式的电子文件（备份标书），以U盘形式提供。</w:t>
      </w:r>
    </w:p>
    <w:p w14:paraId="72C09FF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u w:val="single"/>
          <w:lang w:val="en-US" w:eastAsia="zh-CN"/>
        </w:rPr>
        <w:t>3、磋商响应</w:t>
      </w:r>
      <w:r>
        <w:rPr>
          <w:rFonts w:hint="eastAsia" w:ascii="宋体" w:hAnsi="宋体" w:eastAsia="宋体" w:cs="宋体"/>
          <w:color w:val="auto"/>
          <w:sz w:val="21"/>
          <w:szCs w:val="21"/>
          <w:highlight w:val="none"/>
          <w:u w:val="single"/>
        </w:rPr>
        <w:t>文件启用顺序和效力：</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文件的启用，按先后顺位分别为</w:t>
      </w:r>
      <w:r>
        <w:rPr>
          <w:rFonts w:hint="eastAsia" w:ascii="宋体" w:hAnsi="宋体" w:eastAsia="宋体" w:cs="宋体"/>
          <w:color w:val="auto"/>
          <w:sz w:val="21"/>
          <w:szCs w:val="21"/>
          <w:highlight w:val="none"/>
          <w:u w:val="single"/>
          <w:lang w:eastAsia="zh-CN"/>
        </w:rPr>
        <w:t>电子磋商响应文件</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备份磋商响应文件</w:t>
      </w:r>
      <w:r>
        <w:rPr>
          <w:rFonts w:hint="eastAsia" w:ascii="宋体" w:hAnsi="宋体" w:eastAsia="宋体" w:cs="宋体"/>
          <w:color w:val="auto"/>
          <w:sz w:val="21"/>
          <w:szCs w:val="21"/>
          <w:highlight w:val="none"/>
          <w:u w:val="single"/>
        </w:rPr>
        <w:t>。如果某位</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的电子</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rPr>
        <w:t>文件无法按时解密的，可启用以介质（U盘）存储的数据电文形式的</w:t>
      </w:r>
      <w:r>
        <w:rPr>
          <w:rFonts w:hint="eastAsia" w:ascii="宋体" w:hAnsi="宋体" w:eastAsia="宋体" w:cs="宋体"/>
          <w:color w:val="auto"/>
          <w:sz w:val="21"/>
          <w:szCs w:val="21"/>
          <w:highlight w:val="none"/>
          <w:u w:val="single"/>
          <w:lang w:eastAsia="zh-CN"/>
        </w:rPr>
        <w:t>备份</w:t>
      </w:r>
      <w:r>
        <w:rPr>
          <w:rFonts w:hint="eastAsia" w:ascii="宋体" w:hAnsi="宋体" w:eastAsia="宋体" w:cs="宋体"/>
          <w:color w:val="auto"/>
          <w:sz w:val="21"/>
          <w:szCs w:val="21"/>
          <w:highlight w:val="none"/>
          <w:u w:val="single"/>
          <w:lang w:val="en-US" w:eastAsia="zh-CN"/>
        </w:rPr>
        <w:t>磋商响应</w:t>
      </w:r>
      <w:r>
        <w:rPr>
          <w:rFonts w:hint="eastAsia" w:ascii="宋体" w:hAnsi="宋体" w:eastAsia="宋体" w:cs="宋体"/>
          <w:color w:val="auto"/>
          <w:sz w:val="21"/>
          <w:szCs w:val="21"/>
          <w:highlight w:val="none"/>
          <w:u w:val="single"/>
          <w:lang w:eastAsia="zh-CN"/>
        </w:rPr>
        <w:t>文件</w:t>
      </w:r>
      <w:r>
        <w:rPr>
          <w:rFonts w:hint="eastAsia" w:ascii="宋体" w:hAnsi="宋体" w:eastAsia="宋体" w:cs="宋体"/>
          <w:color w:val="auto"/>
          <w:sz w:val="21"/>
          <w:szCs w:val="21"/>
          <w:highlight w:val="none"/>
          <w:u w:val="single"/>
        </w:rPr>
        <w:t>。</w:t>
      </w:r>
    </w:p>
    <w:p w14:paraId="38088F3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highlight w:val="none"/>
        </w:rPr>
      </w:pPr>
      <w:r>
        <w:rPr>
          <w:rFonts w:hint="eastAsia" w:ascii="宋体" w:hAnsi="宋体" w:eastAsia="宋体" w:cs="宋体"/>
          <w:bCs/>
          <w:color w:val="auto"/>
          <w:sz w:val="21"/>
          <w:szCs w:val="21"/>
          <w:highlight w:val="none"/>
        </w:rPr>
        <w:t>▲未传输递交</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，投标无效。</w:t>
      </w:r>
    </w:p>
    <w:p w14:paraId="7D6DAF1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二</w:t>
      </w:r>
      <w:r>
        <w:rPr>
          <w:rFonts w:hint="eastAsia" w:ascii="宋体" w:hAnsi="宋体" w:eastAsia="宋体" w:cs="宋体"/>
          <w:b/>
          <w:bCs/>
          <w:color w:val="auto"/>
          <w:sz w:val="21"/>
          <w:szCs w:val="21"/>
          <w:highlight w:val="none"/>
        </w:rPr>
        <w:t>）磋商响应文件的组成</w:t>
      </w:r>
    </w:p>
    <w:p w14:paraId="018B923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供应商应仔细阅读</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文件的所有内容，按</w:t>
      </w:r>
      <w:r>
        <w:rPr>
          <w:rFonts w:hint="eastAsia" w:ascii="宋体" w:hAnsi="宋体" w:eastAsia="宋体" w:cs="宋体"/>
          <w:color w:val="auto"/>
          <w:sz w:val="21"/>
          <w:szCs w:val="21"/>
          <w:highlight w:val="none"/>
          <w:lang w:val="en-US" w:eastAsia="zh-CN"/>
        </w:rPr>
        <w:t>磋商采购</w:t>
      </w:r>
      <w:r>
        <w:rPr>
          <w:rFonts w:hint="eastAsia" w:ascii="宋体" w:hAnsi="宋体" w:eastAsia="宋体" w:cs="宋体"/>
          <w:color w:val="auto"/>
          <w:sz w:val="21"/>
          <w:szCs w:val="21"/>
          <w:highlight w:val="none"/>
        </w:rPr>
        <w:t>文件的要求，详细编制磋商响应文件（包含</w:t>
      </w:r>
      <w:r>
        <w:rPr>
          <w:rFonts w:hint="eastAsia" w:ascii="宋体" w:hAnsi="宋体" w:eastAsia="宋体" w:cs="宋体"/>
          <w:color w:val="auto"/>
          <w:sz w:val="21"/>
          <w:szCs w:val="21"/>
          <w:highlight w:val="none"/>
          <w:lang w:eastAsia="zh-CN"/>
        </w:rPr>
        <w:t>电子磋商响应文件</w:t>
      </w:r>
      <w:r>
        <w:rPr>
          <w:rFonts w:hint="eastAsia" w:ascii="宋体" w:hAnsi="宋体" w:eastAsia="宋体" w:cs="宋体"/>
          <w:color w:val="auto"/>
          <w:sz w:val="21"/>
          <w:szCs w:val="21"/>
          <w:highlight w:val="none"/>
        </w:rPr>
        <w:t>和</w:t>
      </w:r>
      <w:r>
        <w:rPr>
          <w:rFonts w:hint="eastAsia" w:ascii="宋体" w:hAnsi="宋体" w:eastAsia="宋体" w:cs="宋体"/>
          <w:color w:val="auto"/>
          <w:sz w:val="21"/>
          <w:szCs w:val="21"/>
          <w:highlight w:val="none"/>
          <w:lang w:eastAsia="zh-CN"/>
        </w:rPr>
        <w:t>备份磋商响应文件</w:t>
      </w:r>
      <w:r>
        <w:rPr>
          <w:rFonts w:hint="eastAsia" w:ascii="宋体" w:hAnsi="宋体" w:eastAsia="宋体" w:cs="宋体"/>
          <w:color w:val="auto"/>
          <w:sz w:val="21"/>
          <w:szCs w:val="21"/>
          <w:highlight w:val="none"/>
        </w:rPr>
        <w:t>）。【特别提示：如有要求提供资料原件的，原件另行包装，并与磋商响应文件一起提交，磋商响应截止时间后所有原件不予接收。资料原件也可以用与原件相符的公证原件替代】</w:t>
      </w:r>
    </w:p>
    <w:p w14:paraId="783C8D1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▲1、资格证明内容的组成：</w:t>
      </w:r>
    </w:p>
    <w:p w14:paraId="3C5223C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w:t>
      </w:r>
      <w:r>
        <w:rPr>
          <w:rFonts w:hint="eastAsia" w:ascii="宋体" w:hAnsi="宋体" w:eastAsia="宋体" w:cs="宋体"/>
          <w:color w:val="auto"/>
          <w:szCs w:val="21"/>
          <w:highlight w:val="none"/>
          <w:lang w:eastAsia="zh-CN"/>
        </w:rPr>
        <w:t>磋商声明书</w:t>
      </w:r>
      <w:r>
        <w:rPr>
          <w:rFonts w:hint="eastAsia" w:ascii="宋体" w:hAnsi="宋体" w:eastAsia="宋体" w:cs="宋体"/>
          <w:color w:val="auto"/>
          <w:szCs w:val="21"/>
          <w:highlight w:val="none"/>
        </w:rPr>
        <w:t>；</w:t>
      </w:r>
    </w:p>
    <w:p w14:paraId="21DFDA8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（2）授权委托书（法定代表人亲自办理投标事宜的，则无需提交)；</w:t>
      </w:r>
    </w:p>
    <w:p w14:paraId="0C0E542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（3）法人或者其他组织的营业执照等证明文件，法定代表人和授权代表的身份证明；</w:t>
      </w:r>
    </w:p>
    <w:p w14:paraId="77412D7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szCs w:val="21"/>
          <w:highlight w:val="none"/>
        </w:rPr>
        <w:t>（4）</w:t>
      </w:r>
      <w:r>
        <w:rPr>
          <w:rFonts w:hint="eastAsia" w:ascii="宋体" w:hAnsi="宋体" w:eastAsia="宋体" w:cs="宋体"/>
          <w:color w:val="auto"/>
          <w:kern w:val="0"/>
          <w:sz w:val="21"/>
          <w:szCs w:val="21"/>
          <w:highlight w:val="none"/>
          <w:lang w:val="en-US" w:eastAsia="zh-CN"/>
        </w:rPr>
        <w:t>须提供中小企业声明函等政府优惠政策适用证明材料；</w:t>
      </w:r>
    </w:p>
    <w:p w14:paraId="3655FCC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cs="宋体" w:eastAsiaTheme="minorEastAsia"/>
          <w:color w:val="auto"/>
          <w:sz w:val="21"/>
          <w:szCs w:val="21"/>
          <w:highlight w:val="none"/>
          <w:lang w:eastAsia="zh-CN"/>
        </w:rPr>
      </w:pPr>
      <w:r>
        <w:rPr>
          <w:rFonts w:hint="eastAsia" w:ascii="宋体" w:hAnsi="宋体" w:eastAsia="宋体" w:cs="宋体"/>
          <w:color w:val="auto"/>
          <w:kern w:val="0"/>
          <w:sz w:val="21"/>
          <w:szCs w:val="21"/>
          <w:highlight w:val="none"/>
          <w:lang w:val="en-US" w:eastAsia="zh-CN"/>
        </w:rPr>
        <w:t>（5）</w:t>
      </w:r>
      <w:r>
        <w:rPr>
          <w:rFonts w:hint="eastAsia" w:asciiTheme="minorEastAsia" w:hAnsiTheme="minorEastAsia" w:eastAsiaTheme="minorEastAsia" w:cstheme="minorEastAsia"/>
          <w:color w:val="auto"/>
          <w:szCs w:val="21"/>
          <w:highlight w:val="none"/>
          <w:lang w:val="en-US" w:eastAsia="zh-CN"/>
        </w:rPr>
        <w:t>供应商认为需要说明的其他材料</w:t>
      </w:r>
      <w:r>
        <w:rPr>
          <w:rFonts w:hint="eastAsia" w:ascii="宋体" w:hAnsi="宋体" w:cs="宋体"/>
          <w:color w:val="auto"/>
          <w:szCs w:val="21"/>
          <w:highlight w:val="none"/>
          <w:lang w:eastAsia="zh-CN"/>
        </w:rPr>
        <w:t>。</w:t>
      </w:r>
    </w:p>
    <w:p w14:paraId="3234BA9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2、商务与技术内容的组成：</w:t>
      </w:r>
    </w:p>
    <w:p w14:paraId="4348CDA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（1）供应商</w:t>
      </w:r>
      <w:r>
        <w:rPr>
          <w:rFonts w:hint="eastAsia" w:ascii="宋体" w:hAnsi="宋体" w:eastAsia="宋体" w:cs="宋体"/>
          <w:color w:val="auto"/>
          <w:sz w:val="21"/>
          <w:szCs w:val="21"/>
          <w:highlight w:val="none"/>
          <w:lang w:val="en-US" w:eastAsia="zh-CN"/>
        </w:rPr>
        <w:t>企业</w:t>
      </w:r>
      <w:r>
        <w:rPr>
          <w:rFonts w:hint="eastAsia" w:ascii="宋体" w:hAnsi="宋体" w:eastAsia="宋体" w:cs="宋体"/>
          <w:color w:val="auto"/>
          <w:sz w:val="21"/>
          <w:szCs w:val="21"/>
          <w:highlight w:val="none"/>
        </w:rPr>
        <w:t>情况介绍</w:t>
      </w:r>
      <w:r>
        <w:rPr>
          <w:rFonts w:hint="eastAsia" w:ascii="宋体" w:hAnsi="宋体" w:eastAsia="宋体" w:cs="宋体"/>
          <w:color w:val="auto"/>
          <w:sz w:val="21"/>
          <w:szCs w:val="21"/>
          <w:highlight w:val="none"/>
          <w:lang w:eastAsia="zh-CN"/>
        </w:rPr>
        <w:t>；</w:t>
      </w:r>
    </w:p>
    <w:p w14:paraId="5FE802E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（2）磋商响应方案描述：</w:t>
      </w:r>
    </w:p>
    <w:p w14:paraId="38D5528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A.项目需求的理解与分析(供应商对项目现状及需求的理解情况，对项目现状和需求描述的全面性、准确性、针对性，对项目重点、难点的把握，解决方案及合理化建议)。</w:t>
      </w:r>
    </w:p>
    <w:p w14:paraId="56E9A3A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B.项目组织实施方案（包括项目</w:t>
      </w:r>
      <w:r>
        <w:rPr>
          <w:rFonts w:hint="eastAsia" w:ascii="宋体" w:hAnsi="宋体" w:eastAsia="宋体" w:cs="宋体"/>
          <w:color w:val="auto"/>
          <w:sz w:val="21"/>
          <w:szCs w:val="21"/>
          <w:highlight w:val="none"/>
          <w:lang w:val="en-US" w:eastAsia="zh-CN"/>
        </w:rPr>
        <w:t>服务期</w:t>
      </w:r>
      <w:r>
        <w:rPr>
          <w:rFonts w:hint="eastAsia" w:ascii="宋体" w:hAnsi="宋体" w:eastAsia="宋体" w:cs="宋体"/>
          <w:color w:val="auto"/>
          <w:sz w:val="21"/>
          <w:szCs w:val="21"/>
          <w:highlight w:val="none"/>
        </w:rPr>
        <w:t>、确保项目</w:t>
      </w:r>
      <w:r>
        <w:rPr>
          <w:rFonts w:hint="eastAsia" w:ascii="宋体" w:hAnsi="宋体" w:eastAsia="宋体" w:cs="宋体"/>
          <w:color w:val="auto"/>
          <w:sz w:val="21"/>
          <w:szCs w:val="21"/>
          <w:highlight w:val="none"/>
          <w:lang w:val="en-US" w:eastAsia="zh-CN"/>
        </w:rPr>
        <w:t>实施</w:t>
      </w:r>
      <w:r>
        <w:rPr>
          <w:rFonts w:hint="eastAsia" w:ascii="宋体" w:hAnsi="宋体" w:eastAsia="宋体" w:cs="宋体"/>
          <w:color w:val="auto"/>
          <w:sz w:val="21"/>
          <w:szCs w:val="21"/>
          <w:highlight w:val="none"/>
        </w:rPr>
        <w:t>的措施或方案、项目实施进度安排、项目实施人员及项目负责人的资质、类似经验及社保证明等）。</w:t>
      </w:r>
    </w:p>
    <w:p w14:paraId="51ADA87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C.验收方案（包括项目验收标准和验收方法等）和措施；</w:t>
      </w:r>
    </w:p>
    <w:p w14:paraId="3AAC720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（3）商务及技术响应表。</w:t>
      </w:r>
    </w:p>
    <w:p w14:paraId="1781898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（4）供应商通过的质量管理和质量保证体系、环保体系、自主创新相关证书、软件著作权证等与本项目相关的认证证书或文件；</w:t>
      </w:r>
    </w:p>
    <w:p w14:paraId="553F38B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（5）类似项目的成功案例（供应商类似项目实施情况一览表、合同复印件及相应的发票、用户验收报告等</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w:t>
      </w:r>
    </w:p>
    <w:p w14:paraId="133B1E4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（6）供应商认为需要提供的其他资料（包括可能影响供应商商务与技术内容评分的各类证明材料）。</w:t>
      </w:r>
    </w:p>
    <w:p w14:paraId="4D16CB9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（7）售后服务描述及承诺：</w:t>
      </w:r>
    </w:p>
    <w:p w14:paraId="0F0640C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A.距采购人最近的服务网点详细介绍（包括地理位置、资质资格、技术力量、工作业绩、服务内容及联系电话等）。</w:t>
      </w:r>
    </w:p>
    <w:p w14:paraId="25D480E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B.针对本项目的售后服务措施及承诺（售后技术服务方案、人员配备、</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响应时间、技术培训方案等）。</w:t>
      </w:r>
    </w:p>
    <w:p w14:paraId="6A37876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highlight w:val="none"/>
        </w:rPr>
      </w:pPr>
      <w:r>
        <w:rPr>
          <w:rFonts w:hint="eastAsia" w:ascii="宋体" w:hAnsi="宋体" w:eastAsia="宋体" w:cs="宋体"/>
          <w:b/>
          <w:color w:val="auto"/>
          <w:szCs w:val="21"/>
          <w:highlight w:val="none"/>
          <w:u w:val="single"/>
        </w:rPr>
        <w:t>注：若</w:t>
      </w:r>
      <w:r>
        <w:rPr>
          <w:rFonts w:hint="eastAsia" w:ascii="宋体" w:hAnsi="宋体" w:eastAsia="宋体" w:cs="宋体"/>
          <w:b/>
          <w:color w:val="auto"/>
          <w:szCs w:val="21"/>
          <w:highlight w:val="none"/>
          <w:u w:val="single"/>
          <w:lang w:eastAsia="zh-CN"/>
        </w:rPr>
        <w:t>磋商文件</w:t>
      </w:r>
      <w:r>
        <w:rPr>
          <w:rFonts w:hint="eastAsia" w:ascii="宋体" w:hAnsi="宋体" w:eastAsia="宋体" w:cs="宋体"/>
          <w:b/>
          <w:color w:val="auto"/>
          <w:szCs w:val="21"/>
          <w:highlight w:val="none"/>
          <w:u w:val="single"/>
        </w:rPr>
        <w:t>中有专门标注的某关联点，并要求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在</w:t>
      </w:r>
      <w:r>
        <w:rPr>
          <w:rFonts w:hint="eastAsia" w:ascii="宋体" w:hAnsi="宋体" w:eastAsia="宋体" w:cs="宋体"/>
          <w:b/>
          <w:color w:val="auto"/>
          <w:szCs w:val="21"/>
          <w:highlight w:val="none"/>
          <w:u w:val="single"/>
          <w:lang w:eastAsia="zh-CN"/>
        </w:rPr>
        <w:t>电子投标</w:t>
      </w:r>
      <w:r>
        <w:rPr>
          <w:rFonts w:hint="eastAsia" w:ascii="宋体" w:hAnsi="宋体" w:eastAsia="宋体" w:cs="宋体"/>
          <w:b/>
          <w:color w:val="auto"/>
          <w:szCs w:val="21"/>
          <w:highlight w:val="none"/>
          <w:u w:val="single"/>
        </w:rPr>
        <w:t>系统中作出</w:t>
      </w:r>
      <w:r>
        <w:rPr>
          <w:rFonts w:hint="eastAsia" w:ascii="宋体" w:hAnsi="宋体" w:eastAsia="宋体" w:cs="宋体"/>
          <w:b/>
          <w:color w:val="auto"/>
          <w:szCs w:val="21"/>
          <w:highlight w:val="none"/>
          <w:u w:val="single"/>
          <w:lang w:eastAsia="zh-CN"/>
        </w:rPr>
        <w:t>磋商</w:t>
      </w:r>
      <w:r>
        <w:rPr>
          <w:rFonts w:hint="eastAsia" w:ascii="宋体" w:hAnsi="宋体" w:eastAsia="宋体" w:cs="宋体"/>
          <w:b/>
          <w:color w:val="auto"/>
          <w:szCs w:val="21"/>
          <w:highlight w:val="none"/>
          <w:u w:val="single"/>
        </w:rPr>
        <w:t>响应的，如</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未对关联点进行响应或者在</w:t>
      </w:r>
      <w:r>
        <w:rPr>
          <w:rFonts w:hint="eastAsia" w:ascii="宋体" w:hAnsi="宋体" w:eastAsia="宋体" w:cs="宋体"/>
          <w:b/>
          <w:color w:val="auto"/>
          <w:szCs w:val="21"/>
          <w:highlight w:val="none"/>
          <w:u w:val="single"/>
          <w:lang w:eastAsia="zh-CN"/>
        </w:rPr>
        <w:t>响应文件</w:t>
      </w:r>
      <w:r>
        <w:rPr>
          <w:rFonts w:hint="eastAsia" w:ascii="宋体" w:hAnsi="宋体" w:eastAsia="宋体" w:cs="宋体"/>
          <w:b/>
          <w:color w:val="auto"/>
          <w:szCs w:val="21"/>
          <w:highlight w:val="none"/>
          <w:u w:val="single"/>
        </w:rPr>
        <w:t>其它内容进行描述，造成电子评审不能查询的责任由</w:t>
      </w:r>
      <w:r>
        <w:rPr>
          <w:rFonts w:hint="eastAsia" w:ascii="宋体" w:hAnsi="宋体" w:eastAsia="宋体" w:cs="宋体"/>
          <w:b/>
          <w:color w:val="auto"/>
          <w:szCs w:val="21"/>
          <w:highlight w:val="none"/>
          <w:u w:val="single"/>
          <w:lang w:eastAsia="zh-CN"/>
        </w:rPr>
        <w:t>供应商</w:t>
      </w:r>
      <w:r>
        <w:rPr>
          <w:rFonts w:hint="eastAsia" w:ascii="宋体" w:hAnsi="宋体" w:eastAsia="宋体" w:cs="宋体"/>
          <w:b/>
          <w:color w:val="auto"/>
          <w:szCs w:val="21"/>
          <w:highlight w:val="none"/>
          <w:u w:val="single"/>
        </w:rPr>
        <w:t>自行承担。</w:t>
      </w:r>
    </w:p>
    <w:p w14:paraId="2FAFBBB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3、报价内容的组成</w:t>
      </w:r>
    </w:p>
    <w:p w14:paraId="24406B5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（1）报价内容由</w:t>
      </w:r>
      <w:r>
        <w:rPr>
          <w:rFonts w:hint="eastAsia" w:ascii="宋体" w:hAnsi="宋体" w:eastAsia="宋体" w:cs="宋体"/>
          <w:b/>
          <w:bCs/>
          <w:color w:val="auto"/>
          <w:sz w:val="21"/>
          <w:szCs w:val="21"/>
          <w:highlight w:val="none"/>
          <w:lang w:val="en-US" w:eastAsia="zh-CN"/>
        </w:rPr>
        <w:t>开标</w:t>
      </w:r>
      <w:r>
        <w:rPr>
          <w:rFonts w:hint="eastAsia" w:ascii="宋体" w:hAnsi="宋体" w:eastAsia="宋体" w:cs="宋体"/>
          <w:b/>
          <w:bCs/>
          <w:color w:val="auto"/>
          <w:sz w:val="21"/>
          <w:szCs w:val="21"/>
          <w:highlight w:val="none"/>
        </w:rPr>
        <w:t>一览表以及供应商认为其他需要说明的内容组成。</w:t>
      </w:r>
    </w:p>
    <w:p w14:paraId="520D811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（2）此报价为供应商针对本项目报出的唯一的首次报价，包含其它一切所要涉及到的费用，有选择</w:t>
      </w:r>
      <w:r>
        <w:rPr>
          <w:rFonts w:hint="eastAsia" w:ascii="宋体" w:hAnsi="宋体" w:cs="宋体"/>
          <w:color w:val="auto"/>
          <w:sz w:val="21"/>
          <w:szCs w:val="21"/>
          <w:highlight w:val="none"/>
          <w:lang w:eastAsia="zh-CN"/>
        </w:rPr>
        <w:t>、</w:t>
      </w:r>
      <w:r>
        <w:rPr>
          <w:rFonts w:hint="eastAsia" w:ascii="宋体" w:hAnsi="宋体" w:cs="宋体"/>
          <w:color w:val="auto"/>
          <w:sz w:val="21"/>
          <w:szCs w:val="21"/>
          <w:highlight w:val="none"/>
          <w:lang w:val="en-US" w:eastAsia="zh-CN"/>
        </w:rPr>
        <w:t>附条件</w:t>
      </w:r>
      <w:r>
        <w:rPr>
          <w:rFonts w:hint="eastAsia" w:ascii="宋体" w:hAnsi="宋体" w:eastAsia="宋体" w:cs="宋体"/>
          <w:color w:val="auto"/>
          <w:sz w:val="21"/>
          <w:szCs w:val="21"/>
          <w:highlight w:val="none"/>
        </w:rPr>
        <w:t>的报价将被拒绝</w:t>
      </w:r>
      <w:r>
        <w:rPr>
          <w:rFonts w:hint="eastAsia" w:ascii="宋体" w:hAnsi="宋体" w:eastAsia="宋体" w:cs="宋体"/>
          <w:color w:val="auto"/>
          <w:sz w:val="21"/>
          <w:szCs w:val="21"/>
          <w:highlight w:val="none"/>
          <w:lang w:eastAsia="zh-CN"/>
        </w:rPr>
        <w:t>。</w:t>
      </w:r>
    </w:p>
    <w:p w14:paraId="0CC86F4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3289FF4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（4）相关报价表需打印或用不</w:t>
      </w:r>
      <w:r>
        <w:rPr>
          <w:rFonts w:hint="eastAsia" w:ascii="宋体" w:hAnsi="宋体" w:cs="宋体"/>
          <w:color w:val="auto"/>
          <w:sz w:val="21"/>
          <w:szCs w:val="21"/>
          <w:highlight w:val="none"/>
          <w:lang w:val="en-US" w:eastAsia="zh-CN"/>
        </w:rPr>
        <w:t>褪色</w:t>
      </w:r>
      <w:r>
        <w:rPr>
          <w:rFonts w:hint="eastAsia" w:ascii="宋体" w:hAnsi="宋体" w:eastAsia="宋体" w:cs="宋体"/>
          <w:color w:val="auto"/>
          <w:sz w:val="21"/>
          <w:szCs w:val="21"/>
          <w:highlight w:val="none"/>
        </w:rPr>
        <w:t>的墨水填写， 磋商响应报价表不得涂改和增删，如有错漏必须修改，修改处须由同一签署人签字或盖章</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未由</w:t>
      </w:r>
      <w:r>
        <w:rPr>
          <w:rFonts w:hint="eastAsia" w:ascii="宋体" w:hAnsi="宋体" w:cs="宋体"/>
          <w:color w:val="auto"/>
          <w:szCs w:val="21"/>
          <w:highlight w:val="none"/>
        </w:rPr>
        <w:t>同一签署人签字或盖章</w:t>
      </w:r>
      <w:r>
        <w:rPr>
          <w:rFonts w:hint="eastAsia" w:ascii="宋体" w:hAnsi="宋体" w:cs="宋体"/>
          <w:color w:val="auto"/>
          <w:szCs w:val="21"/>
          <w:highlight w:val="none"/>
          <w:lang w:val="en-US" w:eastAsia="zh-CN"/>
        </w:rPr>
        <w:t>的修改无效</w:t>
      </w:r>
      <w:r>
        <w:rPr>
          <w:rFonts w:hint="eastAsia" w:ascii="宋体" w:hAnsi="宋体" w:eastAsia="宋体" w:cs="宋体"/>
          <w:color w:val="auto"/>
          <w:sz w:val="21"/>
          <w:szCs w:val="21"/>
          <w:highlight w:val="none"/>
        </w:rPr>
        <w:t>。由于字迹模糊或表达不清引起的后果由供应商负责。</w:t>
      </w:r>
    </w:p>
    <w:p w14:paraId="74B5D23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）报价有关表格应按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中相关附表格式填写。</w:t>
      </w:r>
    </w:p>
    <w:p w14:paraId="64D46545">
      <w:pPr>
        <w:pStyle w:val="30"/>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（6）最后的磋商报价低于首次报价，除磋商内容发生实质性变更，其报价明细表（如有）中各项报价需另行明确以外，各项报价均按比例下调。</w:t>
      </w:r>
    </w:p>
    <w:p w14:paraId="1873894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）磋商响应文件的制作、封装及递交要求</w:t>
      </w:r>
    </w:p>
    <w:p w14:paraId="2EC4A86F">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rPr>
        <w:t>1、</w:t>
      </w:r>
      <w:r>
        <w:rPr>
          <w:rFonts w:hint="eastAsia" w:ascii="宋体" w:hAnsi="宋体" w:eastAsia="宋体" w:cs="宋体"/>
          <w:b/>
          <w:color w:val="auto"/>
          <w:sz w:val="21"/>
          <w:szCs w:val="21"/>
          <w:highlight w:val="none"/>
          <w:lang w:eastAsia="zh-CN"/>
        </w:rPr>
        <w:t>磋商响应文件</w:t>
      </w:r>
      <w:r>
        <w:rPr>
          <w:rFonts w:hint="eastAsia" w:ascii="宋体" w:hAnsi="宋体" w:eastAsia="宋体" w:cs="宋体"/>
          <w:b/>
          <w:color w:val="auto"/>
          <w:sz w:val="21"/>
          <w:szCs w:val="21"/>
          <w:highlight w:val="none"/>
        </w:rPr>
        <w:t>的签署</w:t>
      </w:r>
    </w:p>
    <w:p w14:paraId="7BF8203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1</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中须加盖</w:t>
      </w:r>
      <w:r>
        <w:rPr>
          <w:rFonts w:hint="eastAsia" w:ascii="宋体" w:hAnsi="宋体" w:eastAsia="宋体" w:cs="宋体"/>
          <w:bCs/>
          <w:color w:val="auto"/>
          <w:sz w:val="21"/>
          <w:szCs w:val="21"/>
          <w:highlight w:val="none"/>
          <w:lang w:val="en-US" w:eastAsia="zh-CN"/>
        </w:rPr>
        <w:t>供应商</w:t>
      </w:r>
      <w:r>
        <w:rPr>
          <w:rFonts w:hint="eastAsia" w:ascii="宋体" w:hAnsi="宋体" w:eastAsia="宋体" w:cs="宋体"/>
          <w:bCs/>
          <w:color w:val="auto"/>
          <w:sz w:val="21"/>
          <w:szCs w:val="21"/>
          <w:highlight w:val="none"/>
        </w:rPr>
        <w:t>公章部分均采用CA签章，并根据“</w:t>
      </w:r>
      <w:r>
        <w:rPr>
          <w:rFonts w:hint="eastAsia" w:ascii="宋体" w:hAnsi="宋体" w:eastAsia="宋体" w:cs="宋体"/>
          <w:bCs/>
          <w:color w:val="auto"/>
          <w:sz w:val="21"/>
          <w:szCs w:val="21"/>
          <w:highlight w:val="none"/>
          <w:lang w:val="en-US" w:eastAsia="zh-CN"/>
        </w:rPr>
        <w:t>政府采购云平台</w:t>
      </w:r>
      <w:r>
        <w:rPr>
          <w:rFonts w:hint="eastAsia" w:ascii="宋体" w:hAnsi="宋体" w:eastAsia="宋体" w:cs="宋体"/>
          <w:bCs/>
          <w:color w:val="auto"/>
          <w:sz w:val="21"/>
          <w:szCs w:val="21"/>
          <w:highlight w:val="none"/>
        </w:rPr>
        <w:t>供应商项目采购-电子招</w:t>
      </w:r>
      <w:r>
        <w:rPr>
          <w:rFonts w:hint="eastAsia" w:ascii="宋体" w:hAnsi="宋体" w:eastAsia="宋体" w:cs="宋体"/>
          <w:bCs/>
          <w:color w:val="auto"/>
          <w:sz w:val="21"/>
          <w:szCs w:val="21"/>
          <w:highlight w:val="none"/>
          <w:lang w:val="en-US" w:eastAsia="zh-CN"/>
        </w:rPr>
        <w:t>投标</w:t>
      </w:r>
      <w:r>
        <w:rPr>
          <w:rFonts w:hint="eastAsia" w:ascii="宋体" w:hAnsi="宋体" w:eastAsia="宋体" w:cs="宋体"/>
          <w:bCs/>
          <w:color w:val="auto"/>
          <w:sz w:val="21"/>
          <w:szCs w:val="21"/>
          <w:highlight w:val="none"/>
        </w:rPr>
        <w:t>操作指南”及本</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规定的格式和顺序编制</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并进行关联定位，以便</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在评标时，点击评分项可直接定位到该评分项内容。如对</w:t>
      </w:r>
      <w:r>
        <w:rPr>
          <w:rFonts w:hint="eastAsia" w:ascii="宋体" w:hAnsi="宋体" w:cs="宋体"/>
          <w:bCs/>
          <w:color w:val="auto"/>
          <w:sz w:val="21"/>
          <w:szCs w:val="21"/>
          <w:highlight w:val="none"/>
          <w:lang w:eastAsia="zh-CN"/>
        </w:rPr>
        <w:t>采购文件</w:t>
      </w:r>
      <w:r>
        <w:rPr>
          <w:rFonts w:hint="eastAsia" w:ascii="宋体" w:hAnsi="宋体" w:eastAsia="宋体" w:cs="宋体"/>
          <w:bCs/>
          <w:color w:val="auto"/>
          <w:sz w:val="21"/>
          <w:szCs w:val="21"/>
          <w:highlight w:val="none"/>
        </w:rPr>
        <w:t>的某项要求，</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的</w:t>
      </w: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未能关联定位提供相应的内容与其对应，则</w:t>
      </w:r>
      <w:r>
        <w:rPr>
          <w:rFonts w:hint="eastAsia" w:ascii="宋体" w:hAnsi="宋体" w:eastAsia="宋体" w:cs="宋体"/>
          <w:bCs/>
          <w:color w:val="auto"/>
          <w:sz w:val="21"/>
          <w:szCs w:val="21"/>
          <w:highlight w:val="none"/>
          <w:lang w:eastAsia="zh-CN"/>
        </w:rPr>
        <w:t>磋商委员会</w:t>
      </w:r>
      <w:r>
        <w:rPr>
          <w:rFonts w:hint="eastAsia" w:ascii="宋体" w:hAnsi="宋体" w:eastAsia="宋体" w:cs="宋体"/>
          <w:bCs/>
          <w:color w:val="auto"/>
          <w:sz w:val="21"/>
          <w:szCs w:val="21"/>
          <w:highlight w:val="none"/>
        </w:rPr>
        <w:t>在评审时如做出对</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不利的评审由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226257B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eastAsia="zh-CN"/>
        </w:rPr>
        <w:t>电子磋商响应文件</w:t>
      </w:r>
      <w:r>
        <w:rPr>
          <w:rFonts w:hint="eastAsia" w:ascii="宋体" w:hAnsi="宋体" w:eastAsia="宋体" w:cs="宋体"/>
          <w:bCs/>
          <w:color w:val="auto"/>
          <w:sz w:val="21"/>
          <w:szCs w:val="21"/>
          <w:highlight w:val="none"/>
        </w:rPr>
        <w:t>如内容不完整、编排混乱导致</w:t>
      </w:r>
      <w:r>
        <w:rPr>
          <w:rFonts w:hint="eastAsia" w:ascii="宋体" w:hAnsi="宋体" w:eastAsia="宋体" w:cs="宋体"/>
          <w:bCs/>
          <w:color w:val="auto"/>
          <w:sz w:val="21"/>
          <w:szCs w:val="21"/>
          <w:highlight w:val="none"/>
          <w:lang w:eastAsia="zh-CN"/>
        </w:rPr>
        <w:t>磋商响应文件</w:t>
      </w:r>
      <w:r>
        <w:rPr>
          <w:rFonts w:hint="eastAsia" w:ascii="宋体" w:hAnsi="宋体" w:eastAsia="宋体" w:cs="宋体"/>
          <w:bCs/>
          <w:color w:val="auto"/>
          <w:sz w:val="21"/>
          <w:szCs w:val="21"/>
          <w:highlight w:val="none"/>
        </w:rPr>
        <w:t>被误读、漏读，或者在按采购文件规定的部位查找不到相关内容的，由</w:t>
      </w:r>
      <w:r>
        <w:rPr>
          <w:rFonts w:hint="eastAsia" w:ascii="宋体" w:hAnsi="宋体" w:eastAsia="宋体" w:cs="宋体"/>
          <w:bCs/>
          <w:color w:val="auto"/>
          <w:sz w:val="21"/>
          <w:szCs w:val="21"/>
          <w:highlight w:val="none"/>
          <w:lang w:eastAsia="zh-CN"/>
        </w:rPr>
        <w:t>供应商</w:t>
      </w:r>
      <w:r>
        <w:rPr>
          <w:rFonts w:hint="eastAsia" w:ascii="宋体" w:hAnsi="宋体" w:eastAsia="宋体" w:cs="宋体"/>
          <w:bCs/>
          <w:color w:val="auto"/>
          <w:sz w:val="21"/>
          <w:szCs w:val="21"/>
          <w:highlight w:val="none"/>
        </w:rPr>
        <w:t>自行承担。</w:t>
      </w:r>
    </w:p>
    <w:p w14:paraId="16541330">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w:t>
      </w:r>
      <w:r>
        <w:rPr>
          <w:rFonts w:hint="eastAsia" w:ascii="宋体" w:hAnsi="宋体" w:eastAsia="宋体" w:cs="宋体"/>
          <w:bCs/>
          <w:color w:val="auto"/>
          <w:sz w:val="21"/>
          <w:szCs w:val="21"/>
          <w:highlight w:val="none"/>
          <w:lang w:val="en-US" w:eastAsia="zh-CN"/>
        </w:rPr>
        <w:t>2</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温馨提醒：</w:t>
      </w:r>
      <w:r>
        <w:rPr>
          <w:rFonts w:hint="eastAsia" w:ascii="宋体" w:hAnsi="宋体" w:eastAsia="宋体" w:cs="宋体"/>
          <w:color w:val="auto"/>
          <w:sz w:val="21"/>
          <w:szCs w:val="21"/>
          <w:highlight w:val="none"/>
          <w:u w:val="single"/>
        </w:rPr>
        <w:t>CA签章上目前没有</w:t>
      </w:r>
      <w:r>
        <w:rPr>
          <w:rFonts w:hint="eastAsia" w:ascii="宋体" w:hAnsi="宋体" w:eastAsia="宋体" w:cs="宋体"/>
          <w:color w:val="auto"/>
          <w:sz w:val="21"/>
          <w:szCs w:val="21"/>
          <w:highlight w:val="none"/>
          <w:u w:val="single"/>
          <w:lang w:eastAsia="zh-CN"/>
        </w:rPr>
        <w:t>法定代表人</w:t>
      </w:r>
      <w:r>
        <w:rPr>
          <w:rFonts w:hint="eastAsia" w:ascii="宋体" w:hAnsi="宋体" w:eastAsia="宋体" w:cs="宋体"/>
          <w:color w:val="auto"/>
          <w:sz w:val="21"/>
          <w:szCs w:val="21"/>
          <w:highlight w:val="none"/>
          <w:u w:val="single"/>
        </w:rPr>
        <w:t>或授权代表签字信息，需要</w:t>
      </w:r>
      <w:r>
        <w:rPr>
          <w:rFonts w:hint="eastAsia" w:ascii="宋体" w:hAnsi="宋体" w:eastAsia="宋体" w:cs="宋体"/>
          <w:color w:val="auto"/>
          <w:sz w:val="21"/>
          <w:szCs w:val="21"/>
          <w:highlight w:val="none"/>
          <w:u w:val="single"/>
          <w:lang w:eastAsia="zh-CN"/>
        </w:rPr>
        <w:t>供应商</w:t>
      </w:r>
      <w:r>
        <w:rPr>
          <w:rFonts w:hint="eastAsia" w:ascii="宋体" w:hAnsi="宋体" w:eastAsia="宋体" w:cs="宋体"/>
          <w:color w:val="auto"/>
          <w:sz w:val="21"/>
          <w:szCs w:val="21"/>
          <w:highlight w:val="none"/>
          <w:u w:val="single"/>
        </w:rPr>
        <w:t>联系浙江杭州汇信科技有限公司等相应公司进行办理，或在</w:t>
      </w:r>
      <w:r>
        <w:rPr>
          <w:rFonts w:hint="eastAsia" w:ascii="宋体" w:hAnsi="宋体" w:eastAsia="宋体" w:cs="宋体"/>
          <w:color w:val="auto"/>
          <w:sz w:val="21"/>
          <w:szCs w:val="21"/>
          <w:highlight w:val="none"/>
          <w:u w:val="single"/>
          <w:lang w:eastAsia="zh-CN"/>
        </w:rPr>
        <w:t>磋商响应文件</w:t>
      </w:r>
      <w:r>
        <w:rPr>
          <w:rFonts w:hint="eastAsia" w:ascii="宋体" w:hAnsi="宋体" w:eastAsia="宋体" w:cs="宋体"/>
          <w:color w:val="auto"/>
          <w:sz w:val="21"/>
          <w:szCs w:val="21"/>
          <w:highlight w:val="none"/>
          <w:u w:val="single"/>
        </w:rPr>
        <w:t>中涉及到签字的位置线下签好字然后扫描或者拍照做成PDF的格式亦可。</w:t>
      </w:r>
    </w:p>
    <w:p w14:paraId="4283765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不得涂改，若有修改错漏处，须加盖单位公章或者法定代表人或授权委托人签字或盖章。</w:t>
      </w:r>
      <w:r>
        <w:rPr>
          <w:rFonts w:hint="eastAsia" w:ascii="宋体" w:hAnsi="宋体" w:eastAsia="宋体" w:cs="宋体"/>
          <w:color w:val="auto"/>
          <w:sz w:val="21"/>
          <w:szCs w:val="21"/>
          <w:highlight w:val="none"/>
          <w:lang w:eastAsia="zh-CN"/>
        </w:rPr>
        <w:t>磋商响应文件</w:t>
      </w:r>
      <w:r>
        <w:rPr>
          <w:rFonts w:hint="eastAsia" w:ascii="宋体" w:hAnsi="宋体" w:eastAsia="宋体" w:cs="宋体"/>
          <w:color w:val="auto"/>
          <w:sz w:val="21"/>
          <w:szCs w:val="21"/>
          <w:highlight w:val="none"/>
        </w:rPr>
        <w:t>因字迹潦草或表达不清所引起的后果由</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负责。</w:t>
      </w:r>
    </w:p>
    <w:p w14:paraId="55E4CA8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2</w:t>
      </w:r>
      <w:r>
        <w:rPr>
          <w:rFonts w:hint="eastAsia" w:ascii="宋体" w:hAnsi="宋体" w:eastAsia="宋体" w:cs="宋体"/>
          <w:b/>
          <w:bCs/>
          <w:color w:val="auto"/>
          <w:sz w:val="21"/>
          <w:szCs w:val="21"/>
          <w:highlight w:val="none"/>
        </w:rPr>
        <w:t>、磋商响应文件的制作要求</w:t>
      </w:r>
    </w:p>
    <w:p w14:paraId="2C20B0D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（1）供应商应按照磋商响应文件组成内容及项目磋商需求制作磋商响应文件，不按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要求制作磋商响应文件由此产生的责任由磋商供应商自行承担。</w:t>
      </w:r>
    </w:p>
    <w:p w14:paraId="53C06A3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bottom"/>
        <w:outlineLvl w:val="9"/>
        <w:rPr>
          <w:rFonts w:hint="eastAsia" w:ascii="宋体" w:hAnsi="宋体" w:eastAsia="宋体" w:cs="宋体"/>
          <w:color w:val="auto"/>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Cs w:val="21"/>
          <w:highlight w:val="none"/>
          <w:lang w:val="zh-CN"/>
        </w:rPr>
        <w:t>响应文件（包含电子磋商响应文件和备份磋商响应文件）</w:t>
      </w:r>
      <w:r>
        <w:rPr>
          <w:rFonts w:hint="eastAsia" w:ascii="宋体" w:hAnsi="宋体" w:eastAsia="宋体" w:cs="宋体"/>
          <w:color w:val="auto"/>
          <w:szCs w:val="21"/>
          <w:highlight w:val="none"/>
          <w:lang w:val="zh-CN" w:eastAsia="zh-CN"/>
        </w:rPr>
        <w:t>，</w:t>
      </w:r>
      <w:r>
        <w:rPr>
          <w:rFonts w:hint="eastAsia" w:ascii="宋体" w:hAnsi="宋体" w:eastAsia="宋体" w:cs="宋体"/>
          <w:color w:val="auto"/>
          <w:szCs w:val="21"/>
          <w:highlight w:val="none"/>
          <w:lang w:val="zh-CN"/>
        </w:rPr>
        <w:t>其中电子磋商响应文件中所须加盖公章部分均采用CA签章。备份磋商响应文件</w:t>
      </w:r>
      <w:r>
        <w:rPr>
          <w:rFonts w:hint="eastAsia" w:ascii="宋体" w:hAnsi="宋体" w:eastAsia="宋体" w:cs="宋体"/>
          <w:color w:val="auto"/>
          <w:szCs w:val="21"/>
          <w:highlight w:val="none"/>
        </w:rPr>
        <w:t>按</w:t>
      </w:r>
      <w:r>
        <w:rPr>
          <w:rFonts w:hint="eastAsia" w:ascii="宋体" w:hAnsi="宋体" w:eastAsia="宋体" w:cs="宋体"/>
          <w:color w:val="auto"/>
          <w:szCs w:val="21"/>
          <w:highlight w:val="none"/>
          <w:lang w:val="en-US" w:eastAsia="zh-CN"/>
        </w:rPr>
        <w:t>要求密封</w:t>
      </w:r>
      <w:r>
        <w:rPr>
          <w:rFonts w:hint="eastAsia" w:ascii="宋体" w:hAnsi="宋体" w:eastAsia="宋体" w:cs="宋体"/>
          <w:color w:val="auto"/>
          <w:szCs w:val="21"/>
          <w:highlight w:val="none"/>
        </w:rPr>
        <w:t>，否则其响应文件将可能被拒绝。</w:t>
      </w:r>
    </w:p>
    <w:p w14:paraId="15390F7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highlight w:val="none"/>
          <w:vertAlign w:val="baseline"/>
          <w:lang w:val="en-US" w:eastAsia="zh-CN"/>
        </w:rPr>
        <w:t>▲</w:t>
      </w:r>
      <w:r>
        <w:rPr>
          <w:rFonts w:hint="eastAsia" w:ascii="宋体" w:hAnsi="宋体" w:eastAsia="宋体" w:cs="宋体"/>
          <w:color w:val="auto"/>
          <w:sz w:val="21"/>
          <w:szCs w:val="21"/>
          <w:highlight w:val="none"/>
        </w:rPr>
        <w:t>供应商应对所提供的全部资料的真实性承担法律责任，磋商响应文件内容中有要求盖章或签字的地方，必须加盖磋商供应商的公章以及法定代表人或</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的盖章或签字，其中所有证书类文件提供的复印件必须全部加盖单位公章且必须在有效期内的。</w:t>
      </w:r>
    </w:p>
    <w:p w14:paraId="4097191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（3）磋商响应文件以及磋商供应商与采购组织机构就有关磋商事宜的所有来往函电，均应以中文汉语书写。</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除签字、盖章、专用名称等特殊情形外，以中文汉语以外的文字表述的磋商响应文件视同未提供</w:t>
      </w:r>
      <w:r>
        <w:rPr>
          <w:rFonts w:hint="eastAsia" w:ascii="宋体" w:hAnsi="宋体" w:cs="宋体"/>
          <w:color w:val="auto"/>
          <w:szCs w:val="21"/>
          <w:highlight w:val="none"/>
        </w:rPr>
        <w:t>，如该文件未提供将影响投标有效性的，则视为投标无效</w:t>
      </w:r>
      <w:r>
        <w:rPr>
          <w:rFonts w:hint="eastAsia" w:ascii="宋体" w:hAnsi="宋体" w:eastAsia="宋体" w:cs="宋体"/>
          <w:color w:val="auto"/>
          <w:sz w:val="21"/>
          <w:szCs w:val="21"/>
          <w:highlight w:val="none"/>
        </w:rPr>
        <w:t>。</w:t>
      </w:r>
    </w:p>
    <w:p w14:paraId="7F8D96C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（4）磋商计量单位，磋商采购文件已有明确规定的，使用磋商采购文件规定的计量单位；磋商采购文件没有规定的，</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应采用中华人民共和国法定计量单位（货币单位：人民币元），否则视同未响应。</w:t>
      </w:r>
    </w:p>
    <w:p w14:paraId="7E366A0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（5）若磋商供应商不按采购文件的要求提供资格审查材料，其风险由磋商供应商自行承担。</w:t>
      </w:r>
    </w:p>
    <w:p w14:paraId="7C4541D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（6）与本次磋商无关的内容请不要制作在内，确保磋商响应文件有针对性、简洁明了，同时节约纸张；磋商响应文件统一以A4纸大小双面打印并装订</w:t>
      </w:r>
      <w:r>
        <w:rPr>
          <w:rFonts w:hint="eastAsia" w:ascii="宋体" w:hAnsi="宋体" w:eastAsia="宋体" w:cs="宋体"/>
          <w:color w:val="auto"/>
          <w:sz w:val="21"/>
          <w:szCs w:val="21"/>
          <w:highlight w:val="none"/>
          <w:lang w:eastAsia="zh-CN"/>
        </w:rPr>
        <w:t>。</w:t>
      </w:r>
    </w:p>
    <w:p w14:paraId="17705D1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、磋商响应文件的封装要求</w:t>
      </w:r>
    </w:p>
    <w:p w14:paraId="7782CF56">
      <w:pPr>
        <w:pStyle w:val="52"/>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磋商</w:t>
      </w:r>
      <w:r>
        <w:rPr>
          <w:rFonts w:hint="eastAsia" w:ascii="宋体" w:hAnsi="宋体" w:eastAsia="宋体" w:cs="宋体"/>
          <w:color w:val="auto"/>
          <w:sz w:val="21"/>
          <w:szCs w:val="21"/>
          <w:highlight w:val="none"/>
        </w:rPr>
        <w:t>文件的正本</w:t>
      </w:r>
      <w:r>
        <w:rPr>
          <w:rFonts w:hint="eastAsia" w:ascii="宋体" w:hAnsi="宋体" w:eastAsia="宋体" w:cs="宋体"/>
          <w:color w:val="auto"/>
          <w:sz w:val="21"/>
          <w:szCs w:val="21"/>
          <w:highlight w:val="none"/>
          <w:lang w:val="zh-CN"/>
        </w:rPr>
        <w:t>封面</w:t>
      </w:r>
      <w:r>
        <w:rPr>
          <w:rFonts w:hint="eastAsia" w:ascii="宋体" w:hAnsi="宋体" w:eastAsia="宋体" w:cs="宋体"/>
          <w:color w:val="auto"/>
          <w:sz w:val="21"/>
          <w:szCs w:val="21"/>
          <w:highlight w:val="none"/>
        </w:rPr>
        <w:t>需注明“正本”字样。</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除报价文件外其余一律不准出现数字报价。如有不同标项，请按标项号分别</w:t>
      </w:r>
      <w:r>
        <w:rPr>
          <w:rFonts w:hint="eastAsia" w:ascii="宋体" w:hAnsi="宋体" w:eastAsia="宋体" w:cs="宋体"/>
          <w:color w:val="auto"/>
          <w:sz w:val="21"/>
          <w:szCs w:val="21"/>
          <w:highlight w:val="none"/>
          <w:lang w:val="en-US" w:eastAsia="zh-CN"/>
        </w:rPr>
        <w:t>编制</w:t>
      </w:r>
      <w:r>
        <w:rPr>
          <w:rFonts w:hint="eastAsia" w:ascii="宋体" w:hAnsi="宋体" w:eastAsia="宋体" w:cs="宋体"/>
          <w:color w:val="auto"/>
          <w:sz w:val="21"/>
          <w:szCs w:val="21"/>
          <w:highlight w:val="none"/>
        </w:rPr>
        <w:t>。</w:t>
      </w:r>
    </w:p>
    <w:p w14:paraId="7B4AF72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（2）所有磋商响应资料按</w:t>
      </w:r>
      <w:r>
        <w:rPr>
          <w:rFonts w:hint="eastAsia" w:ascii="宋体" w:hAnsi="宋体" w:cs="宋体"/>
          <w:color w:val="auto"/>
          <w:sz w:val="21"/>
          <w:szCs w:val="21"/>
          <w:highlight w:val="none"/>
          <w:lang w:eastAsia="zh-CN"/>
        </w:rPr>
        <w:t>采购文件</w:t>
      </w:r>
      <w:r>
        <w:rPr>
          <w:rFonts w:hint="eastAsia" w:ascii="宋体" w:hAnsi="宋体" w:eastAsia="宋体" w:cs="宋体"/>
          <w:color w:val="auto"/>
          <w:sz w:val="21"/>
          <w:szCs w:val="21"/>
          <w:highlight w:val="none"/>
        </w:rPr>
        <w:t>的组成所列内容及顺序装订成册，并逐页连续标注页码。因磋商响应文件内容不完整、编排混乱导致磋商响应文件被误读、漏读或者查找不到相关内容的责任由供应商自行承担。</w:t>
      </w:r>
    </w:p>
    <w:p w14:paraId="7DDFB40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b w:val="0"/>
          <w:bCs w:val="0"/>
          <w:color w:val="auto"/>
          <w:sz w:val="21"/>
          <w:szCs w:val="21"/>
          <w:highlight w:val="none"/>
          <w:lang w:val="en-US" w:eastAsia="zh-CN"/>
        </w:rPr>
        <w:t>备份</w:t>
      </w:r>
      <w:r>
        <w:rPr>
          <w:rFonts w:hint="eastAsia" w:ascii="宋体" w:hAnsi="宋体" w:eastAsia="宋体" w:cs="宋体"/>
          <w:color w:val="auto"/>
          <w:sz w:val="21"/>
          <w:szCs w:val="21"/>
          <w:highlight w:val="none"/>
        </w:rPr>
        <w:t>磋商响应文件请在密封袋的封口处应有磋商供应商公章或磋商</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签字。封皮上写明项目编号、标段、</w:t>
      </w:r>
      <w:r>
        <w:rPr>
          <w:rFonts w:hint="eastAsia" w:ascii="宋体" w:hAnsi="宋体" w:eastAsia="宋体" w:cs="宋体"/>
          <w:color w:val="auto"/>
          <w:sz w:val="21"/>
          <w:szCs w:val="21"/>
          <w:highlight w:val="none"/>
          <w:lang w:eastAsia="zh-CN"/>
        </w:rPr>
        <w:t>招标</w:t>
      </w:r>
      <w:r>
        <w:rPr>
          <w:rFonts w:hint="eastAsia" w:ascii="宋体" w:hAnsi="宋体" w:eastAsia="宋体" w:cs="宋体"/>
          <w:color w:val="auto"/>
          <w:sz w:val="21"/>
          <w:szCs w:val="21"/>
          <w:highlight w:val="none"/>
        </w:rPr>
        <w:t>项目名称、供应商名称，并注明“磋商响应文件名称”、“磋商时启封”字样，未按上述要求密封及加写标记</w:t>
      </w:r>
      <w:r>
        <w:rPr>
          <w:rFonts w:hint="eastAsia" w:ascii="宋体" w:hAnsi="宋体" w:eastAsia="宋体" w:cs="宋体"/>
          <w:color w:val="auto"/>
          <w:kern w:val="2"/>
          <w:sz w:val="21"/>
          <w:szCs w:val="21"/>
          <w:highlight w:val="none"/>
          <w:lang w:val="en-US" w:eastAsia="zh-CN" w:bidi="ar-SA"/>
        </w:rPr>
        <w:t>将被拒收</w:t>
      </w:r>
      <w:r>
        <w:rPr>
          <w:rFonts w:hint="eastAsia" w:ascii="宋体" w:hAnsi="宋体" w:eastAsia="宋体" w:cs="宋体"/>
          <w:color w:val="auto"/>
          <w:sz w:val="21"/>
          <w:szCs w:val="21"/>
          <w:highlight w:val="none"/>
        </w:rPr>
        <w:t>，采购组织机构对磋商响应文件的误投和提前启封不负责任。</w:t>
      </w:r>
    </w:p>
    <w:p w14:paraId="48BE47E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（4）项目如分标段，各标段磋商响应文件必须分开编制。</w:t>
      </w:r>
    </w:p>
    <w:p w14:paraId="3A59557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（5）因密封不严、标记不明而造成失密、拒收、过早启封等情况，采购组织机构概不负责。</w:t>
      </w:r>
    </w:p>
    <w:p w14:paraId="7936402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bCs/>
          <w:color w:val="auto"/>
          <w:sz w:val="21"/>
          <w:szCs w:val="21"/>
          <w:highlight w:val="none"/>
          <w:lang w:val="en-US" w:eastAsia="zh-CN"/>
        </w:rPr>
        <w:t>4</w:t>
      </w:r>
      <w:r>
        <w:rPr>
          <w:rFonts w:hint="eastAsia" w:ascii="宋体" w:hAnsi="宋体" w:eastAsia="宋体" w:cs="宋体"/>
          <w:b/>
          <w:bCs/>
          <w:color w:val="auto"/>
          <w:sz w:val="21"/>
          <w:szCs w:val="21"/>
          <w:highlight w:val="none"/>
        </w:rPr>
        <w:t>、磋商响应文件的递交要求</w:t>
      </w:r>
    </w:p>
    <w:p w14:paraId="6162BB7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供应商同时还可以提供经政采云平台加密处理的、以介质（U盘）存储的数据电文形式的备份磋商响应文件。备份磋商响应文件应当在磋商截止时间前按要求密封（备份磋商响应文件在密封袋的封口处应有磋商供应商公章或磋商授权委托代理人签字。封皮上写明项目编号、标段、招标项目名称、供应商名称，并注明“备份磋商响应文件”、“磋商时启封”字样）并建议顺丰邮寄到台州市椒江区中环世纪6幢8楼（浙江汇永工程咨询有限公司）收件人：陈奕圩；联系电话：18257695510</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备份磋商响应文件在截止时间后提交、</w:t>
      </w:r>
      <w:r>
        <w:rPr>
          <w:rFonts w:hint="eastAsia" w:ascii="宋体" w:hAnsi="宋体" w:eastAsia="宋体" w:cs="宋体"/>
          <w:color w:val="auto"/>
          <w:highlight w:val="none"/>
        </w:rPr>
        <w:t>到付或未按要求密封</w:t>
      </w:r>
      <w:r>
        <w:rPr>
          <w:rFonts w:hint="eastAsia" w:ascii="宋体" w:hAnsi="宋体" w:eastAsia="宋体" w:cs="宋体"/>
          <w:color w:val="auto"/>
          <w:highlight w:val="none"/>
          <w:lang w:eastAsia="zh-Hans"/>
        </w:rPr>
        <w:t>的</w:t>
      </w:r>
      <w:r>
        <w:rPr>
          <w:rFonts w:hint="eastAsia" w:ascii="宋体" w:hAnsi="宋体" w:eastAsia="宋体" w:cs="宋体"/>
          <w:color w:val="auto"/>
          <w:szCs w:val="21"/>
          <w:highlight w:val="none"/>
        </w:rPr>
        <w:t>，采购代理机构将拒绝接收。▲如供应商未在磋商截止时间前完成电子磋商响应文件的传输递交，其备份磋商响应文件也将为无效</w:t>
      </w:r>
      <w:r>
        <w:rPr>
          <w:rFonts w:hint="eastAsia" w:ascii="宋体" w:hAnsi="宋体" w:cs="宋体"/>
          <w:color w:val="auto"/>
          <w:szCs w:val="21"/>
          <w:highlight w:val="none"/>
          <w:lang w:val="en-US" w:eastAsia="zh-CN"/>
        </w:rPr>
        <w:t>备份</w:t>
      </w:r>
      <w:r>
        <w:rPr>
          <w:rFonts w:hint="eastAsia" w:ascii="宋体" w:hAnsi="宋体" w:eastAsia="宋体" w:cs="宋体"/>
          <w:color w:val="auto"/>
          <w:szCs w:val="21"/>
          <w:highlight w:val="none"/>
        </w:rPr>
        <w:t>磋商响应文件。</w:t>
      </w:r>
    </w:p>
    <w:p w14:paraId="230A3B84">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bCs/>
          <w:color w:val="auto"/>
          <w:sz w:val="21"/>
          <w:szCs w:val="21"/>
          <w:highlight w:val="none"/>
        </w:rPr>
        <w:t>（2）</w:t>
      </w:r>
      <w:r>
        <w:rPr>
          <w:rFonts w:hint="eastAsia" w:ascii="宋体" w:hAnsi="宋体" w:eastAsia="宋体" w:cs="宋体"/>
          <w:b/>
          <w:bCs/>
          <w:color w:val="auto"/>
          <w:kern w:val="2"/>
          <w:sz w:val="21"/>
          <w:szCs w:val="21"/>
          <w:highlight w:val="none"/>
          <w:lang w:val="en-US" w:eastAsia="zh-CN" w:bidi="ar-SA"/>
        </w:rPr>
        <w:t>电子磋商响应文件的相关说明</w:t>
      </w:r>
    </w:p>
    <w:p w14:paraId="3E7177D6">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供应商进行电子投标应安装客户端软件，并按照采购文件和电子交易平台的要求编制并加密磋商响应文件。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供应商未按规定加密的磋商响应文件，电子交易平台将拒收。</w:t>
      </w:r>
    </w:p>
    <w:p w14:paraId="5353E9A8">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供应商应当在磋商截止时间前完成磋商响应文件的传输递交，并可以补充、修改或者撤回磋商响应文件。补充或者修改磋商响应文件的，应当先行撤回原文件，补充、修改后重新传输递交。磋商截止时间前未完成传输的，视为撤回磋商响应文件。</w:t>
      </w:r>
      <w:r>
        <w:rPr>
          <w:rFonts w:hint="eastAsia" w:ascii="宋体" w:hAnsi="宋体" w:eastAsia="宋体" w:cs="宋体"/>
          <w:color w:val="auto"/>
          <w:szCs w:val="21"/>
          <w:highlight w:val="none"/>
        </w:rPr>
        <w:t>▲</w:t>
      </w:r>
      <w:r>
        <w:rPr>
          <w:rFonts w:hint="eastAsia" w:ascii="宋体" w:hAnsi="宋体" w:eastAsia="宋体" w:cs="宋体"/>
          <w:b w:val="0"/>
          <w:bCs w:val="0"/>
          <w:color w:val="auto"/>
          <w:kern w:val="2"/>
          <w:sz w:val="21"/>
          <w:szCs w:val="21"/>
          <w:highlight w:val="none"/>
          <w:lang w:val="en-US" w:eastAsia="zh-CN" w:bidi="ar-SA"/>
        </w:rPr>
        <w:t>磋商截止时间后递交的磋商响应文件，电子交易平台将拒收。</w:t>
      </w:r>
    </w:p>
    <w:p w14:paraId="412A7C0A">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供应商在电子交易平台传输递交磋商响应文件后，还可以在磋商截止时间前提交备份磋商响应文件，若供应商未提交备份磋商响应文件，其后果由供应商自行承担。</w:t>
      </w:r>
    </w:p>
    <w:p w14:paraId="4AA87DA9">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▲供应商仅提交备份磋商响应文件的，投标无效。</w:t>
      </w:r>
    </w:p>
    <w:p w14:paraId="04A8955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如有特殊情况，采购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机构延长截止时间和开标时间，采购</w:t>
      </w:r>
      <w:r>
        <w:rPr>
          <w:rFonts w:hint="eastAsia" w:ascii="宋体" w:hAnsi="宋体" w:eastAsia="宋体" w:cs="宋体"/>
          <w:color w:val="auto"/>
          <w:sz w:val="21"/>
          <w:szCs w:val="21"/>
          <w:highlight w:val="none"/>
          <w:lang w:val="en-US" w:eastAsia="zh-CN"/>
        </w:rPr>
        <w:t>代理</w:t>
      </w:r>
      <w:r>
        <w:rPr>
          <w:rFonts w:hint="eastAsia" w:ascii="宋体" w:hAnsi="宋体" w:eastAsia="宋体" w:cs="宋体"/>
          <w:color w:val="auto"/>
          <w:sz w:val="21"/>
          <w:szCs w:val="21"/>
          <w:highlight w:val="none"/>
        </w:rPr>
        <w:t>机构和</w:t>
      </w:r>
      <w:r>
        <w:rPr>
          <w:rFonts w:hint="eastAsia" w:ascii="宋体" w:hAnsi="宋体" w:eastAsia="宋体" w:cs="宋体"/>
          <w:color w:val="auto"/>
          <w:sz w:val="21"/>
          <w:szCs w:val="21"/>
          <w:highlight w:val="none"/>
          <w:lang w:eastAsia="zh-CN"/>
        </w:rPr>
        <w:t>供应商</w:t>
      </w:r>
      <w:r>
        <w:rPr>
          <w:rFonts w:hint="eastAsia" w:ascii="宋体" w:hAnsi="宋体" w:eastAsia="宋体" w:cs="宋体"/>
          <w:color w:val="auto"/>
          <w:sz w:val="21"/>
          <w:szCs w:val="21"/>
          <w:highlight w:val="none"/>
        </w:rPr>
        <w:t>的权利和义务将受到新的截止时间和开标时间的约束。</w:t>
      </w:r>
    </w:p>
    <w:p w14:paraId="040B0BA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rPr>
        <w:t>、磋商响应文件的补充、修改和撤回。</w:t>
      </w:r>
    </w:p>
    <w:p w14:paraId="0ECED09A">
      <w:pPr>
        <w:pStyle w:val="57"/>
        <w:keepNext w:val="0"/>
        <w:keepLines w:val="0"/>
        <w:pageBreakBefore w:val="0"/>
        <w:widowControl w:val="0"/>
        <w:kinsoku/>
        <w:wordWrap w:val="0"/>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1</w:t>
      </w: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应当在投标截止时间前完成电子</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文件的上传、递交，并可以补充、修改或者撤回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文件。补充或者修改</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文件的，应当先行撤回原文件，补充、修改后重新上传、递交。投标截止时间前未完成上传、递交的，视为撤回</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文件。投标截止时间后递交的</w:t>
      </w:r>
      <w:r>
        <w:rPr>
          <w:rFonts w:hint="eastAsia" w:ascii="宋体" w:hAnsi="宋体" w:eastAsia="宋体" w:cs="宋体"/>
          <w:color w:val="auto"/>
          <w:kern w:val="2"/>
          <w:sz w:val="21"/>
          <w:szCs w:val="21"/>
          <w:highlight w:val="none"/>
          <w:lang w:val="en-US" w:eastAsia="zh-CN" w:bidi="ar-SA"/>
        </w:rPr>
        <w:t>电子磋商响应</w:t>
      </w:r>
      <w:r>
        <w:rPr>
          <w:rFonts w:hint="eastAsia" w:ascii="宋体" w:hAnsi="宋体" w:eastAsia="宋体" w:cs="宋体"/>
          <w:color w:val="auto"/>
          <w:kern w:val="2"/>
          <w:sz w:val="21"/>
          <w:szCs w:val="21"/>
          <w:highlight w:val="none"/>
          <w:lang w:val="en-GB" w:eastAsia="zh-CN" w:bidi="ar-SA"/>
        </w:rPr>
        <w:t>文件，“政府采购云平台”将予以拒收。</w:t>
      </w:r>
    </w:p>
    <w:p w14:paraId="3F0FB33B">
      <w:pPr>
        <w:pStyle w:val="57"/>
        <w:keepNext w:val="0"/>
        <w:keepLines w:val="0"/>
        <w:pageBreakBefore w:val="0"/>
        <w:widowControl w:val="0"/>
        <w:kinsoku/>
        <w:wordWrap w:val="0"/>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kern w:val="2"/>
          <w:sz w:val="21"/>
          <w:szCs w:val="21"/>
          <w:highlight w:val="none"/>
          <w:lang w:val="en-GB" w:eastAsia="zh-CN" w:bidi="ar-SA"/>
        </w:rPr>
      </w:pPr>
      <w:r>
        <w:rPr>
          <w:rFonts w:hint="eastAsia" w:ascii="宋体" w:hAnsi="宋体" w:eastAsia="宋体" w:cs="宋体"/>
          <w:color w:val="auto"/>
          <w:kern w:val="2"/>
          <w:sz w:val="21"/>
          <w:szCs w:val="21"/>
          <w:highlight w:val="none"/>
          <w:lang w:val="en-GB" w:eastAsia="zh-CN" w:bidi="ar-SA"/>
        </w:rPr>
        <w:t>（</w:t>
      </w: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kern w:val="2"/>
          <w:sz w:val="21"/>
          <w:szCs w:val="21"/>
          <w:highlight w:val="none"/>
          <w:lang w:val="en-GB" w:eastAsia="zh-CN" w:bidi="ar-SA"/>
        </w:rPr>
        <w:t>）投标截止时间后，供应商不得撤回、修改</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66508666">
      <w:pPr>
        <w:pStyle w:val="57"/>
        <w:keepNext w:val="0"/>
        <w:keepLines w:val="0"/>
        <w:pageBreakBefore w:val="0"/>
        <w:widowControl w:val="0"/>
        <w:kinsoku/>
        <w:wordWrap w:val="0"/>
        <w:overflowPunct/>
        <w:topLinePunct w:val="0"/>
        <w:autoSpaceDE/>
        <w:autoSpaceDN/>
        <w:bidi w:val="0"/>
        <w:adjustRightInd/>
        <w:snapToGrid/>
        <w:spacing w:before="0" w:line="360" w:lineRule="auto"/>
        <w:ind w:left="0" w:leftChars="0" w:right="0" w:firstLine="420" w:firstLineChars="200"/>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（3）</w:t>
      </w:r>
      <w:r>
        <w:rPr>
          <w:rFonts w:hint="eastAsia" w:ascii="宋体" w:hAnsi="宋体" w:eastAsia="宋体" w:cs="宋体"/>
          <w:color w:val="auto"/>
          <w:kern w:val="2"/>
          <w:sz w:val="21"/>
          <w:szCs w:val="21"/>
          <w:highlight w:val="none"/>
          <w:lang w:val="en-GB" w:eastAsia="zh-CN" w:bidi="ar-SA"/>
        </w:rPr>
        <w:t>在开标后规定的投标有效期内，</w:t>
      </w:r>
      <w:r>
        <w:rPr>
          <w:rFonts w:hint="eastAsia" w:ascii="宋体" w:hAnsi="宋体" w:eastAsia="宋体" w:cs="宋体"/>
          <w:color w:val="auto"/>
          <w:kern w:val="2"/>
          <w:sz w:val="21"/>
          <w:szCs w:val="21"/>
          <w:highlight w:val="none"/>
          <w:lang w:val="en-US" w:eastAsia="zh-CN" w:bidi="ar-SA"/>
        </w:rPr>
        <w:t>供应商</w:t>
      </w:r>
      <w:r>
        <w:rPr>
          <w:rFonts w:hint="eastAsia" w:ascii="宋体" w:hAnsi="宋体" w:eastAsia="宋体" w:cs="宋体"/>
          <w:color w:val="auto"/>
          <w:kern w:val="2"/>
          <w:sz w:val="21"/>
          <w:szCs w:val="21"/>
          <w:highlight w:val="none"/>
          <w:lang w:val="en-GB" w:eastAsia="zh-CN" w:bidi="ar-SA"/>
        </w:rPr>
        <w:t>不能撤销</w:t>
      </w:r>
      <w:r>
        <w:rPr>
          <w:rFonts w:hint="eastAsia" w:ascii="宋体" w:hAnsi="宋体" w:eastAsia="宋体" w:cs="宋体"/>
          <w:color w:val="auto"/>
          <w:kern w:val="2"/>
          <w:sz w:val="21"/>
          <w:szCs w:val="21"/>
          <w:highlight w:val="none"/>
          <w:lang w:val="en-US" w:eastAsia="zh-CN" w:bidi="ar-SA"/>
        </w:rPr>
        <w:t>磋商响应</w:t>
      </w:r>
      <w:r>
        <w:rPr>
          <w:rFonts w:hint="eastAsia" w:ascii="宋体" w:hAnsi="宋体" w:eastAsia="宋体" w:cs="宋体"/>
          <w:color w:val="auto"/>
          <w:kern w:val="2"/>
          <w:sz w:val="21"/>
          <w:szCs w:val="21"/>
          <w:highlight w:val="none"/>
          <w:lang w:val="en-GB" w:eastAsia="zh-CN" w:bidi="ar-SA"/>
        </w:rPr>
        <w:t>文件。</w:t>
      </w:r>
    </w:p>
    <w:p w14:paraId="379C187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四</w:t>
      </w:r>
      <w:r>
        <w:rPr>
          <w:rFonts w:hint="eastAsia" w:ascii="宋体" w:hAnsi="宋体" w:eastAsia="宋体" w:cs="宋体"/>
          <w:b/>
          <w:bCs/>
          <w:color w:val="auto"/>
          <w:sz w:val="21"/>
          <w:szCs w:val="21"/>
          <w:highlight w:val="none"/>
        </w:rPr>
        <w:t>）磋商响应文件的有效期</w:t>
      </w:r>
    </w:p>
    <w:p w14:paraId="7DBD460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1、自磋商响应截止日起90天磋商响应文件应保持有效。有效期不足的磋商响应文件将被拒绝。</w:t>
      </w:r>
    </w:p>
    <w:p w14:paraId="2FD7747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Cs w:val="21"/>
          <w:highlight w:val="none"/>
        </w:rPr>
        <w:t>在符合相关法律法规规定的情况下，</w:t>
      </w:r>
      <w:r>
        <w:rPr>
          <w:rFonts w:hint="eastAsia" w:ascii="宋体" w:hAnsi="宋体" w:eastAsia="宋体" w:cs="宋体"/>
          <w:color w:val="auto"/>
          <w:sz w:val="21"/>
          <w:szCs w:val="21"/>
          <w:highlight w:val="none"/>
        </w:rPr>
        <w:t>采购人可与磋商供应商协商延长磋商响应文件的有效期，这种要求和答复均以书面形式进行。</w:t>
      </w:r>
    </w:p>
    <w:p w14:paraId="341E2EA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3、磋商供应商可拒绝接受延期要求。同意延长有效期的磋商供应商不能修改磋商响应文件。</w:t>
      </w:r>
    </w:p>
    <w:p w14:paraId="510D81B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4</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成交供应商的磋商响应文件自磋商之日起至合同履行完毕均应保持有效。</w:t>
      </w:r>
    </w:p>
    <w:p w14:paraId="22079041">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kern w:val="0"/>
          <w:sz w:val="21"/>
          <w:szCs w:val="21"/>
          <w:highlight w:val="none"/>
          <w:lang w:val="en-US" w:eastAsia="zh-CN"/>
        </w:rPr>
      </w:pPr>
      <w:r>
        <w:rPr>
          <w:rFonts w:hint="eastAsia" w:ascii="宋体" w:hAnsi="宋体" w:eastAsia="宋体" w:cs="宋体"/>
          <w:b/>
          <w:bCs/>
          <w:color w:val="auto"/>
          <w:sz w:val="21"/>
          <w:szCs w:val="21"/>
          <w:highlight w:val="none"/>
          <w:lang w:val="en-US" w:eastAsia="zh-CN"/>
        </w:rPr>
        <w:t>三</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磋商</w:t>
      </w:r>
    </w:p>
    <w:p w14:paraId="18EF33A2">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bCs/>
          <w:color w:val="auto"/>
          <w:kern w:val="2"/>
          <w:sz w:val="21"/>
          <w:szCs w:val="21"/>
          <w:highlight w:val="none"/>
          <w:lang w:val="en-US" w:eastAsia="zh-CN" w:bidi="ar-SA"/>
        </w:rPr>
      </w:pPr>
      <w:r>
        <w:rPr>
          <w:rFonts w:hint="eastAsia" w:ascii="宋体" w:hAnsi="宋体" w:eastAsia="宋体" w:cs="宋体"/>
          <w:b/>
          <w:color w:val="auto"/>
          <w:sz w:val="21"/>
          <w:szCs w:val="21"/>
          <w:highlight w:val="none"/>
        </w:rPr>
        <w:t>（一）</w:t>
      </w:r>
      <w:r>
        <w:rPr>
          <w:rFonts w:hint="eastAsia" w:ascii="宋体" w:hAnsi="宋体" w:eastAsia="宋体" w:cs="宋体"/>
          <w:b/>
          <w:color w:val="auto"/>
          <w:sz w:val="21"/>
          <w:szCs w:val="21"/>
          <w:highlight w:val="none"/>
          <w:lang w:val="en-US" w:eastAsia="zh-CN"/>
        </w:rPr>
        <w:t>磋商</w:t>
      </w:r>
      <w:r>
        <w:rPr>
          <w:rFonts w:hint="eastAsia" w:ascii="宋体" w:hAnsi="宋体" w:eastAsia="宋体" w:cs="宋体"/>
          <w:b/>
          <w:bCs/>
          <w:color w:val="auto"/>
          <w:kern w:val="2"/>
          <w:sz w:val="21"/>
          <w:szCs w:val="21"/>
          <w:highlight w:val="none"/>
          <w:lang w:val="en-US" w:eastAsia="zh-CN" w:bidi="ar-SA"/>
        </w:rPr>
        <w:t>事项：</w:t>
      </w:r>
    </w:p>
    <w:p w14:paraId="2D0243FF">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采购组织机构按照采购文件规定的时间通过电子交易平台组织磋商、开启响应文件，所有供应商均应当准时在线参加。</w:t>
      </w:r>
    </w:p>
    <w:p w14:paraId="28D532C8">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磋商时，电子交易平台自动提取所有响应文件，提示采购组织机构和供应商按采购文件规定的方式和时间在线解密。</w:t>
      </w:r>
      <w:r>
        <w:rPr>
          <w:rFonts w:hint="eastAsia" w:ascii="宋体" w:hAnsi="宋体" w:cs="宋体"/>
          <w:b/>
          <w:bCs/>
          <w:color w:val="auto"/>
          <w:szCs w:val="21"/>
          <w:highlight w:val="none"/>
        </w:rPr>
        <w:t>给予供应商在线解密的时间为截止</w:t>
      </w:r>
      <w:r>
        <w:rPr>
          <w:rFonts w:hint="eastAsia" w:ascii="宋体" w:hAnsi="宋体" w:cs="宋体"/>
          <w:b/>
          <w:bCs/>
          <w:color w:val="auto"/>
          <w:szCs w:val="21"/>
          <w:highlight w:val="none"/>
          <w:lang w:val="en-US" w:eastAsia="zh-CN"/>
        </w:rPr>
        <w:t>提交</w:t>
      </w:r>
      <w:r>
        <w:rPr>
          <w:rFonts w:hint="eastAsia" w:ascii="宋体" w:hAnsi="宋体" w:cs="宋体"/>
          <w:b/>
          <w:bCs/>
          <w:color w:val="auto"/>
          <w:szCs w:val="21"/>
          <w:highlight w:val="none"/>
        </w:rPr>
        <w:t>磋商</w:t>
      </w:r>
      <w:r>
        <w:rPr>
          <w:rFonts w:hint="eastAsia" w:ascii="宋体" w:hAnsi="宋体" w:cs="宋体"/>
          <w:b/>
          <w:bCs/>
          <w:color w:val="auto"/>
          <w:szCs w:val="21"/>
          <w:highlight w:val="none"/>
          <w:lang w:val="en-US" w:eastAsia="zh-CN"/>
        </w:rPr>
        <w:t>响应文件</w:t>
      </w:r>
      <w:r>
        <w:rPr>
          <w:rFonts w:hint="eastAsia" w:ascii="宋体" w:hAnsi="宋体" w:cs="宋体"/>
          <w:b/>
          <w:bCs/>
          <w:color w:val="auto"/>
          <w:szCs w:val="21"/>
          <w:highlight w:val="none"/>
        </w:rPr>
        <w:t>后30分钟。</w:t>
      </w:r>
    </w:p>
    <w:p w14:paraId="5A318643">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val="0"/>
          <w:bCs w:val="0"/>
          <w:color w:val="auto"/>
          <w:kern w:val="2"/>
          <w:sz w:val="21"/>
          <w:szCs w:val="21"/>
          <w:highlight w:val="none"/>
          <w:lang w:val="en-US" w:eastAsia="zh-CN" w:bidi="ar-SA"/>
        </w:rPr>
        <w:t>响应文件未按时解密，供应商提供了备份磋商响应文件的，以备份磋商响应文件作为依据，否则视为响应文件撤回。响应文件已按时解密的，备份磋商响应文件不再拆封。</w:t>
      </w:r>
    </w:p>
    <w:p w14:paraId="0B13FAB2">
      <w:pPr>
        <w:keepNext w:val="0"/>
        <w:keepLines w:val="0"/>
        <w:pageBreakBefore w:val="0"/>
        <w:widowControl w:val="0"/>
        <w:numPr>
          <w:ilvl w:val="0"/>
          <w:numId w:val="3"/>
        </w:numPr>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磋商委员会或磋商小组</w:t>
      </w:r>
    </w:p>
    <w:p w14:paraId="2C01D5E1">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磋商委员会或磋商小组（以下简称磋商委员会）成员由政府采购管理部门负责组织，对具备实质性响应的</w:t>
      </w:r>
      <w:r>
        <w:rPr>
          <w:rFonts w:hint="eastAsia" w:ascii="宋体" w:hAnsi="宋体" w:eastAsia="宋体" w:cs="宋体"/>
          <w:b w:val="0"/>
          <w:bCs/>
          <w:color w:val="auto"/>
          <w:sz w:val="21"/>
          <w:szCs w:val="21"/>
          <w:highlight w:val="none"/>
          <w:lang w:val="en-US" w:eastAsia="zh-CN"/>
        </w:rPr>
        <w:t>磋商响应</w:t>
      </w:r>
      <w:r>
        <w:rPr>
          <w:rFonts w:hint="eastAsia" w:ascii="宋体" w:hAnsi="宋体" w:eastAsia="宋体" w:cs="宋体"/>
          <w:b w:val="0"/>
          <w:bCs/>
          <w:color w:val="auto"/>
          <w:sz w:val="21"/>
          <w:szCs w:val="21"/>
          <w:highlight w:val="none"/>
        </w:rPr>
        <w:t>文件进行评估和比较。</w:t>
      </w:r>
      <w:r>
        <w:rPr>
          <w:rFonts w:hint="eastAsia" w:ascii="宋体" w:hAnsi="宋体" w:eastAsia="宋体" w:cs="宋体"/>
          <w:b w:val="0"/>
          <w:bCs/>
          <w:color w:val="auto"/>
          <w:sz w:val="21"/>
          <w:szCs w:val="21"/>
          <w:highlight w:val="none"/>
          <w:lang w:eastAsia="zh-CN"/>
        </w:rPr>
        <w:t>磋商委员会</w:t>
      </w:r>
      <w:r>
        <w:rPr>
          <w:rFonts w:hint="eastAsia" w:ascii="宋体" w:hAnsi="宋体" w:eastAsia="宋体" w:cs="宋体"/>
          <w:b w:val="0"/>
          <w:bCs/>
          <w:color w:val="auto"/>
          <w:sz w:val="21"/>
          <w:szCs w:val="21"/>
          <w:highlight w:val="none"/>
        </w:rPr>
        <w:t xml:space="preserve">由招标人的代表、专家和其他有关方面的代表组成。 </w:t>
      </w:r>
    </w:p>
    <w:p w14:paraId="23FB8E9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color w:val="auto"/>
          <w:sz w:val="21"/>
          <w:szCs w:val="21"/>
          <w:highlight w:val="none"/>
        </w:rPr>
      </w:pPr>
      <w:r>
        <w:rPr>
          <w:rFonts w:hint="eastAsia" w:ascii="宋体" w:hAnsi="宋体" w:eastAsia="宋体" w:cs="宋体"/>
          <w:b w:val="0"/>
          <w:bCs/>
          <w:color w:val="auto"/>
          <w:sz w:val="21"/>
          <w:szCs w:val="21"/>
          <w:highlight w:val="none"/>
        </w:rPr>
        <w:t>磋商委员会由采购人代表和评审专家共3人及以上单数组成，其中评审专家人数不得少于磋商小组成员总数的2/3。采购人代表不得以评审专家身份参加本部门或本单位采购项目的评审。采购代理机构人员不得参加本机构代理的采购项目的评审。</w:t>
      </w:r>
    </w:p>
    <w:p w14:paraId="2E50FCD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lang w:val="en-US" w:eastAsia="zh-CN"/>
        </w:rPr>
        <w:t>三</w:t>
      </w:r>
      <w:r>
        <w:rPr>
          <w:rFonts w:hint="eastAsia" w:ascii="宋体" w:hAnsi="宋体" w:eastAsia="宋体" w:cs="宋体"/>
          <w:b/>
          <w:color w:val="auto"/>
          <w:sz w:val="21"/>
          <w:szCs w:val="21"/>
          <w:highlight w:val="none"/>
          <w:lang w:eastAsia="zh-CN"/>
        </w:rPr>
        <w:t>）</w:t>
      </w:r>
      <w:r>
        <w:rPr>
          <w:rFonts w:hint="eastAsia" w:ascii="宋体" w:hAnsi="宋体" w:eastAsia="宋体" w:cs="宋体"/>
          <w:b/>
          <w:color w:val="auto"/>
          <w:sz w:val="21"/>
          <w:szCs w:val="21"/>
          <w:highlight w:val="none"/>
        </w:rPr>
        <w:t>磋商程序</w:t>
      </w:r>
    </w:p>
    <w:p w14:paraId="3F33E7F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1、采购组织机构将在“磋商公告”规定的时间和地点进行磋商，磋商采购会议由采购组织机构工作人员主持，所有供应商均应准时</w:t>
      </w:r>
      <w:r>
        <w:rPr>
          <w:rFonts w:hint="eastAsia" w:ascii="宋体" w:hAnsi="宋体" w:eastAsia="宋体" w:cs="宋体"/>
          <w:color w:val="auto"/>
          <w:sz w:val="21"/>
          <w:szCs w:val="21"/>
          <w:highlight w:val="none"/>
          <w:lang w:val="en-US" w:eastAsia="zh-CN"/>
        </w:rPr>
        <w:t>在线</w:t>
      </w:r>
      <w:r>
        <w:rPr>
          <w:rFonts w:hint="eastAsia" w:ascii="宋体" w:hAnsi="宋体" w:eastAsia="宋体" w:cs="宋体"/>
          <w:color w:val="auto"/>
          <w:sz w:val="21"/>
          <w:szCs w:val="21"/>
          <w:highlight w:val="none"/>
        </w:rPr>
        <w:t>参加磋商采购会议。</w:t>
      </w:r>
    </w:p>
    <w:p w14:paraId="1E32F2F2">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 主持人宣布磋商</w:t>
      </w:r>
      <w:r>
        <w:rPr>
          <w:rFonts w:hint="eastAsia" w:ascii="宋体" w:hAnsi="宋体" w:eastAsia="宋体" w:cs="宋体"/>
          <w:color w:val="auto"/>
          <w:sz w:val="21"/>
          <w:szCs w:val="21"/>
          <w:highlight w:val="none"/>
          <w:lang w:eastAsia="zh-CN"/>
        </w:rPr>
        <w:t>采购会议开始</w:t>
      </w:r>
      <w:r>
        <w:rPr>
          <w:rFonts w:hint="eastAsia" w:ascii="宋体" w:hAnsi="宋体" w:eastAsia="宋体" w:cs="宋体"/>
          <w:color w:val="auto"/>
          <w:sz w:val="21"/>
          <w:szCs w:val="21"/>
          <w:highlight w:val="none"/>
        </w:rPr>
        <w:t>，介绍磋商现场的人员情况，宣读提交磋商响应文件的供应商名单、磋商纪律、应当回避的情形等注意事项。</w:t>
      </w:r>
    </w:p>
    <w:p w14:paraId="565E6152">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供应商</w:t>
      </w:r>
      <w:r>
        <w:rPr>
          <w:rFonts w:hint="eastAsia" w:ascii="宋体" w:hAnsi="宋体" w:eastAsia="宋体" w:cs="宋体"/>
          <w:color w:val="auto"/>
          <w:sz w:val="21"/>
          <w:szCs w:val="21"/>
          <w:highlight w:val="none"/>
          <w:lang w:eastAsia="zh-CN"/>
        </w:rPr>
        <w:t>登录政采云平台，用“项目采购-开标评标”功能对电子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文件准备在线解密，在线解密电子</w:t>
      </w:r>
      <w:r>
        <w:rPr>
          <w:rFonts w:hint="eastAsia" w:ascii="宋体" w:hAnsi="宋体" w:eastAsia="宋体" w:cs="宋体"/>
          <w:color w:val="auto"/>
          <w:sz w:val="21"/>
          <w:szCs w:val="21"/>
          <w:highlight w:val="none"/>
          <w:lang w:val="en-US" w:eastAsia="zh-CN"/>
        </w:rPr>
        <w:t>响应</w:t>
      </w:r>
      <w:r>
        <w:rPr>
          <w:rFonts w:hint="eastAsia" w:ascii="宋体" w:hAnsi="宋体" w:eastAsia="宋体" w:cs="宋体"/>
          <w:color w:val="auto"/>
          <w:sz w:val="21"/>
          <w:szCs w:val="21"/>
          <w:highlight w:val="none"/>
          <w:lang w:eastAsia="zh-CN"/>
        </w:rPr>
        <w:t>文件时间为开启解密时间起30分钟内。</w:t>
      </w:r>
    </w:p>
    <w:p w14:paraId="3A33EAE0">
      <w:pPr>
        <w:keepNext w:val="0"/>
        <w:keepLines w:val="0"/>
        <w:pageBreakBefore w:val="0"/>
        <w:widowControl w:val="0"/>
        <w:tabs>
          <w:tab w:val="left" w:pos="1418"/>
        </w:tabs>
        <w:kinsoku/>
        <w:wordWrap w:val="0"/>
        <w:overflowPunct/>
        <w:topLinePunct w:val="0"/>
        <w:autoSpaceDE/>
        <w:autoSpaceDN/>
        <w:bidi w:val="0"/>
        <w:adjustRightInd/>
        <w:snapToGrid/>
        <w:spacing w:line="360" w:lineRule="auto"/>
        <w:ind w:left="0" w:leftChars="0" w:right="0" w:firstLine="420" w:firstLineChars="200"/>
        <w:rPr>
          <w:rFonts w:hint="eastAsia" w:ascii="宋体" w:hAnsi="宋体" w:eastAsia="宋体" w:cs="宋体"/>
          <w:color w:val="auto"/>
          <w:sz w:val="21"/>
          <w:szCs w:val="21"/>
          <w:highlight w:val="none"/>
          <w:lang w:eastAsia="zh-CN"/>
        </w:rPr>
      </w:pPr>
      <w:r>
        <w:rPr>
          <w:rFonts w:hint="eastAsia" w:ascii="宋体" w:hAnsi="宋体" w:eastAsia="宋体" w:cs="宋体"/>
          <w:b w:val="0"/>
          <w:bCs w:val="0"/>
          <w:color w:val="auto"/>
          <w:kern w:val="2"/>
          <w:sz w:val="21"/>
          <w:szCs w:val="21"/>
          <w:highlight w:val="none"/>
          <w:lang w:val="en-US" w:eastAsia="zh-CN" w:bidi="ar-SA"/>
        </w:rPr>
        <w:t>电子磋商响应文件未按时解密，供应商提供了备份磋商响应文件的，以备份磋商响应文件作为依据，否则视为磋商响应文件撤回。电子磋商响应文件已按时解密的，备份磋商响应文件不再拆封。</w:t>
      </w:r>
    </w:p>
    <w:p w14:paraId="491F92A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、采购组织机构点击【开启标书信息】，进入资格审查及符合性审查环节。</w:t>
      </w:r>
    </w:p>
    <w:p w14:paraId="2941104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、磋商小组必须按照客观、公正、审慎的原则，根据磋商文件规定的评审程序、评审方法和评审标准进行独立评审。</w:t>
      </w: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color w:val="auto"/>
          <w:sz w:val="21"/>
          <w:szCs w:val="21"/>
          <w:highlight w:val="none"/>
        </w:rPr>
        <w:t>未实质性响应磋商文件的响应文件按无效响应处理，磋商小组应当告知提交响应文件的供应商。</w:t>
      </w:r>
    </w:p>
    <w:p w14:paraId="7AAACD3A">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对响应文件的初审</w:t>
      </w:r>
    </w:p>
    <w:p w14:paraId="5861653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A.</w:t>
      </w:r>
      <w:r>
        <w:rPr>
          <w:rFonts w:hint="eastAsia" w:ascii="宋体" w:hAnsi="宋体" w:eastAsia="宋体" w:cs="宋体"/>
          <w:color w:val="auto"/>
          <w:szCs w:val="21"/>
          <w:highlight w:val="none"/>
        </w:rPr>
        <w:t>资格性检查：依据法律法规和磋商文件的规定，对响应文件中的资格条件进行审查，以确定磋商供应商是否具备投标资格。</w:t>
      </w:r>
    </w:p>
    <w:p w14:paraId="2648F07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highlight w:val="none"/>
          <w:lang w:val="en-US" w:eastAsia="zh-CN"/>
        </w:rPr>
      </w:pP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B.</w:t>
      </w:r>
      <w:r>
        <w:rPr>
          <w:rFonts w:hint="eastAsia" w:ascii="宋体" w:hAnsi="宋体" w:eastAsia="宋体" w:cs="宋体"/>
          <w:color w:val="auto"/>
          <w:szCs w:val="21"/>
          <w:highlight w:val="none"/>
        </w:rPr>
        <w:t>符合性检查：详细评标之前，磋商小组依据磋商文件的规定，对响应文件是否满足</w:t>
      </w:r>
      <w:r>
        <w:rPr>
          <w:rFonts w:hint="eastAsia" w:ascii="宋体" w:hAnsi="宋体" w:cs="宋体"/>
          <w:color w:val="auto"/>
          <w:szCs w:val="21"/>
          <w:highlight w:val="none"/>
          <w:lang w:eastAsia="zh-CN"/>
        </w:rPr>
        <w:t>采购文件</w:t>
      </w:r>
      <w:r>
        <w:rPr>
          <w:rFonts w:hint="eastAsia" w:ascii="宋体" w:hAnsi="宋体" w:eastAsia="宋体" w:cs="宋体"/>
          <w:color w:val="auto"/>
          <w:szCs w:val="21"/>
          <w:highlight w:val="none"/>
        </w:rPr>
        <w:t>的实质性要求进行审查，以确定响应文件是否有效。</w:t>
      </w:r>
    </w:p>
    <w:p w14:paraId="1986BA9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Cs w:val="21"/>
          <w:highlight w:val="none"/>
          <w:lang w:eastAsia="zh-CN"/>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w:t>
      </w:r>
      <w:r>
        <w:rPr>
          <w:rFonts w:hint="eastAsia" w:ascii="宋体" w:hAnsi="宋体" w:eastAsia="宋体" w:cs="宋体"/>
          <w:color w:val="auto"/>
          <w:szCs w:val="21"/>
          <w:highlight w:val="none"/>
        </w:rPr>
        <w:t>初审合格的供应商进入下一步的磋商活动</w:t>
      </w:r>
      <w:r>
        <w:rPr>
          <w:rFonts w:hint="eastAsia" w:ascii="宋体" w:hAnsi="宋体" w:eastAsia="宋体" w:cs="宋体"/>
          <w:color w:val="auto"/>
          <w:szCs w:val="21"/>
          <w:highlight w:val="none"/>
          <w:lang w:eastAsia="zh-CN"/>
        </w:rPr>
        <w:t>。</w:t>
      </w:r>
    </w:p>
    <w:p w14:paraId="2819E8E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lang w:val="en-US" w:eastAsia="zh-CN"/>
        </w:rPr>
        <w:t>7、</w:t>
      </w:r>
      <w:r>
        <w:rPr>
          <w:rFonts w:hint="eastAsia" w:ascii="宋体" w:hAnsi="宋体" w:eastAsia="宋体" w:cs="宋体"/>
          <w:color w:val="auto"/>
          <w:sz w:val="21"/>
          <w:szCs w:val="21"/>
          <w:highlight w:val="none"/>
        </w:rPr>
        <w:t>磋商小组所有成员集中与单一供应商分别进行磋商，并给予所有参加磋商的供应商平等的磋商机会。</w:t>
      </w:r>
    </w:p>
    <w:p w14:paraId="1E61C47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8</w:t>
      </w:r>
      <w:r>
        <w:rPr>
          <w:rFonts w:hint="eastAsia" w:ascii="宋体" w:hAnsi="宋体" w:eastAsia="宋体" w:cs="宋体"/>
          <w:color w:val="auto"/>
          <w:sz w:val="21"/>
          <w:szCs w:val="21"/>
          <w:highlight w:val="none"/>
        </w:rPr>
        <w:t>、在磋商过程中，磋商小组可以根据磋商文件和磋商情况实质性变动采购需求中的技术、服务要求以及合同草案条款，但不得变动磋商文件中的其他内容。实质性变动的内容，须经采购人代表确认。对磋商文件作出的实质性变动是磋商文件的有效组成部分，磋商小组应当及时以书面形式同时通知所有参加磋商的供应商。供应商应当按照磋商文件的变动情况和磋商小组的要求重新提交响应文件，并由其法定代表人或授权代表签字或者加盖公章。</w:t>
      </w:r>
    </w:p>
    <w:p w14:paraId="70FDAD4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、磋商文件能够详细列明采购标的的技术、服务要求的，磋商结束后，磋商小组将要求所有实质性响应的供应商在规定时间内提交最后报价</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最后报价是供应商响应文件的有效组成部分。</w:t>
      </w:r>
    </w:p>
    <w:p w14:paraId="524D076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、经磋商确定最终采购需求和提交最后报价的供应商后，由磋商小组采用综合评分法对提交最后报价的供应商的响应文件和最后报价进行综合评分。</w:t>
      </w:r>
    </w:p>
    <w:p w14:paraId="4E25B31C">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11</w:t>
      </w:r>
      <w:r>
        <w:rPr>
          <w:rFonts w:hint="eastAsia" w:ascii="宋体" w:hAnsi="宋体" w:eastAsia="宋体" w:cs="宋体"/>
          <w:color w:val="auto"/>
          <w:sz w:val="21"/>
          <w:szCs w:val="21"/>
          <w:highlight w:val="none"/>
        </w:rPr>
        <w:t>、磋商小组根据综合评分情况，按照评审得分由高到低顺序确定成交</w:t>
      </w:r>
      <w:r>
        <w:rPr>
          <w:rFonts w:hint="eastAsia" w:ascii="宋体" w:hAnsi="宋体" w:eastAsia="宋体" w:cs="宋体"/>
          <w:color w:val="auto"/>
          <w:sz w:val="21"/>
          <w:szCs w:val="21"/>
          <w:highlight w:val="none"/>
          <w:lang w:val="en-US" w:eastAsia="zh-CN"/>
        </w:rPr>
        <w:t>候选</w:t>
      </w:r>
      <w:r>
        <w:rPr>
          <w:rFonts w:hint="eastAsia" w:ascii="宋体" w:hAnsi="宋体" w:eastAsia="宋体" w:cs="宋体"/>
          <w:color w:val="auto"/>
          <w:sz w:val="21"/>
          <w:szCs w:val="21"/>
          <w:highlight w:val="none"/>
        </w:rPr>
        <w:t>供应商，编写评审报告。</w:t>
      </w:r>
    </w:p>
    <w:p w14:paraId="125AD788">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12</w:t>
      </w:r>
      <w:r>
        <w:rPr>
          <w:rFonts w:hint="eastAsia" w:ascii="宋体" w:hAnsi="宋体" w:eastAsia="宋体" w:cs="宋体"/>
          <w:color w:val="auto"/>
          <w:sz w:val="21"/>
          <w:szCs w:val="21"/>
          <w:highlight w:val="none"/>
        </w:rPr>
        <w:t>、采购组织机构对磋商小组</w:t>
      </w:r>
      <w:r>
        <w:rPr>
          <w:rFonts w:hint="eastAsia" w:ascii="宋体" w:hAnsi="宋体" w:eastAsia="宋体" w:cs="宋体"/>
          <w:color w:val="auto"/>
          <w:sz w:val="21"/>
          <w:szCs w:val="21"/>
          <w:highlight w:val="none"/>
          <w:lang w:eastAsia="zh-CN"/>
        </w:rPr>
        <w:t>专家成员</w:t>
      </w:r>
      <w:r>
        <w:rPr>
          <w:rFonts w:hint="eastAsia" w:ascii="宋体" w:hAnsi="宋体" w:eastAsia="宋体" w:cs="宋体"/>
          <w:color w:val="auto"/>
          <w:sz w:val="21"/>
          <w:szCs w:val="21"/>
          <w:highlight w:val="none"/>
        </w:rPr>
        <w:t>进行评价；</w:t>
      </w:r>
    </w:p>
    <w:p w14:paraId="09FA9BFB">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13、</w:t>
      </w:r>
      <w:r>
        <w:rPr>
          <w:rFonts w:hint="eastAsia" w:ascii="宋体" w:hAnsi="宋体" w:eastAsia="宋体" w:cs="宋体"/>
          <w:color w:val="auto"/>
          <w:sz w:val="21"/>
          <w:szCs w:val="21"/>
          <w:highlight w:val="none"/>
        </w:rPr>
        <w:t>主持人宣布磋商结果（含技术得分、最</w:t>
      </w:r>
      <w:r>
        <w:rPr>
          <w:rFonts w:hint="eastAsia" w:ascii="宋体" w:hAnsi="宋体" w:eastAsia="宋体" w:cs="宋体"/>
          <w:color w:val="auto"/>
          <w:sz w:val="21"/>
          <w:szCs w:val="21"/>
          <w:highlight w:val="none"/>
          <w:lang w:eastAsia="zh-CN"/>
        </w:rPr>
        <w:t>后</w:t>
      </w:r>
      <w:r>
        <w:rPr>
          <w:rFonts w:hint="eastAsia" w:ascii="宋体" w:hAnsi="宋体" w:eastAsia="宋体" w:cs="宋体"/>
          <w:color w:val="auto"/>
          <w:sz w:val="21"/>
          <w:szCs w:val="21"/>
          <w:highlight w:val="none"/>
        </w:rPr>
        <w:t>报价、报价得分及总得分），磋商采购会议结束。</w:t>
      </w:r>
      <w:r>
        <w:rPr>
          <w:rFonts w:hint="eastAsia" w:ascii="宋体" w:hAnsi="宋体" w:eastAsia="宋体" w:cs="宋体"/>
          <w:color w:val="auto"/>
          <w:szCs w:val="21"/>
          <w:highlight w:val="none"/>
        </w:rPr>
        <w:t xml:space="preserve">   </w:t>
      </w:r>
      <w:r>
        <w:rPr>
          <w:rFonts w:hint="eastAsia" w:ascii="宋体" w:hAnsi="宋体" w:eastAsia="宋体" w:cs="宋体"/>
          <w:color w:val="auto"/>
          <w:szCs w:val="21"/>
          <w:highlight w:val="none"/>
          <w:lang w:val="en-US" w:eastAsia="zh-CN"/>
        </w:rPr>
        <w:t xml:space="preserve"> </w:t>
      </w:r>
    </w:p>
    <w:p w14:paraId="4115627E">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）澄清问题的形式</w:t>
      </w:r>
    </w:p>
    <w:p w14:paraId="325C45B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rPr>
        <w:t>磋商供应商的澄清、说明或者补正应当采</w:t>
      </w:r>
      <w:r>
        <w:rPr>
          <w:rFonts w:hint="eastAsia" w:ascii="宋体" w:hAnsi="宋体" w:eastAsia="宋体" w:cs="宋体"/>
          <w:b w:val="0"/>
          <w:bCs w:val="0"/>
          <w:color w:val="auto"/>
          <w:sz w:val="21"/>
          <w:szCs w:val="21"/>
          <w:highlight w:val="none"/>
        </w:rPr>
        <w:t>用书面形式，并加盖公章，或者由</w:t>
      </w:r>
      <w:r>
        <w:rPr>
          <w:rFonts w:hint="eastAsia" w:ascii="宋体" w:hAnsi="宋体" w:eastAsia="宋体" w:cs="宋体"/>
          <w:b w:val="0"/>
          <w:bCs w:val="0"/>
          <w:color w:val="auto"/>
          <w:sz w:val="21"/>
          <w:szCs w:val="21"/>
          <w:highlight w:val="none"/>
          <w:lang w:eastAsia="zh-CN"/>
        </w:rPr>
        <w:t>法定代表人或授权委托代理人签字</w:t>
      </w:r>
      <w:r>
        <w:rPr>
          <w:rFonts w:hint="eastAsia" w:ascii="宋体" w:hAnsi="宋体" w:eastAsia="宋体" w:cs="宋体"/>
          <w:b w:val="0"/>
          <w:bCs w:val="0"/>
          <w:color w:val="auto"/>
          <w:sz w:val="21"/>
          <w:szCs w:val="21"/>
          <w:highlight w:val="none"/>
        </w:rPr>
        <w:t>，并不得超出磋商响应文件的范围或者改变磋商响应文件的实质性内容。</w:t>
      </w:r>
    </w:p>
    <w:p w14:paraId="5B7355D2">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五</w:t>
      </w:r>
      <w:r>
        <w:rPr>
          <w:rFonts w:hint="eastAsia" w:ascii="宋体" w:hAnsi="宋体" w:eastAsia="宋体" w:cs="宋体"/>
          <w:b/>
          <w:color w:val="auto"/>
          <w:sz w:val="21"/>
          <w:szCs w:val="21"/>
          <w:highlight w:val="none"/>
        </w:rPr>
        <w:t>）错误修正</w:t>
      </w:r>
    </w:p>
    <w:p w14:paraId="452CA63B">
      <w:pPr>
        <w:pStyle w:val="19"/>
        <w:keepNext w:val="0"/>
        <w:keepLines w:val="0"/>
        <w:pageBreakBefore w:val="0"/>
        <w:widowControl w:val="0"/>
        <w:shd w:val="clea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磋商响应文件报价出现前后不一致的，除</w:t>
      </w:r>
      <w:r>
        <w:rPr>
          <w:rFonts w:hint="eastAsia" w:cs="宋体"/>
          <w:bCs/>
          <w:color w:val="auto"/>
          <w:sz w:val="21"/>
          <w:szCs w:val="21"/>
          <w:highlight w:val="none"/>
          <w:lang w:eastAsia="zh-CN"/>
        </w:rPr>
        <w:t>采购文件</w:t>
      </w:r>
      <w:r>
        <w:rPr>
          <w:rFonts w:hint="eastAsia" w:ascii="宋体" w:hAnsi="宋体" w:eastAsia="宋体" w:cs="宋体"/>
          <w:color w:val="auto"/>
          <w:sz w:val="21"/>
          <w:szCs w:val="21"/>
          <w:highlight w:val="none"/>
        </w:rPr>
        <w:t>另有规定外，按照下列规定修正：</w:t>
      </w:r>
    </w:p>
    <w:p w14:paraId="70DAD93A">
      <w:pPr>
        <w:pStyle w:val="19"/>
        <w:keepNext w:val="0"/>
        <w:keepLines w:val="0"/>
        <w:pageBreakBefore w:val="0"/>
        <w:widowControl w:val="0"/>
        <w:shd w:val="clea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1、磋商响应文件中</w:t>
      </w:r>
      <w:bookmarkStart w:id="1" w:name="_Hlk61427222"/>
      <w:r>
        <w:rPr>
          <w:rFonts w:hint="eastAsia" w:ascii="宋体" w:hAnsi="宋体" w:eastAsia="宋体" w:cs="宋体"/>
          <w:color w:val="auto"/>
          <w:sz w:val="21"/>
          <w:szCs w:val="21"/>
          <w:highlight w:val="none"/>
        </w:rPr>
        <w:t>开标一览表</w:t>
      </w:r>
      <w:bookmarkEnd w:id="1"/>
      <w:r>
        <w:rPr>
          <w:rFonts w:hint="eastAsia" w:ascii="宋体" w:hAnsi="宋体" w:eastAsia="宋体" w:cs="宋体"/>
          <w:color w:val="auto"/>
          <w:sz w:val="21"/>
          <w:szCs w:val="21"/>
          <w:highlight w:val="none"/>
        </w:rPr>
        <w:t>内容与磋商响应文件中相应内容不一致的，以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一览表为准</w:t>
      </w:r>
      <w:r>
        <w:rPr>
          <w:rFonts w:hint="eastAsia" w:ascii="宋体" w:hAnsi="宋体" w:eastAsia="宋体" w:cs="宋体"/>
          <w:color w:val="auto"/>
          <w:sz w:val="21"/>
          <w:szCs w:val="21"/>
          <w:highlight w:val="none"/>
          <w:lang w:eastAsia="zh-CN"/>
        </w:rPr>
        <w:t>。政采云平台开标一览表中填报的价格与上传的报价响应文件中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一览表的报价不一致的，以上传的报价响应文件中</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lang w:eastAsia="zh-CN"/>
        </w:rPr>
        <w:t>一览表的价格为准，修正平台上的投标报价</w:t>
      </w:r>
      <w:r>
        <w:rPr>
          <w:rFonts w:hint="eastAsia" w:ascii="宋体" w:hAnsi="宋体" w:eastAsia="宋体" w:cs="宋体"/>
          <w:color w:val="auto"/>
          <w:sz w:val="21"/>
          <w:szCs w:val="21"/>
          <w:highlight w:val="none"/>
        </w:rPr>
        <w:t>；</w:t>
      </w:r>
    </w:p>
    <w:p w14:paraId="5754DE8A">
      <w:pPr>
        <w:pStyle w:val="19"/>
        <w:keepNext w:val="0"/>
        <w:keepLines w:val="0"/>
        <w:pageBreakBefore w:val="0"/>
        <w:widowControl w:val="0"/>
        <w:shd w:val="clea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2、大写金额和小写金额不一致的，以大写金额为准；</w:t>
      </w:r>
    </w:p>
    <w:p w14:paraId="0BB28FC9">
      <w:pPr>
        <w:pStyle w:val="19"/>
        <w:keepNext w:val="0"/>
        <w:keepLines w:val="0"/>
        <w:pageBreakBefore w:val="0"/>
        <w:widowControl w:val="0"/>
        <w:shd w:val="clea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3、单价金额小数点或者百分比有明显错位的，以</w:t>
      </w:r>
      <w:r>
        <w:rPr>
          <w:rFonts w:hint="eastAsia" w:ascii="宋体" w:hAnsi="宋体" w:eastAsia="宋体" w:cs="宋体"/>
          <w:color w:val="auto"/>
          <w:sz w:val="21"/>
          <w:szCs w:val="21"/>
          <w:highlight w:val="none"/>
          <w:lang w:val="en-US" w:eastAsia="zh-CN"/>
        </w:rPr>
        <w:t>开标</w:t>
      </w:r>
      <w:r>
        <w:rPr>
          <w:rFonts w:hint="eastAsia" w:ascii="宋体" w:hAnsi="宋体" w:eastAsia="宋体" w:cs="宋体"/>
          <w:color w:val="auto"/>
          <w:sz w:val="21"/>
          <w:szCs w:val="21"/>
          <w:highlight w:val="none"/>
        </w:rPr>
        <w:t>一览表的总价为准，并修改单价；</w:t>
      </w:r>
    </w:p>
    <w:p w14:paraId="1AC14935">
      <w:pPr>
        <w:pStyle w:val="19"/>
        <w:keepNext w:val="0"/>
        <w:keepLines w:val="0"/>
        <w:pageBreakBefore w:val="0"/>
        <w:widowControl w:val="0"/>
        <w:shd w:val="clear"/>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4、总价金额与按单价汇总金额不一致的，以单价金额计算结果为准。</w:t>
      </w:r>
    </w:p>
    <w:p w14:paraId="2B64348F">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8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Cs w:val="21"/>
          <w:highlight w:val="none"/>
        </w:rPr>
        <w:t>▲</w:t>
      </w:r>
      <w:r>
        <w:rPr>
          <w:rFonts w:hint="eastAsia" w:ascii="宋体" w:hAnsi="宋体" w:eastAsia="宋体" w:cs="宋体"/>
          <w:color w:val="auto"/>
          <w:sz w:val="21"/>
          <w:szCs w:val="21"/>
          <w:highlight w:val="none"/>
        </w:rPr>
        <w:t>同时出现两种以上不一致的，按照前款规定的顺序修正。修正应当采用书面形式，并加盖公章，或者由</w:t>
      </w:r>
      <w:r>
        <w:rPr>
          <w:rFonts w:hint="eastAsia" w:ascii="宋体" w:hAnsi="宋体" w:eastAsia="宋体" w:cs="宋体"/>
          <w:color w:val="auto"/>
          <w:sz w:val="21"/>
          <w:szCs w:val="21"/>
          <w:highlight w:val="none"/>
          <w:lang w:eastAsia="zh-CN"/>
        </w:rPr>
        <w:t>法定代表人或授权委托代理人签字</w:t>
      </w:r>
      <w:r>
        <w:rPr>
          <w:rFonts w:hint="eastAsia" w:ascii="宋体" w:hAnsi="宋体" w:eastAsia="宋体" w:cs="宋体"/>
          <w:color w:val="auto"/>
          <w:sz w:val="21"/>
          <w:szCs w:val="21"/>
          <w:highlight w:val="none"/>
        </w:rPr>
        <w:t>。修正后的报价经磋商供应商确认后产生约束力，磋商供应商不确认</w:t>
      </w:r>
      <w:r>
        <w:rPr>
          <w:rFonts w:hint="eastAsia" w:cs="宋体"/>
          <w:color w:val="auto"/>
          <w:sz w:val="21"/>
          <w:szCs w:val="21"/>
          <w:highlight w:val="none"/>
          <w:lang w:val="en-US" w:eastAsia="zh-CN"/>
        </w:rPr>
        <w:t>或未在规定时间内进行有效澄清</w:t>
      </w:r>
      <w:r>
        <w:rPr>
          <w:rFonts w:hint="eastAsia" w:ascii="宋体" w:hAnsi="宋体" w:eastAsia="宋体" w:cs="宋体"/>
          <w:color w:val="auto"/>
          <w:sz w:val="21"/>
          <w:szCs w:val="21"/>
          <w:highlight w:val="none"/>
        </w:rPr>
        <w:t>的，将终止磋商。</w:t>
      </w:r>
    </w:p>
    <w:p w14:paraId="7DCDA1C2">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val="en-US" w:eastAsia="zh-CN"/>
        </w:rPr>
        <w:t>六</w:t>
      </w:r>
      <w:r>
        <w:rPr>
          <w:rFonts w:hint="eastAsia" w:ascii="宋体" w:hAnsi="宋体" w:eastAsia="宋体" w:cs="宋体"/>
          <w:b/>
          <w:bCs/>
          <w:color w:val="auto"/>
          <w:sz w:val="21"/>
          <w:szCs w:val="21"/>
          <w:highlight w:val="none"/>
        </w:rPr>
        <w:t>）</w:t>
      </w:r>
      <w:r>
        <w:rPr>
          <w:rFonts w:hint="eastAsia" w:ascii="宋体" w:hAnsi="宋体" w:eastAsia="宋体" w:cs="宋体"/>
          <w:b/>
          <w:color w:val="auto"/>
          <w:sz w:val="21"/>
          <w:szCs w:val="21"/>
          <w:highlight w:val="none"/>
        </w:rPr>
        <w:t>磋商供应商存在下列情况之一的，响应无效，终止磋商</w:t>
      </w:r>
    </w:p>
    <w:p w14:paraId="4BBFE23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bCs/>
          <w:color w:val="auto"/>
          <w:sz w:val="21"/>
          <w:szCs w:val="21"/>
          <w:highlight w:val="none"/>
        </w:rPr>
      </w:pPr>
      <w:r>
        <w:rPr>
          <w:rFonts w:hint="eastAsia" w:ascii="宋体" w:hAnsi="宋体" w:eastAsia="宋体" w:cs="宋体"/>
          <w:color w:val="auto"/>
          <w:kern w:val="0"/>
          <w:sz w:val="21"/>
          <w:szCs w:val="21"/>
          <w:highlight w:val="none"/>
          <w:lang w:val="en-US" w:eastAsia="zh-CN"/>
        </w:rPr>
        <w:t>1</w:t>
      </w:r>
      <w:r>
        <w:rPr>
          <w:rFonts w:hint="eastAsia" w:ascii="宋体" w:hAnsi="宋体" w:eastAsia="宋体" w:cs="宋体"/>
          <w:color w:val="auto"/>
          <w:kern w:val="0"/>
          <w:sz w:val="21"/>
          <w:szCs w:val="21"/>
          <w:highlight w:val="none"/>
        </w:rPr>
        <w:t>、磋商响应文件中的报价</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lang w:eastAsia="zh-CN"/>
        </w:rPr>
        <w:t>跟</w:t>
      </w:r>
      <w:r>
        <w:rPr>
          <w:rFonts w:hint="eastAsia" w:ascii="宋体" w:hAnsi="宋体" w:eastAsia="宋体" w:cs="宋体"/>
          <w:color w:val="auto"/>
          <w:kern w:val="0"/>
          <w:sz w:val="21"/>
          <w:szCs w:val="21"/>
          <w:highlight w:val="none"/>
        </w:rPr>
        <w:t>商务与技术内容中</w:t>
      </w:r>
      <w:r>
        <w:rPr>
          <w:rFonts w:hint="eastAsia" w:ascii="宋体" w:hAnsi="宋体" w:eastAsia="宋体" w:cs="宋体"/>
          <w:color w:val="auto"/>
          <w:kern w:val="0"/>
          <w:sz w:val="21"/>
          <w:szCs w:val="21"/>
          <w:highlight w:val="none"/>
          <w:lang w:eastAsia="zh-CN"/>
        </w:rPr>
        <w:t>的供应</w:t>
      </w:r>
      <w:r>
        <w:rPr>
          <w:rFonts w:hint="eastAsia" w:ascii="宋体" w:hAnsi="宋体" w:eastAsia="宋体" w:cs="宋体"/>
          <w:color w:val="auto"/>
          <w:kern w:val="0"/>
          <w:sz w:val="21"/>
          <w:szCs w:val="21"/>
          <w:highlight w:val="none"/>
          <w:lang w:val="en-US" w:eastAsia="zh-CN"/>
        </w:rPr>
        <w:t>服务</w:t>
      </w:r>
      <w:r>
        <w:rPr>
          <w:rFonts w:hint="eastAsia" w:ascii="宋体" w:hAnsi="宋体" w:eastAsia="宋体" w:cs="宋体"/>
          <w:color w:val="auto"/>
          <w:kern w:val="0"/>
          <w:sz w:val="21"/>
          <w:szCs w:val="21"/>
          <w:highlight w:val="none"/>
        </w:rPr>
        <w:t>出现重大偏差的；</w:t>
      </w:r>
    </w:p>
    <w:p w14:paraId="78D5656A">
      <w:pPr>
        <w:pStyle w:val="19"/>
        <w:keepNext w:val="0"/>
        <w:keepLines w:val="0"/>
        <w:pageBreakBefore w:val="0"/>
        <w:widowControl w:val="0"/>
        <w:tabs>
          <w:tab w:val="left" w:pos="7380"/>
        </w:tabs>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、不具备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中规定的资格要求的。</w:t>
      </w:r>
    </w:p>
    <w:p w14:paraId="6A216FFD">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、磋商响应文件含有采购人不能接受的附加条件的。</w:t>
      </w:r>
    </w:p>
    <w:p w14:paraId="0DFBC40E">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Cs/>
          <w:color w:val="auto"/>
          <w:kern w:val="0"/>
          <w:sz w:val="21"/>
          <w:szCs w:val="21"/>
          <w:highlight w:val="none"/>
        </w:rPr>
      </w:pP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、供应商代表人未能出具身份证明或与法定代表人授权委托人身份不符的</w:t>
      </w:r>
      <w:r>
        <w:rPr>
          <w:rFonts w:hint="eastAsia" w:ascii="宋体" w:hAnsi="宋体" w:eastAsia="宋体" w:cs="宋体"/>
          <w:b w:val="0"/>
          <w:bCs w:val="0"/>
          <w:color w:val="auto"/>
          <w:kern w:val="2"/>
          <w:sz w:val="21"/>
          <w:szCs w:val="21"/>
          <w:highlight w:val="none"/>
          <w:lang w:val="en-US" w:eastAsia="zh-CN" w:bidi="ar-SA"/>
        </w:rPr>
        <w:t>（受疫情期间影响供应商代表人无需现场参加磋商会议）</w:t>
      </w:r>
      <w:r>
        <w:rPr>
          <w:rFonts w:hint="eastAsia" w:ascii="宋体" w:hAnsi="宋体" w:eastAsia="宋体" w:cs="宋体"/>
          <w:color w:val="auto"/>
          <w:sz w:val="21"/>
          <w:szCs w:val="21"/>
          <w:highlight w:val="none"/>
        </w:rPr>
        <w:t>；</w:t>
      </w:r>
    </w:p>
    <w:p w14:paraId="78002F32">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磋商小组认为供应商的报价明显低于其他通过符合性审查供应商的报价，有可能影响产品质量或者不能诚信履约的，应当要求其在评审现场合理的时间内提供书面说明，必要时提交相关证明材料；供应商不能证明其报价合理性的，磋商小组应当与其终止磋商。</w:t>
      </w:r>
    </w:p>
    <w:p w14:paraId="00AB3F7D">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rPr>
        <w:t>、报价超过</w:t>
      </w:r>
      <w:r>
        <w:rPr>
          <w:rFonts w:hint="eastAsia" w:cs="宋体"/>
          <w:color w:val="auto"/>
          <w:sz w:val="21"/>
          <w:szCs w:val="21"/>
          <w:highlight w:val="none"/>
          <w:lang w:eastAsia="zh-CN"/>
        </w:rPr>
        <w:t>采购文件</w:t>
      </w:r>
      <w:r>
        <w:rPr>
          <w:rFonts w:hint="eastAsia" w:ascii="宋体" w:hAnsi="宋体" w:eastAsia="宋体" w:cs="宋体"/>
          <w:color w:val="auto"/>
          <w:sz w:val="21"/>
          <w:szCs w:val="21"/>
          <w:highlight w:val="none"/>
        </w:rPr>
        <w:t>中规定的预算金额/最高限</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单</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价。</w:t>
      </w:r>
    </w:p>
    <w:p w14:paraId="061266FE">
      <w:pPr>
        <w:keepNext w:val="0"/>
        <w:keepLines w:val="0"/>
        <w:pageBreakBefore w:val="0"/>
        <w:widowControl w:val="0"/>
        <w:tabs>
          <w:tab w:val="left" w:pos="1898"/>
        </w:tabs>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7</w:t>
      </w:r>
      <w:r>
        <w:rPr>
          <w:rFonts w:hint="eastAsia" w:ascii="宋体" w:hAnsi="宋体" w:eastAsia="宋体" w:cs="宋体"/>
          <w:color w:val="auto"/>
          <w:kern w:val="0"/>
          <w:sz w:val="21"/>
          <w:szCs w:val="21"/>
          <w:highlight w:val="none"/>
        </w:rPr>
        <w:t>、磋商参数未如实填写，完全复制粘贴</w:t>
      </w:r>
      <w:r>
        <w:rPr>
          <w:rFonts w:hint="eastAsia" w:ascii="宋体" w:hAnsi="宋体" w:eastAsia="宋体" w:cs="宋体"/>
          <w:color w:val="auto"/>
          <w:kern w:val="0"/>
          <w:sz w:val="21"/>
          <w:szCs w:val="21"/>
          <w:highlight w:val="none"/>
          <w:lang w:eastAsia="zh-CN"/>
        </w:rPr>
        <w:t>招标</w:t>
      </w:r>
      <w:r>
        <w:rPr>
          <w:rFonts w:hint="eastAsia" w:ascii="宋体" w:hAnsi="宋体" w:eastAsia="宋体" w:cs="宋体"/>
          <w:color w:val="auto"/>
          <w:kern w:val="0"/>
          <w:sz w:val="21"/>
          <w:szCs w:val="21"/>
          <w:highlight w:val="none"/>
        </w:rPr>
        <w:t>参数的。</w:t>
      </w:r>
    </w:p>
    <w:p w14:paraId="6A090469">
      <w:pPr>
        <w:keepNext w:val="0"/>
        <w:keepLines w:val="0"/>
        <w:pageBreakBefore w:val="0"/>
        <w:widowControl w:val="0"/>
        <w:tabs>
          <w:tab w:val="left" w:pos="1898"/>
        </w:tabs>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8</w:t>
      </w:r>
      <w:r>
        <w:rPr>
          <w:rFonts w:hint="eastAsia" w:ascii="宋体" w:hAnsi="宋体" w:eastAsia="宋体" w:cs="宋体"/>
          <w:color w:val="auto"/>
          <w:kern w:val="0"/>
          <w:sz w:val="21"/>
          <w:szCs w:val="21"/>
          <w:highlight w:val="none"/>
        </w:rPr>
        <w:t>、磋商响应文件提供虚假材料的。</w:t>
      </w:r>
    </w:p>
    <w:p w14:paraId="64A7049D">
      <w:pPr>
        <w:keepNext w:val="0"/>
        <w:keepLines w:val="0"/>
        <w:pageBreakBefore w:val="0"/>
        <w:widowControl w:val="0"/>
        <w:tabs>
          <w:tab w:val="left" w:pos="1898"/>
        </w:tabs>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9</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不同供应商的磋商响应文件由同一单位或者个人编制；</w:t>
      </w:r>
    </w:p>
    <w:p w14:paraId="2FD55F52">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0</w:t>
      </w:r>
      <w:r>
        <w:rPr>
          <w:rFonts w:hint="eastAsia" w:ascii="宋体" w:hAnsi="宋体" w:eastAsia="宋体" w:cs="宋体"/>
          <w:color w:val="auto"/>
          <w:sz w:val="21"/>
          <w:szCs w:val="21"/>
          <w:highlight w:val="none"/>
        </w:rPr>
        <w:t>、不同供应商委托同一单位或者个人办理磋商事宜；</w:t>
      </w:r>
    </w:p>
    <w:p w14:paraId="0FD9AC9E">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、不同供应商的磋商响应文件载明的项目管理成员或者联系人员为同一人；</w:t>
      </w:r>
    </w:p>
    <w:p w14:paraId="31EC3DEF">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、不同供应商的磋商响应文件异常一致或者报价呈规律性差异；</w:t>
      </w:r>
    </w:p>
    <w:p w14:paraId="0286DD6A">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、不同供应商的磋商响应文件相互混装；</w:t>
      </w:r>
    </w:p>
    <w:p w14:paraId="6144AF5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val="en-US" w:eastAsia="zh-CN"/>
        </w:rPr>
        <w:t>4</w:t>
      </w:r>
      <w:r>
        <w:rPr>
          <w:rFonts w:hint="eastAsia" w:ascii="宋体" w:hAnsi="宋体" w:eastAsia="宋体" w:cs="宋体"/>
          <w:color w:val="auto"/>
          <w:kern w:val="0"/>
          <w:sz w:val="21"/>
          <w:szCs w:val="21"/>
          <w:highlight w:val="none"/>
        </w:rPr>
        <w:t>、不符合法律、法规和</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中规定的其他实质性要求的（</w:t>
      </w:r>
      <w:r>
        <w:rPr>
          <w:rFonts w:hint="eastAsia" w:ascii="宋体"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中打“▲”内容及被拒绝的条款）。</w:t>
      </w:r>
    </w:p>
    <w:p w14:paraId="31F43B32">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15、投标人的电子响应文件无法按时解密且本项目未达到启动备份文件条件的。</w:t>
      </w:r>
    </w:p>
    <w:p w14:paraId="4D36475A">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16、电子磋商响应文件解密失败的，且未在规定时间内提交备份磋商响应文件的；</w:t>
      </w:r>
    </w:p>
    <w:p w14:paraId="0C4A07D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kern w:val="2"/>
          <w:sz w:val="21"/>
          <w:szCs w:val="21"/>
          <w:highlight w:val="none"/>
          <w:lang w:val="en-US" w:eastAsia="zh-CN" w:bidi="ar-SA"/>
        </w:rPr>
      </w:pPr>
      <w:r>
        <w:rPr>
          <w:rFonts w:hint="eastAsia" w:ascii="宋体" w:hAnsi="宋体" w:eastAsia="宋体" w:cs="宋体"/>
          <w:b w:val="0"/>
          <w:bCs w:val="0"/>
          <w:color w:val="auto"/>
          <w:kern w:val="2"/>
          <w:sz w:val="21"/>
          <w:szCs w:val="21"/>
          <w:highlight w:val="none"/>
          <w:lang w:val="en-US" w:eastAsia="zh-CN" w:bidi="ar-SA"/>
        </w:rPr>
        <w:t>17、电子磋商响应文件未按规定要求提供电子签章的。</w:t>
      </w:r>
    </w:p>
    <w:p w14:paraId="04A90B07">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18、</w:t>
      </w:r>
      <w:r>
        <w:rPr>
          <w:rFonts w:hint="eastAsia" w:ascii="宋体" w:hAnsi="宋体" w:eastAsia="宋体" w:cs="宋体"/>
          <w:color w:val="auto"/>
          <w:kern w:val="0"/>
          <w:szCs w:val="21"/>
          <w:highlight w:val="none"/>
        </w:rPr>
        <w:t>不同供应商的电子投标（响应）文件上传计算机的网卡MAC地址或硬盘序列号等硬件信息相同且无法合理解释的；</w:t>
      </w:r>
    </w:p>
    <w:p w14:paraId="07AC37D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19、</w:t>
      </w:r>
      <w:r>
        <w:rPr>
          <w:rFonts w:hint="eastAsia" w:ascii="宋体" w:hAnsi="宋体" w:eastAsia="宋体" w:cs="宋体"/>
          <w:color w:val="auto"/>
          <w:kern w:val="0"/>
          <w:szCs w:val="21"/>
          <w:highlight w:val="none"/>
        </w:rPr>
        <w:t>上传的电子投标（响应）文件若出现使用本项目其他投标（响应）供应商的数字证书加密的，或者加盖本项目其他投标（响应）供应商的电子印章的；</w:t>
      </w:r>
    </w:p>
    <w:p w14:paraId="279B4C6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Cs w:val="21"/>
          <w:highlight w:val="none"/>
        </w:rPr>
      </w:pPr>
      <w:r>
        <w:rPr>
          <w:rFonts w:hint="eastAsia" w:ascii="宋体" w:hAnsi="宋体" w:eastAsia="宋体" w:cs="宋体"/>
          <w:color w:val="auto"/>
          <w:kern w:val="0"/>
          <w:szCs w:val="21"/>
          <w:highlight w:val="none"/>
          <w:lang w:val="en-US" w:eastAsia="zh-CN"/>
        </w:rPr>
        <w:t>20、</w:t>
      </w:r>
      <w:r>
        <w:rPr>
          <w:rFonts w:hint="eastAsia" w:ascii="宋体" w:hAnsi="宋体" w:eastAsia="宋体" w:cs="宋体"/>
          <w:color w:val="auto"/>
          <w:kern w:val="0"/>
          <w:szCs w:val="21"/>
          <w:highlight w:val="none"/>
        </w:rPr>
        <w:t>不同供应商的投标（响应）文件的内容存在3处（含）以上错误一致的；</w:t>
      </w:r>
    </w:p>
    <w:p w14:paraId="47199929">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val="0"/>
          <w:color w:val="auto"/>
          <w:highlight w:val="none"/>
        </w:rPr>
      </w:pPr>
      <w:r>
        <w:rPr>
          <w:rFonts w:hint="eastAsia" w:ascii="宋体" w:hAnsi="宋体" w:eastAsia="宋体" w:cs="宋体"/>
          <w:color w:val="auto"/>
          <w:kern w:val="0"/>
          <w:szCs w:val="21"/>
          <w:highlight w:val="none"/>
          <w:lang w:val="en-US" w:eastAsia="zh-CN"/>
        </w:rPr>
        <w:t>21、</w:t>
      </w:r>
      <w:r>
        <w:rPr>
          <w:rFonts w:hint="eastAsia" w:ascii="宋体" w:hAnsi="宋体" w:eastAsia="宋体" w:cs="宋体"/>
          <w:color w:val="auto"/>
          <w:kern w:val="0"/>
          <w:szCs w:val="21"/>
          <w:highlight w:val="none"/>
        </w:rPr>
        <w:t>不同供应商联系人为同一人或不同联系人的联系电话一致的。</w:t>
      </w:r>
    </w:p>
    <w:p w14:paraId="143E035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2"/>
          <w:sz w:val="21"/>
          <w:szCs w:val="21"/>
          <w:highlight w:val="none"/>
          <w:lang w:val="en-US" w:eastAsia="zh-CN" w:bidi="ar-SA"/>
        </w:rPr>
        <w:t>▲</w:t>
      </w: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七</w:t>
      </w:r>
      <w:r>
        <w:rPr>
          <w:rFonts w:hint="eastAsia" w:ascii="宋体" w:hAnsi="宋体" w:eastAsia="宋体" w:cs="宋体"/>
          <w:b/>
          <w:color w:val="auto"/>
          <w:kern w:val="0"/>
          <w:sz w:val="21"/>
          <w:szCs w:val="21"/>
          <w:highlight w:val="none"/>
        </w:rPr>
        <w:t>）有下列情况之一的，本次磋商终止</w:t>
      </w:r>
    </w:p>
    <w:p w14:paraId="21296C6B">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1、出现影响采购公正的违法、违规行为的；</w:t>
      </w:r>
    </w:p>
    <w:p w14:paraId="5E31B6DA">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2、磋商小组发现磋商文件存在歧义、重大缺陷导致评审工作无法进行，或者磋商文件内容违反国家有关强制性规定的； </w:t>
      </w:r>
    </w:p>
    <w:p w14:paraId="7965DCAA">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3、因重大变故，采购任务取消的；</w:t>
      </w:r>
    </w:p>
    <w:p w14:paraId="57E440DD">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4、法律、法规和磋商文件规定的其他导致评审结果无效的。</w:t>
      </w:r>
    </w:p>
    <w:p w14:paraId="57BE1699">
      <w:pPr>
        <w:keepNext w:val="0"/>
        <w:keepLines w:val="0"/>
        <w:pageBreakBefore w:val="0"/>
        <w:widowControl w:val="0"/>
        <w:tabs>
          <w:tab w:val="left" w:pos="720"/>
          <w:tab w:val="left" w:pos="1260"/>
          <w:tab w:val="left" w:pos="2160"/>
          <w:tab w:val="left" w:pos="2880"/>
          <w:tab w:val="left" w:pos="3600"/>
          <w:tab w:val="left" w:pos="4320"/>
          <w:tab w:val="left" w:pos="5040"/>
          <w:tab w:val="left" w:pos="5760"/>
          <w:tab w:val="left" w:pos="8280"/>
        </w:tabs>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rPr>
        <w:t>（</w:t>
      </w:r>
      <w:r>
        <w:rPr>
          <w:rFonts w:hint="eastAsia" w:ascii="宋体" w:hAnsi="宋体" w:eastAsia="宋体" w:cs="宋体"/>
          <w:b/>
          <w:color w:val="auto"/>
          <w:kern w:val="0"/>
          <w:sz w:val="21"/>
          <w:szCs w:val="21"/>
          <w:highlight w:val="none"/>
          <w:lang w:val="en-US" w:eastAsia="zh-CN"/>
        </w:rPr>
        <w:t>八</w:t>
      </w:r>
      <w:r>
        <w:rPr>
          <w:rFonts w:hint="eastAsia" w:ascii="宋体" w:hAnsi="宋体" w:eastAsia="宋体" w:cs="宋体"/>
          <w:b/>
          <w:color w:val="auto"/>
          <w:kern w:val="0"/>
          <w:sz w:val="21"/>
          <w:szCs w:val="21"/>
          <w:highlight w:val="none"/>
        </w:rPr>
        <w:t>）磋商原则和方法</w:t>
      </w:r>
    </w:p>
    <w:p w14:paraId="6102B24A">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磋商原则。磋商小组必须公平、公正、客观，不带任何倾向性和启发性；不得向外界透露任何与评审有关的内容；任何单位和个人不得干扰、影响评审的正常进行；磋商小组及有关工作人员不得私下与磋商供应商接触。</w:t>
      </w:r>
    </w:p>
    <w:p w14:paraId="5FF6DEE9">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2、磋商办法。具体磋商内容及评分标准等详见《第</w:t>
      </w:r>
      <w:r>
        <w:rPr>
          <w:rFonts w:hint="eastAsia" w:ascii="宋体" w:hAnsi="宋体" w:eastAsia="宋体" w:cs="宋体"/>
          <w:color w:val="auto"/>
          <w:sz w:val="21"/>
          <w:szCs w:val="21"/>
          <w:highlight w:val="none"/>
          <w:lang w:eastAsia="zh-CN"/>
        </w:rPr>
        <w:t>三章</w:t>
      </w:r>
      <w:r>
        <w:rPr>
          <w:rFonts w:hint="eastAsia" w:ascii="宋体" w:hAnsi="宋体" w:eastAsia="宋体" w:cs="宋体"/>
          <w:color w:val="auto"/>
          <w:sz w:val="21"/>
          <w:szCs w:val="21"/>
          <w:highlight w:val="none"/>
        </w:rPr>
        <w:t>：评审</w:t>
      </w:r>
      <w:r>
        <w:rPr>
          <w:rFonts w:hint="eastAsia" w:hAnsi="宋体" w:cs="宋体"/>
          <w:color w:val="auto"/>
          <w:sz w:val="21"/>
          <w:szCs w:val="21"/>
          <w:highlight w:val="none"/>
          <w:lang w:val="en-US" w:eastAsia="zh-CN"/>
        </w:rPr>
        <w:t>办法</w:t>
      </w:r>
      <w:r>
        <w:rPr>
          <w:rFonts w:hint="eastAsia" w:ascii="宋体" w:hAnsi="宋体" w:eastAsia="宋体" w:cs="宋体"/>
          <w:color w:val="auto"/>
          <w:sz w:val="21"/>
          <w:szCs w:val="21"/>
          <w:highlight w:val="none"/>
        </w:rPr>
        <w:t>及评分标准》。</w:t>
      </w:r>
    </w:p>
    <w:p w14:paraId="553596AF">
      <w:pPr>
        <w:pStyle w:val="11"/>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w:t>
      </w:r>
      <w:r>
        <w:rPr>
          <w:rFonts w:hint="eastAsia" w:ascii="宋体" w:hAnsi="宋体" w:eastAsia="宋体" w:cs="宋体"/>
          <w:b/>
          <w:color w:val="auto"/>
          <w:sz w:val="21"/>
          <w:szCs w:val="21"/>
          <w:highlight w:val="none"/>
          <w:lang w:val="en-US" w:eastAsia="zh-CN"/>
        </w:rPr>
        <w:t>九</w:t>
      </w:r>
      <w:r>
        <w:rPr>
          <w:rFonts w:hint="eastAsia" w:ascii="宋体" w:hAnsi="宋体" w:eastAsia="宋体" w:cs="宋体"/>
          <w:b/>
          <w:color w:val="auto"/>
          <w:sz w:val="21"/>
          <w:szCs w:val="21"/>
          <w:highlight w:val="none"/>
        </w:rPr>
        <w:t>）评审过程的监控</w:t>
      </w:r>
    </w:p>
    <w:p w14:paraId="1967346A">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left="0" w:leftChars="0" w:right="0" w:firstLine="420" w:firstLineChars="200"/>
        <w:jc w:val="both"/>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本项目评审过程实行全程录音、录像监控，政府采购监管部门</w:t>
      </w:r>
      <w:r>
        <w:rPr>
          <w:rFonts w:hint="eastAsia" w:ascii="宋体" w:hAnsi="宋体" w:eastAsia="宋体" w:cs="宋体"/>
          <w:color w:val="auto"/>
          <w:sz w:val="21"/>
          <w:szCs w:val="21"/>
          <w:highlight w:val="none"/>
          <w:lang w:eastAsia="zh-CN"/>
        </w:rPr>
        <w:t>视情</w:t>
      </w:r>
      <w:r>
        <w:rPr>
          <w:rFonts w:hint="eastAsia" w:ascii="宋体" w:hAnsi="宋体" w:eastAsia="宋体" w:cs="宋体"/>
          <w:color w:val="auto"/>
          <w:sz w:val="21"/>
          <w:szCs w:val="21"/>
          <w:highlight w:val="none"/>
        </w:rPr>
        <w:t>进行现场监督，供应商在评审过程中所进行的试图影响评审结果的不公正活动，可能导致其被拒绝磋商。</w:t>
      </w:r>
    </w:p>
    <w:p w14:paraId="6D6CB0CC">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b/>
          <w:bCs w:val="0"/>
          <w:color w:val="auto"/>
          <w:szCs w:val="21"/>
          <w:highlight w:val="none"/>
        </w:rPr>
      </w:pPr>
      <w:r>
        <w:rPr>
          <w:rFonts w:hint="eastAsia" w:ascii="宋体" w:hAnsi="宋体" w:eastAsia="宋体" w:cs="宋体"/>
          <w:b/>
          <w:bCs w:val="0"/>
          <w:color w:val="auto"/>
          <w:szCs w:val="21"/>
          <w:highlight w:val="none"/>
          <w:lang w:val="en-US" w:eastAsia="zh-CN"/>
        </w:rPr>
        <w:t>（十）</w:t>
      </w:r>
      <w:r>
        <w:rPr>
          <w:rFonts w:hint="eastAsia" w:ascii="宋体" w:hAnsi="宋体" w:eastAsia="宋体" w:cs="宋体"/>
          <w:b/>
          <w:bCs w:val="0"/>
          <w:color w:val="auto"/>
          <w:szCs w:val="21"/>
          <w:highlight w:val="none"/>
        </w:rPr>
        <w:t>电子交易异常情形处理</w:t>
      </w:r>
    </w:p>
    <w:p w14:paraId="13C9ECD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rPr>
        <w:t>采购过程中出现以下情形，导致电子交易平台无法正常运行，或者无法保证电子交易的公平、公正和安全时，采购组织机构可中止电子交易活动：</w:t>
      </w:r>
    </w:p>
    <w:p w14:paraId="42B42941">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1、</w:t>
      </w:r>
      <w:r>
        <w:rPr>
          <w:rFonts w:hint="eastAsia" w:ascii="宋体" w:hAnsi="宋体" w:eastAsia="宋体" w:cs="宋体"/>
          <w:b w:val="0"/>
          <w:bCs/>
          <w:color w:val="auto"/>
          <w:szCs w:val="21"/>
          <w:highlight w:val="none"/>
        </w:rPr>
        <w:t>电子交易平台发生故障而无法登录访问的；</w:t>
      </w:r>
    </w:p>
    <w:p w14:paraId="42FA6DE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2、</w:t>
      </w:r>
      <w:r>
        <w:rPr>
          <w:rFonts w:hint="eastAsia" w:ascii="宋体" w:hAnsi="宋体" w:eastAsia="宋体" w:cs="宋体"/>
          <w:b w:val="0"/>
          <w:bCs/>
          <w:color w:val="auto"/>
          <w:szCs w:val="21"/>
          <w:highlight w:val="none"/>
        </w:rPr>
        <w:t>电子交易平台应用或数据库出现错误，不能进行正常操作的；</w:t>
      </w:r>
    </w:p>
    <w:p w14:paraId="4E459BF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3、</w:t>
      </w:r>
      <w:r>
        <w:rPr>
          <w:rFonts w:hint="eastAsia" w:ascii="宋体" w:hAnsi="宋体" w:eastAsia="宋体" w:cs="宋体"/>
          <w:b w:val="0"/>
          <w:bCs/>
          <w:color w:val="auto"/>
          <w:szCs w:val="21"/>
          <w:highlight w:val="none"/>
        </w:rPr>
        <w:t>电子交易平台发现严重安全漏洞，有潜在泄密危险的；</w:t>
      </w:r>
    </w:p>
    <w:p w14:paraId="55CF968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4、</w:t>
      </w:r>
      <w:r>
        <w:rPr>
          <w:rFonts w:hint="eastAsia" w:ascii="宋体" w:hAnsi="宋体" w:eastAsia="宋体" w:cs="宋体"/>
          <w:b w:val="0"/>
          <w:bCs/>
          <w:color w:val="auto"/>
          <w:szCs w:val="21"/>
          <w:highlight w:val="none"/>
        </w:rPr>
        <w:t>病毒发作导致不能进行正常操作的；</w:t>
      </w:r>
    </w:p>
    <w:p w14:paraId="5D8D6AB4">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rPr>
      </w:pPr>
      <w:r>
        <w:rPr>
          <w:rFonts w:hint="eastAsia" w:ascii="宋体" w:hAnsi="宋体" w:eastAsia="宋体" w:cs="宋体"/>
          <w:b w:val="0"/>
          <w:bCs/>
          <w:color w:val="auto"/>
          <w:szCs w:val="21"/>
          <w:highlight w:val="none"/>
          <w:lang w:val="en-US" w:eastAsia="zh-CN"/>
        </w:rPr>
        <w:t>5、</w:t>
      </w:r>
      <w:r>
        <w:rPr>
          <w:rFonts w:hint="eastAsia" w:ascii="宋体" w:hAnsi="宋体" w:eastAsia="宋体" w:cs="宋体"/>
          <w:b w:val="0"/>
          <w:bCs/>
          <w:color w:val="auto"/>
          <w:szCs w:val="21"/>
          <w:highlight w:val="none"/>
        </w:rPr>
        <w:t>其他无法保证电子交易的公平、公正和安全的情况。</w:t>
      </w:r>
    </w:p>
    <w:p w14:paraId="458B7296">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jc w:val="left"/>
        <w:outlineLvl w:val="9"/>
        <w:rPr>
          <w:rFonts w:hint="eastAsia" w:ascii="宋体" w:hAnsi="宋体" w:eastAsia="宋体" w:cs="宋体"/>
          <w:b w:val="0"/>
          <w:bCs/>
          <w:color w:val="auto"/>
          <w:szCs w:val="21"/>
          <w:highlight w:val="none"/>
          <w:lang w:eastAsia="zh-CN"/>
        </w:rPr>
      </w:pPr>
      <w:r>
        <w:rPr>
          <w:rFonts w:hint="eastAsia" w:ascii="宋体" w:hAnsi="宋体" w:eastAsia="宋体" w:cs="宋体"/>
          <w:b w:val="0"/>
          <w:bCs/>
          <w:color w:val="auto"/>
          <w:szCs w:val="21"/>
          <w:highlight w:val="none"/>
        </w:rPr>
        <w:t>出现</w:t>
      </w:r>
      <w:r>
        <w:rPr>
          <w:rFonts w:hint="eastAsia" w:ascii="宋体" w:hAnsi="宋体" w:eastAsia="宋体" w:cs="宋体"/>
          <w:b w:val="0"/>
          <w:bCs/>
          <w:color w:val="auto"/>
          <w:szCs w:val="21"/>
          <w:highlight w:val="none"/>
          <w:lang w:eastAsia="zh-CN"/>
        </w:rPr>
        <w:t>以上</w:t>
      </w:r>
      <w:r>
        <w:rPr>
          <w:rFonts w:hint="eastAsia" w:ascii="宋体" w:hAnsi="宋体" w:eastAsia="宋体" w:cs="宋体"/>
          <w:b w:val="0"/>
          <w:bCs/>
          <w:color w:val="auto"/>
          <w:szCs w:val="21"/>
          <w:highlight w:val="none"/>
        </w:rPr>
        <w:t>规定情形，不影响采购公平、公正性的，采购组织机构可以待上述情形消除后继续组织电子交易活动，也可以决定某些环节以纸质形式进行；影响或可能影响采购公平、公正性的，应当重新采购</w:t>
      </w:r>
      <w:r>
        <w:rPr>
          <w:rFonts w:hint="eastAsia" w:ascii="宋体" w:hAnsi="宋体" w:eastAsia="宋体" w:cs="宋体"/>
          <w:b w:val="0"/>
          <w:bCs/>
          <w:color w:val="auto"/>
          <w:szCs w:val="21"/>
          <w:highlight w:val="none"/>
          <w:lang w:eastAsia="zh-CN"/>
        </w:rPr>
        <w:t>。</w:t>
      </w:r>
    </w:p>
    <w:p w14:paraId="509472BD">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2" w:firstLineChars="20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lang w:val="en-US" w:eastAsia="zh-CN"/>
        </w:rPr>
        <w:t>四</w:t>
      </w:r>
      <w:r>
        <w:rPr>
          <w:rFonts w:hint="eastAsia" w:ascii="宋体" w:hAnsi="宋体" w:eastAsia="宋体" w:cs="宋体"/>
          <w:b/>
          <w:color w:val="auto"/>
          <w:sz w:val="21"/>
          <w:szCs w:val="21"/>
          <w:highlight w:val="none"/>
        </w:rPr>
        <w:t>、磋商结果确定</w:t>
      </w:r>
    </w:p>
    <w:p w14:paraId="2639FA9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确定成交供应商。磋商小组根据采购人的《授权意见确认书》，推荐成交候选供应商或直接确定成交供应商。其中推荐成交候选供应商的，采购组织机构在评审结束之日起2个工作日内将评审报告送交采购人，采购人自收到评审报告之日起5个工作日内在评审报告推荐的成交候选人中按顺序确定成交供应商。</w:t>
      </w:r>
    </w:p>
    <w:p w14:paraId="2D4A1608">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2、发布成交结果公告。采购组织机构应当在成交供应商确定后2个工作日内，在省级以上财政部门指定的政府采购信息发布媒体及相关网站上公告成交结果，并将磋商文件随同公告。</w:t>
      </w:r>
    </w:p>
    <w:p w14:paraId="692ABAC3">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3、发出成交通知书。采购组织机构在发布成交结果同时，向成交供应商发出成交通知书。</w:t>
      </w:r>
    </w:p>
    <w:p w14:paraId="028EE5E5">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kern w:val="0"/>
          <w:sz w:val="21"/>
          <w:szCs w:val="21"/>
          <w:highlight w:val="none"/>
          <w:lang w:val="en-US" w:eastAsia="zh-CN"/>
        </w:rPr>
      </w:pPr>
      <w:r>
        <w:rPr>
          <w:rFonts w:hint="eastAsia" w:ascii="宋体" w:hAnsi="宋体" w:eastAsia="宋体" w:cs="宋体"/>
          <w:color w:val="auto"/>
          <w:kern w:val="0"/>
          <w:sz w:val="21"/>
          <w:szCs w:val="21"/>
          <w:highlight w:val="none"/>
          <w:lang w:val="en-US" w:eastAsia="zh-CN"/>
        </w:rPr>
        <w:t>4、中标人在中标之后领取通知书之前，应向招标代理机构交纳招标代理服务费。若中标人未在约定时间内支付招标代理服务费，从逾期之日起按日利率千分之一承担违约金。若中标人未按上述规定办理，需承担招标代理机构为实现债权的所有费用（包括但不限于律师费、催讨车旅费、保全担保费等）</w:t>
      </w:r>
      <w:r>
        <w:rPr>
          <w:rFonts w:hint="eastAsia" w:ascii="宋体" w:hAnsi="宋体" w:cs="宋体"/>
          <w:color w:val="auto"/>
          <w:kern w:val="0"/>
          <w:sz w:val="21"/>
          <w:szCs w:val="21"/>
          <w:highlight w:val="none"/>
          <w:lang w:val="en-US" w:eastAsia="zh-CN"/>
        </w:rPr>
        <w:t>。</w:t>
      </w:r>
    </w:p>
    <w:p w14:paraId="05705D7B">
      <w:pPr>
        <w:keepNext w:val="0"/>
        <w:keepLines w:val="0"/>
        <w:pageBreakBefore w:val="0"/>
        <w:widowControl w:val="0"/>
        <w:kinsoku/>
        <w:wordWrap w:val="0"/>
        <w:overflowPunct/>
        <w:topLinePunct w:val="0"/>
        <w:autoSpaceDE/>
        <w:autoSpaceDN/>
        <w:bidi w:val="0"/>
        <w:adjustRightInd/>
        <w:snapToGrid/>
        <w:spacing w:line="360" w:lineRule="auto"/>
        <w:ind w:left="0" w:leftChars="0" w:right="0"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招标代理费：</w:t>
      </w:r>
      <w:r>
        <w:rPr>
          <w:rFonts w:hint="eastAsia" w:ascii="宋体" w:hAnsi="宋体" w:eastAsia="宋体" w:cs="宋体"/>
          <w:color w:val="auto"/>
          <w:szCs w:val="21"/>
          <w:highlight w:val="none"/>
        </w:rPr>
        <w:t>按照中标通知书确定的中标金额，</w:t>
      </w:r>
      <w:r>
        <w:rPr>
          <w:rFonts w:hint="eastAsia" w:ascii="宋体" w:hAnsi="宋体" w:eastAsia="宋体" w:cs="宋体"/>
          <w:color w:val="auto"/>
          <w:szCs w:val="21"/>
          <w:highlight w:val="none"/>
          <w:lang w:val="en-US" w:eastAsia="zh-CN"/>
        </w:rPr>
        <w:t>按下附表收费标准，采用差额累进算法</w:t>
      </w:r>
      <w:r>
        <w:rPr>
          <w:rFonts w:hint="eastAsia" w:ascii="宋体" w:hAnsi="宋体" w:eastAsia="宋体" w:cs="宋体"/>
          <w:color w:val="auto"/>
          <w:szCs w:val="21"/>
          <w:highlight w:val="none"/>
        </w:rPr>
        <w:t>向中标单位收取代理服务费。</w:t>
      </w:r>
      <w:r>
        <w:rPr>
          <w:rFonts w:hint="eastAsia" w:ascii="宋体" w:hAnsi="宋体" w:eastAsia="宋体" w:cs="宋体"/>
          <w:color w:val="auto"/>
          <w:sz w:val="21"/>
          <w:szCs w:val="21"/>
          <w:highlight w:val="none"/>
        </w:rPr>
        <w:t>代理服务费结算不足</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的，按定额</w:t>
      </w:r>
      <w:r>
        <w:rPr>
          <w:rFonts w:hint="eastAsia" w:ascii="宋体" w:hAnsi="宋体" w:eastAsia="宋体" w:cs="宋体"/>
          <w:color w:val="auto"/>
          <w:sz w:val="21"/>
          <w:szCs w:val="21"/>
          <w:highlight w:val="none"/>
          <w:lang w:val="en-US" w:eastAsia="zh-CN"/>
        </w:rPr>
        <w:t>陆仟元</w:t>
      </w:r>
      <w:r>
        <w:rPr>
          <w:rFonts w:hint="eastAsia" w:ascii="宋体" w:hAnsi="宋体" w:eastAsia="宋体" w:cs="宋体"/>
          <w:color w:val="auto"/>
          <w:sz w:val="21"/>
          <w:szCs w:val="21"/>
          <w:highlight w:val="none"/>
        </w:rPr>
        <w:t>收取。该费用中标方须在领取中标通知书时一次性付清。（户名：</w:t>
      </w:r>
      <w:r>
        <w:rPr>
          <w:rFonts w:hint="eastAsia" w:ascii="宋体" w:hAnsi="宋体" w:eastAsia="宋体" w:cs="宋体"/>
          <w:color w:val="auto"/>
          <w:sz w:val="21"/>
          <w:szCs w:val="21"/>
          <w:highlight w:val="none"/>
          <w:lang w:eastAsia="zh-CN"/>
        </w:rPr>
        <w:t>浙江汇永工程咨询有限公司</w:t>
      </w:r>
      <w:r>
        <w:rPr>
          <w:rFonts w:hint="eastAsia" w:ascii="宋体" w:hAnsi="宋体" w:eastAsia="宋体" w:cs="宋体"/>
          <w:color w:val="auto"/>
          <w:sz w:val="21"/>
          <w:szCs w:val="21"/>
          <w:highlight w:val="none"/>
        </w:rPr>
        <w:t>；人民币账号：</w:t>
      </w:r>
      <w:r>
        <w:rPr>
          <w:rFonts w:hint="eastAsia" w:ascii="宋体" w:hAnsi="宋体" w:eastAsia="宋体" w:cs="宋体"/>
          <w:color w:val="auto"/>
          <w:sz w:val="21"/>
          <w:szCs w:val="21"/>
          <w:highlight w:val="none"/>
          <w:lang w:eastAsia="zh-CN"/>
        </w:rPr>
        <w:t>550423591600015</w:t>
      </w:r>
      <w:r>
        <w:rPr>
          <w:rFonts w:hint="eastAsia" w:ascii="宋体" w:hAnsi="宋体" w:eastAsia="宋体" w:cs="宋体"/>
          <w:color w:val="auto"/>
          <w:sz w:val="21"/>
          <w:szCs w:val="21"/>
          <w:highlight w:val="none"/>
        </w:rPr>
        <w:t>；开户行：</w:t>
      </w:r>
      <w:r>
        <w:rPr>
          <w:rFonts w:hint="eastAsia" w:ascii="宋体" w:hAnsi="宋体" w:eastAsia="宋体" w:cs="宋体"/>
          <w:color w:val="auto"/>
          <w:sz w:val="21"/>
          <w:szCs w:val="21"/>
          <w:highlight w:val="none"/>
          <w:lang w:eastAsia="zh-CN"/>
        </w:rPr>
        <w:t>台州银行市府大道支行</w:t>
      </w:r>
      <w:r>
        <w:rPr>
          <w:rFonts w:hint="eastAsia" w:ascii="宋体" w:hAnsi="宋体" w:eastAsia="宋体" w:cs="宋体"/>
          <w:color w:val="auto"/>
          <w:sz w:val="21"/>
          <w:szCs w:val="21"/>
          <w:highlight w:val="none"/>
        </w:rPr>
        <w:t>）</w:t>
      </w:r>
    </w:p>
    <w:p w14:paraId="7ABBEF49">
      <w:pPr>
        <w:keepNext w:val="0"/>
        <w:keepLines w:val="0"/>
        <w:pageBreakBefore w:val="0"/>
        <w:kinsoku/>
        <w:wordWrap/>
        <w:overflowPunct/>
        <w:topLinePunct w:val="0"/>
        <w:bidi w:val="0"/>
        <w:spacing w:line="360" w:lineRule="auto"/>
        <w:jc w:val="center"/>
        <w:outlineLvl w:val="9"/>
        <w:rPr>
          <w:rFonts w:hint="eastAsia" w:ascii="宋体" w:hAnsi="宋体" w:eastAsia="宋体" w:cs="宋体"/>
          <w:b/>
          <w:bCs/>
          <w:color w:val="auto"/>
          <w:szCs w:val="21"/>
          <w:highlight w:val="none"/>
        </w:rPr>
      </w:pPr>
      <w:r>
        <w:rPr>
          <w:rFonts w:hint="eastAsia" w:ascii="宋体" w:hAnsi="宋体" w:eastAsia="宋体" w:cs="宋体"/>
          <w:b/>
          <w:bCs/>
          <w:color w:val="auto"/>
          <w:szCs w:val="21"/>
          <w:highlight w:val="none"/>
        </w:rPr>
        <w:t>附表：招标代理服务收费标准</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6"/>
        <w:gridCol w:w="2067"/>
      </w:tblGrid>
      <w:tr w14:paraId="51DC5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7" w:hRule="atLeast"/>
          <w:jc w:val="center"/>
        </w:trPr>
        <w:tc>
          <w:tcPr>
            <w:tcW w:w="2556" w:type="dxa"/>
          </w:tcPr>
          <w:p w14:paraId="45D21DA2">
            <w:pPr>
              <w:keepNext w:val="0"/>
              <w:keepLines w:val="0"/>
              <w:pageBreakBefore w:val="0"/>
              <w:kinsoku/>
              <w:wordWrap/>
              <w:overflowPunct/>
              <w:topLinePunct w:val="0"/>
              <w:bidi w:val="0"/>
              <w:spacing w:line="240" w:lineRule="auto"/>
              <w:ind w:firstLine="1470" w:firstLineChars="700"/>
              <w:outlineLvl w:val="9"/>
              <w:rPr>
                <w:rFonts w:hint="eastAsia" w:ascii="宋体" w:hAnsi="宋体" w:eastAsia="宋体" w:cs="宋体"/>
                <w:b/>
                <w:color w:val="auto"/>
                <w:szCs w:val="21"/>
                <w:highlight w:val="none"/>
              </w:rPr>
            </w:pPr>
            <w:r>
              <w:rPr>
                <w:rFonts w:hint="eastAsia" w:ascii="宋体" w:hAnsi="宋体" w:eastAsia="宋体" w:cs="宋体"/>
                <w:color w:val="auto"/>
                <w:highlight w:val="none"/>
              </w:rPr>
              <mc:AlternateContent>
                <mc:Choice Requires="wps">
                  <w:drawing>
                    <wp:anchor distT="0" distB="0" distL="114300" distR="114300" simplePos="0" relativeHeight="251664384" behindDoc="0" locked="0" layoutInCell="1" allowOverlap="1">
                      <wp:simplePos x="0" y="0"/>
                      <wp:positionH relativeFrom="column">
                        <wp:posOffset>-59690</wp:posOffset>
                      </wp:positionH>
                      <wp:positionV relativeFrom="paragraph">
                        <wp:posOffset>40005</wp:posOffset>
                      </wp:positionV>
                      <wp:extent cx="1612265" cy="762000"/>
                      <wp:effectExtent l="1905" t="4445" r="5080" b="14605"/>
                      <wp:wrapNone/>
                      <wp:docPr id="6" name="直接连接符 6"/>
                      <wp:cNvGraphicFramePr/>
                      <a:graphic xmlns:a="http://schemas.openxmlformats.org/drawingml/2006/main">
                        <a:graphicData uri="http://schemas.microsoft.com/office/word/2010/wordprocessingShape">
                          <wps:wsp>
                            <wps:cNvCnPr/>
                            <wps:spPr>
                              <a:xfrm flipH="1" flipV="1">
                                <a:off x="999490" y="935355"/>
                                <a:ext cx="1612265" cy="7620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 y;margin-left:-4.7pt;margin-top:3.15pt;height:60pt;width:126.95pt;z-index:251664384;mso-width-relative:page;mso-height-relative:page;" filled="f" stroked="t" coordsize="21600,21600" o:gfxdata="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E+KugDUAAAACAEAAA8AAAAAAAAAAQAgAAAAIgAA&#10;AGRycy9kb3ducmV2LnhtbFBLAQIUABQAAAAIAIdO4kAcV3xrDAIAAPYDAAAOAAAAAAAAAAEAIAAA&#10;ACMBAABkcnMvZTJvRG9jLnhtbFBLBQYAAAAABgAGAFkBAAChBQAAAAA=&#10;">
                      <v:fill on="f" focussize="0,0"/>
                      <v:stroke color="#000000 [3200]" joinstyle="round"/>
                      <v:imagedata o:title=""/>
                      <o:lock v:ext="edit" aspectratio="f"/>
                    </v:line>
                  </w:pict>
                </mc:Fallback>
              </mc:AlternateContent>
            </w:r>
            <w:r>
              <w:rPr>
                <w:rFonts w:hint="eastAsia" w:ascii="宋体" w:hAnsi="宋体" w:eastAsia="宋体" w:cs="宋体"/>
                <w:color w:val="auto"/>
                <w:highlight w:val="none"/>
              </w:rPr>
              <mc:AlternateContent>
                <mc:Choice Requires="wps">
                  <w:drawing>
                    <wp:anchor distT="0" distB="0" distL="114300" distR="114300" simplePos="0" relativeHeight="251663360" behindDoc="0" locked="0" layoutInCell="1" allowOverlap="1">
                      <wp:simplePos x="0" y="0"/>
                      <wp:positionH relativeFrom="column">
                        <wp:posOffset>645160</wp:posOffset>
                      </wp:positionH>
                      <wp:positionV relativeFrom="paragraph">
                        <wp:posOffset>0</wp:posOffset>
                      </wp:positionV>
                      <wp:extent cx="890905" cy="810260"/>
                      <wp:effectExtent l="3175" t="3810" r="20320" b="5080"/>
                      <wp:wrapNone/>
                      <wp:docPr id="4" name="直接连接符 4"/>
                      <wp:cNvGraphicFramePr/>
                      <a:graphic xmlns:a="http://schemas.openxmlformats.org/drawingml/2006/main">
                        <a:graphicData uri="http://schemas.microsoft.com/office/word/2010/wordprocessingShape">
                          <wps:wsp>
                            <wps:cNvCnPr/>
                            <wps:spPr>
                              <a:xfrm>
                                <a:off x="1812925" y="964565"/>
                                <a:ext cx="890905" cy="81026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50.8pt;margin-top:0pt;height:63.8pt;width:70.15pt;z-index:251663360;mso-width-relative:page;mso-height-relative:page;" filled="f" stroked="t" coordsize="21600,21600" o:gfxdata="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rYoEdUAAAAIAQAADwAAAAAAAAABACAAAAAiAAAAZHJzL2Rvd25y&#10;ZXYueG1sUEsBAhQAFAAAAAgAh07iQH+nxrsBAgAA4gMAAA4AAAAAAAAAAQAgAAAAJAEAAGRycy9l&#10;Mm9Eb2MueG1sUEsFBgAAAAAGAAYAWQEAAJcFAAAAAA==&#10;">
                      <v:fill on="f" focussize="0,0"/>
                      <v:stroke color="#000000 [3200]" joinstyle="round"/>
                      <v:imagedata o:title=""/>
                      <o:lock v:ext="edit" aspectratio="f"/>
                    </v:line>
                  </w:pict>
                </mc:Fallback>
              </mc:AlternateContent>
            </w:r>
            <w:r>
              <w:rPr>
                <w:rFonts w:hint="eastAsia" w:ascii="宋体" w:hAnsi="宋体" w:eastAsia="宋体" w:cs="宋体"/>
                <w:b/>
                <w:color w:val="auto"/>
                <w:szCs w:val="21"/>
                <w:highlight w:val="none"/>
              </w:rPr>
              <mc:AlternateContent>
                <mc:Choice Requires="wps">
                  <w:drawing>
                    <wp:anchor distT="0" distB="0" distL="114300" distR="114300" simplePos="0" relativeHeight="251662336" behindDoc="0" locked="0" layoutInCell="0" allowOverlap="1">
                      <wp:simplePos x="0" y="0"/>
                      <wp:positionH relativeFrom="column">
                        <wp:posOffset>-114300</wp:posOffset>
                      </wp:positionH>
                      <wp:positionV relativeFrom="paragraph">
                        <wp:posOffset>-6350</wp:posOffset>
                      </wp:positionV>
                      <wp:extent cx="635" cy="0"/>
                      <wp:effectExtent l="0" t="0" r="0" b="0"/>
                      <wp:wrapNone/>
                      <wp:docPr id="22" name="直接连接符 22"/>
                      <wp:cNvGraphicFramePr/>
                      <a:graphic xmlns:a="http://schemas.openxmlformats.org/drawingml/2006/main">
                        <a:graphicData uri="http://schemas.microsoft.com/office/word/2010/wordprocessingShape">
                          <wps:wsp>
                            <wps:cNvCnPr/>
                            <wps:spPr>
                              <a:xfrm>
                                <a:off x="0" y="0"/>
                                <a:ext cx="635" cy="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9pt;margin-top:-0.5pt;height:0pt;width:0.05pt;z-index:251662336;mso-width-relative:page;mso-height-relative:page;" filled="f" stroked="t" coordsize="21600,21600" o:allowincell="f" o:gfxdata="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a5HTftUAAAAJAQAADwAAAAAAAAABACAAAAAiAAAAZHJzL2Rvd25yZXYueG1sUEsBAhQAFAAAAAgA&#10;h07iQCx4TKvvAQAA5AMAAA4AAAAAAAAAAQAgAAAAJAEAAGRycy9lMm9Eb2MueG1sUEsFBgAAAAAG&#10;AAYAWQEAAIUFAAAAAA==&#10;">
                      <v:fill on="f" focussize="0,0"/>
                      <v:stroke color="#000000" joinstyle="round"/>
                      <v:imagedata o:title=""/>
                      <o:lock v:ext="edit" aspectratio="f"/>
                    </v:line>
                  </w:pict>
                </mc:Fallback>
              </mc:AlternateContent>
            </w:r>
            <w:r>
              <w:rPr>
                <w:rFonts w:hint="eastAsia" w:ascii="宋体" w:hAnsi="宋体" w:eastAsia="宋体" w:cs="宋体"/>
                <w:b/>
                <w:color w:val="auto"/>
                <w:szCs w:val="21"/>
                <w:highlight w:val="none"/>
              </w:rPr>
              <w:t>服务</w:t>
            </w:r>
          </w:p>
          <w:p w14:paraId="5D19D809">
            <w:pPr>
              <w:keepNext w:val="0"/>
              <w:keepLines w:val="0"/>
              <w:pageBreakBefore w:val="0"/>
              <w:kinsoku/>
              <w:wordWrap/>
              <w:overflowPunct/>
              <w:topLinePunct w:val="0"/>
              <w:bidi w:val="0"/>
              <w:spacing w:line="240" w:lineRule="auto"/>
              <w:ind w:firstLine="1054" w:firstLineChars="5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费　　类型</w:t>
            </w:r>
          </w:p>
          <w:p w14:paraId="5DD536E7">
            <w:pPr>
              <w:keepNext w:val="0"/>
              <w:keepLines w:val="0"/>
              <w:pageBreakBefore w:val="0"/>
              <w:kinsoku/>
              <w:wordWrap/>
              <w:overflowPunct/>
              <w:topLinePunct w:val="0"/>
              <w:bidi w:val="0"/>
              <w:spacing w:line="240" w:lineRule="auto"/>
              <w:ind w:firstLine="1476" w:firstLineChars="700"/>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率</w:t>
            </w:r>
          </w:p>
          <w:p w14:paraId="7FDD302E">
            <w:pPr>
              <w:keepNext w:val="0"/>
              <w:keepLines w:val="0"/>
              <w:pageBreakBefore w:val="0"/>
              <w:kinsoku/>
              <w:wordWrap/>
              <w:overflowPunct/>
              <w:topLinePunct w:val="0"/>
              <w:bidi w:val="0"/>
              <w:spacing w:line="240" w:lineRule="auto"/>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中标金额（万元）</w:t>
            </w:r>
          </w:p>
        </w:tc>
        <w:tc>
          <w:tcPr>
            <w:tcW w:w="2067" w:type="dxa"/>
            <w:vAlign w:val="center"/>
          </w:tcPr>
          <w:p w14:paraId="5F92A9AA">
            <w:pPr>
              <w:keepNext w:val="0"/>
              <w:keepLines w:val="0"/>
              <w:pageBreakBefore w:val="0"/>
              <w:kinsoku/>
              <w:wordWrap/>
              <w:overflowPunct/>
              <w:topLinePunct w:val="0"/>
              <w:bidi w:val="0"/>
              <w:spacing w:line="240" w:lineRule="auto"/>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服务招标</w:t>
            </w:r>
          </w:p>
        </w:tc>
      </w:tr>
      <w:tr w14:paraId="15832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2CB99DA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100以下</w:t>
            </w:r>
          </w:p>
        </w:tc>
        <w:tc>
          <w:tcPr>
            <w:tcW w:w="2067" w:type="dxa"/>
          </w:tcPr>
          <w:p w14:paraId="774D7D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1.5%</w:t>
            </w:r>
          </w:p>
        </w:tc>
      </w:tr>
      <w:tr w14:paraId="04CADB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353B74F6">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100-500</w:t>
            </w:r>
          </w:p>
        </w:tc>
        <w:tc>
          <w:tcPr>
            <w:tcW w:w="2067" w:type="dxa"/>
          </w:tcPr>
          <w:p w14:paraId="5F6CA4C2">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0.8%</w:t>
            </w:r>
          </w:p>
        </w:tc>
      </w:tr>
      <w:tr w14:paraId="3587C5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CEF6E4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500-1000</w:t>
            </w:r>
          </w:p>
        </w:tc>
        <w:tc>
          <w:tcPr>
            <w:tcW w:w="2067" w:type="dxa"/>
          </w:tcPr>
          <w:p w14:paraId="498CE58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0.45%</w:t>
            </w:r>
          </w:p>
        </w:tc>
      </w:tr>
      <w:tr w14:paraId="653DA5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33ED09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1000-5000</w:t>
            </w:r>
          </w:p>
        </w:tc>
        <w:tc>
          <w:tcPr>
            <w:tcW w:w="2067" w:type="dxa"/>
          </w:tcPr>
          <w:p w14:paraId="5ED35A1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0.25%</w:t>
            </w:r>
          </w:p>
        </w:tc>
      </w:tr>
      <w:tr w14:paraId="33C7F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6AACB7D0">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5000-10000</w:t>
            </w:r>
          </w:p>
        </w:tc>
        <w:tc>
          <w:tcPr>
            <w:tcW w:w="2067" w:type="dxa"/>
          </w:tcPr>
          <w:p w14:paraId="203D6323">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0.1%</w:t>
            </w:r>
          </w:p>
        </w:tc>
      </w:tr>
      <w:tr w14:paraId="36FE1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2556" w:type="dxa"/>
          </w:tcPr>
          <w:p w14:paraId="0311D679">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10000-100000</w:t>
            </w:r>
          </w:p>
        </w:tc>
        <w:tc>
          <w:tcPr>
            <w:tcW w:w="2067" w:type="dxa"/>
          </w:tcPr>
          <w:p w14:paraId="4C8ECAD4">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0.05%</w:t>
            </w:r>
          </w:p>
        </w:tc>
      </w:tr>
      <w:tr w14:paraId="6ADD9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8" w:hRule="atLeast"/>
          <w:jc w:val="center"/>
        </w:trPr>
        <w:tc>
          <w:tcPr>
            <w:tcW w:w="2556" w:type="dxa"/>
          </w:tcPr>
          <w:p w14:paraId="0131B89B">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100000以上</w:t>
            </w:r>
          </w:p>
        </w:tc>
        <w:tc>
          <w:tcPr>
            <w:tcW w:w="2067" w:type="dxa"/>
          </w:tcPr>
          <w:p w14:paraId="1571420A">
            <w:pPr>
              <w:keepNext w:val="0"/>
              <w:keepLines w:val="0"/>
              <w:pageBreakBefore w:val="0"/>
              <w:kinsoku/>
              <w:wordWrap/>
              <w:overflowPunct/>
              <w:topLinePunct w:val="0"/>
              <w:bidi w:val="0"/>
              <w:spacing w:line="240" w:lineRule="auto"/>
              <w:jc w:val="center"/>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0.01%</w:t>
            </w:r>
          </w:p>
        </w:tc>
      </w:tr>
    </w:tbl>
    <w:p w14:paraId="6B657F44">
      <w:pPr>
        <w:keepNext w:val="0"/>
        <w:keepLines w:val="0"/>
        <w:pageBreakBefore w:val="0"/>
        <w:kinsoku/>
        <w:wordWrap/>
        <w:overflowPunct/>
        <w:topLinePunct w:val="0"/>
        <w:bidi w:val="0"/>
        <w:spacing w:line="360" w:lineRule="auto"/>
        <w:outlineLvl w:val="9"/>
        <w:rPr>
          <w:rFonts w:hint="eastAsia" w:ascii="宋体" w:hAnsi="宋体" w:eastAsia="宋体" w:cs="宋体"/>
          <w:color w:val="auto"/>
          <w:szCs w:val="21"/>
          <w:highlight w:val="none"/>
        </w:rPr>
      </w:pPr>
    </w:p>
    <w:p w14:paraId="3D7F6964">
      <w:pPr>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ascii="宋体" w:hAnsi="宋体" w:eastAsia="宋体" w:cs="宋体"/>
          <w:b/>
          <w:color w:val="auto"/>
          <w:kern w:val="0"/>
          <w:sz w:val="21"/>
          <w:szCs w:val="21"/>
          <w:highlight w:val="none"/>
        </w:rPr>
      </w:pPr>
      <w:r>
        <w:rPr>
          <w:rFonts w:hint="eastAsia" w:ascii="宋体" w:hAnsi="宋体" w:eastAsia="宋体" w:cs="宋体"/>
          <w:b/>
          <w:color w:val="auto"/>
          <w:kern w:val="0"/>
          <w:sz w:val="21"/>
          <w:szCs w:val="21"/>
          <w:highlight w:val="none"/>
          <w:lang w:val="en-US" w:eastAsia="zh-CN"/>
        </w:rPr>
        <w:t>五</w:t>
      </w:r>
      <w:r>
        <w:rPr>
          <w:rFonts w:hint="eastAsia" w:ascii="宋体" w:hAnsi="宋体" w:eastAsia="宋体" w:cs="宋体"/>
          <w:b/>
          <w:color w:val="auto"/>
          <w:kern w:val="0"/>
          <w:sz w:val="21"/>
          <w:szCs w:val="21"/>
          <w:highlight w:val="none"/>
        </w:rPr>
        <w:t>、合同签订及公告</w:t>
      </w:r>
    </w:p>
    <w:p w14:paraId="5541F91D">
      <w:pPr>
        <w:pStyle w:val="10"/>
        <w:keepNext w:val="0"/>
        <w:keepLines w:val="0"/>
        <w:pageBreakBefore w:val="0"/>
        <w:widowControl w:val="0"/>
        <w:tabs>
          <w:tab w:val="left" w:pos="720"/>
          <w:tab w:val="left" w:pos="1260"/>
          <w:tab w:val="left" w:pos="2160"/>
          <w:tab w:val="left" w:pos="2880"/>
          <w:tab w:val="left" w:pos="3600"/>
          <w:tab w:val="left" w:pos="4320"/>
          <w:tab w:val="left" w:pos="5040"/>
          <w:tab w:val="left" w:pos="5760"/>
        </w:tabs>
        <w:kinsoku/>
        <w:wordWrap w:val="0"/>
        <w:overflowPunct/>
        <w:topLinePunct w:val="0"/>
        <w:autoSpaceDE/>
        <w:autoSpaceDN/>
        <w:bidi w:val="0"/>
        <w:adjustRightInd/>
        <w:snapToGrid/>
        <w:spacing w:after="0" w:line="360" w:lineRule="auto"/>
        <w:ind w:left="0" w:leftChars="0" w:firstLine="422" w:firstLineChars="200"/>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（一）签订合同</w:t>
      </w:r>
    </w:p>
    <w:p w14:paraId="686259A1">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1、采购人应当自成交通知书发出之日起</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日内，按照磋商采购文件确定的合同文本以及采购标的、规格型号、采购金额、采购数量和服务要求等事项签订政府采购合同。</w:t>
      </w:r>
    </w:p>
    <w:p w14:paraId="3A323E3D">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不得向成交供应商提出超出磋商文件以外的任何要求作为签订合同的条件，不得与成交供应商订立背离磋商文件确定的合同文本以及采购标的、规格型号、采购金额、采购数量和服务要求等实质性内容的协议。</w:t>
      </w:r>
    </w:p>
    <w:p w14:paraId="7B75830B">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3、成交供应商无故拖延、拒签合同的,取消成交资格。</w:t>
      </w:r>
    </w:p>
    <w:p w14:paraId="4BF7C529">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4、成交供应商拒绝与采购人签订合同的，采购人可以按照评审报告推荐的成交候选供应商名单排序，确定下一候选供应商为成交供应商，也可以重新开展政府采购活动。同时，拒绝与采购人签订合同的供应商，由同级财政部门依法作出处理。</w:t>
      </w:r>
    </w:p>
    <w:p w14:paraId="6B7CE963">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0" w:firstLineChars="200"/>
        <w:jc w:val="both"/>
        <w:textAlignment w:val="auto"/>
        <w:outlineLvl w:val="9"/>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5、询问或者质疑事项可能影响成交结果的，采购人应当暂停签订合同，已经签订合同的，应当中止履行合同（成交结果的质疑期为成交结果公告期限届满之日起七个工作日）。</w:t>
      </w:r>
    </w:p>
    <w:p w14:paraId="28BC5833">
      <w:pPr>
        <w:pStyle w:val="19"/>
        <w:keepNext w:val="0"/>
        <w:keepLines w:val="0"/>
        <w:pageBreakBefore w:val="0"/>
        <w:widowControl w:val="0"/>
        <w:kinsoku/>
        <w:wordWrap w:val="0"/>
        <w:overflowPunct/>
        <w:topLinePunct w:val="0"/>
        <w:autoSpaceDE/>
        <w:autoSpaceDN/>
        <w:bidi w:val="0"/>
        <w:adjustRightInd/>
        <w:snapToGrid/>
        <w:spacing w:before="0" w:beforeAutospacing="0" w:after="0" w:afterAutospacing="0" w:line="360" w:lineRule="auto"/>
        <w:ind w:firstLine="422" w:firstLineChars="200"/>
        <w:jc w:val="both"/>
        <w:textAlignment w:val="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（二）合同公告及备案</w:t>
      </w:r>
    </w:p>
    <w:p w14:paraId="146F3BBB">
      <w:pPr>
        <w:pStyle w:val="8"/>
        <w:keepNext w:val="0"/>
        <w:keepLines w:val="0"/>
        <w:pageBreakBefore w:val="0"/>
        <w:widowControl w:val="0"/>
        <w:kinsoku/>
        <w:wordWrap w:val="0"/>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1、采购人应当自政府采购合同签订之日起2个工作日内，在省级以上财政部门指定的政府采购信息发布媒体及相关网站上公告。</w:t>
      </w:r>
    </w:p>
    <w:p w14:paraId="3A7D4A41">
      <w:pPr>
        <w:pStyle w:val="8"/>
        <w:keepNext w:val="0"/>
        <w:keepLines w:val="0"/>
        <w:pageBreakBefore w:val="0"/>
        <w:widowControl w:val="0"/>
        <w:kinsoku/>
        <w:wordWrap w:val="0"/>
        <w:overflowPunct/>
        <w:topLinePunct w:val="0"/>
        <w:autoSpaceDE/>
        <w:autoSpaceDN/>
        <w:bidi w:val="0"/>
        <w:adjustRightInd/>
        <w:snapToGrid/>
        <w:spacing w:after="0" w:line="360" w:lineRule="auto"/>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2、采购人应当自政府采购合同签订之日起7个工作日内，将政府采购合同副本报同级人民政府财政部门备案以及采购组织机构存档。</w:t>
      </w:r>
    </w:p>
    <w:p w14:paraId="6CA79F43">
      <w:pPr>
        <w:spacing w:line="360" w:lineRule="auto"/>
        <w:jc w:val="both"/>
        <w:rPr>
          <w:rFonts w:hint="eastAsia" w:ascii="宋体" w:hAnsi="宋体" w:eastAsia="宋体" w:cs="宋体"/>
          <w:b/>
          <w:color w:val="auto"/>
          <w:sz w:val="36"/>
          <w:szCs w:val="36"/>
          <w:highlight w:val="none"/>
        </w:rPr>
        <w:sectPr>
          <w:pgSz w:w="11906" w:h="16838"/>
          <w:pgMar w:top="1440" w:right="1440" w:bottom="1440" w:left="1803" w:header="851" w:footer="992" w:gutter="0"/>
          <w:pgNumType w:fmt="decimal"/>
          <w:cols w:space="0" w:num="1"/>
          <w:docGrid w:type="lines" w:linePitch="325" w:charSpace="0"/>
        </w:sectPr>
      </w:pPr>
    </w:p>
    <w:p w14:paraId="65D9AEB5">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第三章 </w:t>
      </w:r>
      <w:r>
        <w:rPr>
          <w:rFonts w:hint="eastAsia" w:ascii="宋体" w:hAnsi="宋体" w:eastAsia="宋体" w:cs="宋体"/>
          <w:b/>
          <w:color w:val="auto"/>
          <w:sz w:val="36"/>
          <w:szCs w:val="36"/>
          <w:highlight w:val="none"/>
          <w:lang w:eastAsia="zh-CN"/>
        </w:rPr>
        <w:t>评审办法及评审标准</w:t>
      </w:r>
    </w:p>
    <w:p w14:paraId="64929F3A">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
          <w:i/>
          <w:color w:val="auto"/>
          <w:kern w:val="0"/>
          <w:sz w:val="21"/>
          <w:szCs w:val="21"/>
          <w:highlight w:val="none"/>
        </w:rPr>
      </w:pPr>
      <w:r>
        <w:rPr>
          <w:rFonts w:hint="eastAsia" w:ascii="宋体" w:hAnsi="宋体" w:eastAsia="宋体" w:cs="宋体"/>
          <w:color w:val="auto"/>
          <w:kern w:val="0"/>
          <w:sz w:val="21"/>
          <w:szCs w:val="21"/>
          <w:highlight w:val="none"/>
        </w:rPr>
        <w:t>一、采购组织机构将组织</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rPr>
        <w:t>，对</w:t>
      </w:r>
      <w:r>
        <w:rPr>
          <w:rFonts w:hint="eastAsia" w:ascii="宋体" w:hAnsi="宋体" w:eastAsia="宋体" w:cs="宋体"/>
          <w:color w:val="auto"/>
          <w:sz w:val="21"/>
          <w:szCs w:val="21"/>
          <w:highlight w:val="none"/>
        </w:rPr>
        <w:t>供应商</w:t>
      </w:r>
      <w:r>
        <w:rPr>
          <w:rFonts w:hint="eastAsia" w:ascii="宋体" w:hAnsi="宋体" w:eastAsia="宋体" w:cs="宋体"/>
          <w:color w:val="auto"/>
          <w:kern w:val="0"/>
          <w:sz w:val="21"/>
          <w:szCs w:val="21"/>
          <w:highlight w:val="none"/>
        </w:rPr>
        <w:t>提供的</w:t>
      </w:r>
      <w:r>
        <w:rPr>
          <w:rFonts w:hint="eastAsia" w:ascii="宋体" w:hAnsi="宋体" w:eastAsia="宋体" w:cs="宋体"/>
          <w:color w:val="auto"/>
          <w:sz w:val="21"/>
          <w:szCs w:val="21"/>
          <w:highlight w:val="none"/>
        </w:rPr>
        <w:t>磋商响应文件</w:t>
      </w:r>
      <w:r>
        <w:rPr>
          <w:rFonts w:hint="eastAsia" w:ascii="宋体" w:hAnsi="宋体" w:eastAsia="宋体" w:cs="宋体"/>
          <w:color w:val="auto"/>
          <w:kern w:val="0"/>
          <w:sz w:val="21"/>
          <w:szCs w:val="21"/>
          <w:highlight w:val="none"/>
        </w:rPr>
        <w:t xml:space="preserve">进行综合评审。   </w:t>
      </w:r>
    </w:p>
    <w:p w14:paraId="51D4BC2A">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二、本次磋商项目的评审方法为</w:t>
      </w:r>
      <w:r>
        <w:rPr>
          <w:rFonts w:hint="eastAsia" w:ascii="宋体" w:hAnsi="宋体" w:eastAsia="宋体" w:cs="宋体"/>
          <w:b/>
          <w:color w:val="auto"/>
          <w:kern w:val="0"/>
          <w:sz w:val="21"/>
          <w:szCs w:val="21"/>
          <w:highlight w:val="none"/>
        </w:rPr>
        <w:t>综合评分法</w:t>
      </w:r>
      <w:r>
        <w:rPr>
          <w:rFonts w:hint="eastAsia" w:ascii="宋体" w:hAnsi="宋体" w:eastAsia="宋体" w:cs="宋体"/>
          <w:color w:val="auto"/>
          <w:kern w:val="0"/>
          <w:sz w:val="21"/>
          <w:szCs w:val="21"/>
          <w:highlight w:val="none"/>
        </w:rPr>
        <w:t>，总计100分</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rPr>
        <w:t>其中</w:t>
      </w:r>
      <w:r>
        <w:rPr>
          <w:rFonts w:hint="eastAsia" w:ascii="宋体" w:hAnsi="宋体" w:eastAsia="宋体" w:cs="宋体"/>
          <w:color w:val="auto"/>
          <w:sz w:val="21"/>
          <w:szCs w:val="21"/>
          <w:highlight w:val="none"/>
          <w:lang w:val="zh-CN"/>
        </w:rPr>
        <w:t>商务技术分值</w:t>
      </w:r>
      <w:r>
        <w:rPr>
          <w:rFonts w:hint="eastAsia" w:ascii="宋体" w:hAnsi="宋体" w:eastAsia="宋体" w:cs="宋体"/>
          <w:color w:val="auto"/>
          <w:sz w:val="21"/>
          <w:szCs w:val="21"/>
          <w:highlight w:val="none"/>
          <w:lang w:val="en-US" w:eastAsia="zh-CN"/>
        </w:rPr>
        <w:t>90</w:t>
      </w:r>
      <w:r>
        <w:rPr>
          <w:rFonts w:hint="eastAsia" w:ascii="宋体" w:hAnsi="宋体" w:eastAsia="宋体" w:cs="宋体"/>
          <w:color w:val="auto"/>
          <w:sz w:val="21"/>
          <w:szCs w:val="21"/>
          <w:highlight w:val="none"/>
          <w:lang w:val="zh-CN"/>
        </w:rPr>
        <w:t>分，投标报价分值</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分</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评审标准按评分细化条款及分值进行评审。</w:t>
      </w:r>
    </w:p>
    <w:p w14:paraId="6905E8CC">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lang w:val="zh-CN"/>
        </w:rPr>
      </w:pPr>
      <w:r>
        <w:rPr>
          <w:rFonts w:hint="eastAsia" w:ascii="宋体" w:hAnsi="宋体" w:eastAsia="宋体" w:cs="宋体"/>
          <w:bCs/>
          <w:color w:val="auto"/>
          <w:sz w:val="21"/>
          <w:szCs w:val="21"/>
          <w:highlight w:val="none"/>
          <w:lang w:val="zh-CN"/>
        </w:rPr>
        <w:t>（一）商务技术文件中的客观分</w:t>
      </w:r>
      <w:r>
        <w:rPr>
          <w:rFonts w:hint="eastAsia" w:ascii="宋体" w:hAnsi="宋体" w:eastAsia="宋体" w:cs="宋体"/>
          <w:color w:val="auto"/>
          <w:sz w:val="21"/>
          <w:szCs w:val="21"/>
          <w:highlight w:val="none"/>
          <w:lang w:val="zh-CN"/>
        </w:rPr>
        <w:t>应由评审小组成员独立评审，</w:t>
      </w:r>
      <w:r>
        <w:rPr>
          <w:rFonts w:hint="eastAsia" w:ascii="宋体" w:hAnsi="宋体" w:eastAsia="宋体" w:cs="宋体"/>
          <w:color w:val="auto"/>
          <w:sz w:val="21"/>
          <w:szCs w:val="21"/>
          <w:highlight w:val="none"/>
          <w:lang w:val="en-US" w:eastAsia="zh-CN"/>
        </w:rPr>
        <w:t>但客观分打分应一致</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Cs w:val="21"/>
          <w:highlight w:val="none"/>
          <w:lang w:val="zh-CN"/>
        </w:rPr>
        <w:t>客观分不一致时，由评审委员会复核或书面说明理由，</w:t>
      </w:r>
      <w:r>
        <w:rPr>
          <w:rFonts w:hint="eastAsia" w:ascii="宋体" w:hAnsi="宋体" w:eastAsia="宋体" w:cs="宋体"/>
          <w:bCs/>
          <w:color w:val="auto"/>
          <w:sz w:val="21"/>
          <w:szCs w:val="21"/>
          <w:highlight w:val="none"/>
          <w:lang w:val="zh-CN"/>
        </w:rPr>
        <w:t>其余在规定的分值内单独评定打分</w:t>
      </w:r>
      <w:r>
        <w:rPr>
          <w:rFonts w:hint="eastAsia" w:ascii="宋体" w:hAnsi="宋体" w:eastAsia="宋体" w:cs="宋体"/>
          <w:color w:val="auto"/>
          <w:sz w:val="21"/>
          <w:szCs w:val="21"/>
          <w:highlight w:val="none"/>
        </w:rPr>
        <w:t>（小数点后保留1位）</w:t>
      </w:r>
      <w:r>
        <w:rPr>
          <w:rFonts w:hint="eastAsia" w:ascii="宋体" w:hAnsi="宋体" w:eastAsia="宋体" w:cs="宋体"/>
          <w:bCs/>
          <w:color w:val="auto"/>
          <w:sz w:val="21"/>
          <w:szCs w:val="21"/>
          <w:highlight w:val="none"/>
          <w:lang w:val="zh-CN"/>
        </w:rPr>
        <w:t>。</w:t>
      </w:r>
    </w:p>
    <w:p w14:paraId="26EB9E7F">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bCs/>
          <w:color w:val="auto"/>
          <w:sz w:val="21"/>
          <w:szCs w:val="21"/>
          <w:highlight w:val="none"/>
          <w:lang w:val="zh-CN"/>
        </w:rPr>
        <w:t>（二）各磋商供应商商务技术文件</w:t>
      </w:r>
      <w:r>
        <w:rPr>
          <w:rFonts w:hint="eastAsia" w:ascii="宋体" w:hAnsi="宋体" w:eastAsia="宋体" w:cs="宋体"/>
          <w:color w:val="auto"/>
          <w:kern w:val="0"/>
          <w:sz w:val="21"/>
          <w:szCs w:val="21"/>
          <w:highlight w:val="none"/>
          <w:lang w:val="zh-CN"/>
        </w:rPr>
        <w:t>得分按照</w:t>
      </w:r>
      <w:r>
        <w:rPr>
          <w:rFonts w:hint="eastAsia" w:ascii="宋体" w:hAnsi="宋体" w:eastAsia="宋体" w:cs="宋体"/>
          <w:color w:val="auto"/>
          <w:sz w:val="21"/>
          <w:szCs w:val="21"/>
          <w:highlight w:val="none"/>
        </w:rPr>
        <w:t>磋商小组</w:t>
      </w:r>
      <w:r>
        <w:rPr>
          <w:rFonts w:hint="eastAsia" w:ascii="宋体" w:hAnsi="宋体" w:eastAsia="宋体" w:cs="宋体"/>
          <w:color w:val="auto"/>
          <w:kern w:val="0"/>
          <w:sz w:val="21"/>
          <w:szCs w:val="21"/>
          <w:highlight w:val="none"/>
          <w:lang w:val="zh-CN"/>
        </w:rPr>
        <w:t>成</w:t>
      </w:r>
      <w:r>
        <w:rPr>
          <w:rFonts w:hint="eastAsia" w:ascii="宋体" w:hAnsi="宋体" w:eastAsia="宋体" w:cs="宋体"/>
          <w:bCs/>
          <w:color w:val="auto"/>
          <w:sz w:val="21"/>
          <w:szCs w:val="21"/>
          <w:highlight w:val="none"/>
          <w:lang w:val="zh-CN"/>
        </w:rPr>
        <w:t>员的独立评分结果汇总后的算术平均分计算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bCs/>
          <w:color w:val="auto"/>
          <w:sz w:val="21"/>
          <w:szCs w:val="21"/>
          <w:highlight w:val="none"/>
          <w:lang w:val="zh-CN"/>
        </w:rPr>
        <w:t>，计算公式为：</w:t>
      </w:r>
    </w:p>
    <w:p w14:paraId="7BC94A2D">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bCs/>
          <w:color w:val="auto"/>
          <w:sz w:val="21"/>
          <w:szCs w:val="21"/>
          <w:highlight w:val="none"/>
          <w:shd w:val="clear" w:color="FFFFFF" w:fill="D9D9D9"/>
          <w:lang w:val="zh-CN"/>
        </w:rPr>
      </w:pPr>
      <w:r>
        <w:rPr>
          <w:rFonts w:hint="eastAsia" w:ascii="宋体" w:hAnsi="宋体" w:eastAsia="宋体" w:cs="宋体"/>
          <w:color w:val="auto"/>
          <w:sz w:val="21"/>
          <w:szCs w:val="21"/>
          <w:highlight w:val="none"/>
        </w:rPr>
        <w:t>商务技术文件得分</w:t>
      </w:r>
      <w:r>
        <w:rPr>
          <w:rFonts w:hint="eastAsia" w:ascii="宋体" w:hAnsi="宋体" w:eastAsia="宋体" w:cs="宋体"/>
          <w:bCs/>
          <w:color w:val="auto"/>
          <w:sz w:val="21"/>
          <w:szCs w:val="21"/>
          <w:highlight w:val="none"/>
          <w:lang w:val="zh-CN"/>
        </w:rPr>
        <w:t>=</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所有成员评分合计数/</w:t>
      </w:r>
      <w:r>
        <w:rPr>
          <w:rFonts w:hint="eastAsia" w:ascii="宋体" w:hAnsi="宋体" w:eastAsia="宋体" w:cs="宋体"/>
          <w:color w:val="auto"/>
          <w:sz w:val="21"/>
          <w:szCs w:val="21"/>
          <w:highlight w:val="none"/>
        </w:rPr>
        <w:t>磋商小组</w:t>
      </w:r>
      <w:r>
        <w:rPr>
          <w:rFonts w:hint="eastAsia" w:ascii="宋体" w:hAnsi="宋体" w:eastAsia="宋体" w:cs="宋体"/>
          <w:bCs/>
          <w:color w:val="auto"/>
          <w:sz w:val="21"/>
          <w:szCs w:val="21"/>
          <w:highlight w:val="none"/>
          <w:lang w:val="zh-CN"/>
        </w:rPr>
        <w:t>组成人员数。</w:t>
      </w:r>
    </w:p>
    <w:p w14:paraId="01BBAB86">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bCs/>
          <w:color w:val="auto"/>
          <w:sz w:val="21"/>
          <w:szCs w:val="21"/>
          <w:highlight w:val="none"/>
          <w:lang w:val="zh-CN"/>
        </w:rPr>
        <w:t>（三）</w:t>
      </w:r>
      <w:r>
        <w:rPr>
          <w:rFonts w:hint="eastAsia" w:ascii="宋体" w:hAnsi="宋体" w:eastAsia="宋体" w:cs="宋体"/>
          <w:color w:val="auto"/>
          <w:sz w:val="21"/>
          <w:szCs w:val="21"/>
          <w:highlight w:val="none"/>
          <w:u w:val="single"/>
        </w:rPr>
        <w:t>综合评分法中的价格分统一</w:t>
      </w:r>
      <w:r>
        <w:rPr>
          <w:rFonts w:hint="eastAsia" w:ascii="宋体" w:hAnsi="宋体" w:eastAsia="宋体" w:cs="宋体"/>
          <w:color w:val="auto"/>
          <w:sz w:val="21"/>
          <w:szCs w:val="21"/>
          <w:highlight w:val="none"/>
          <w:lang w:val="zh-CN"/>
        </w:rPr>
        <w:t>采用低价优先法计算</w:t>
      </w:r>
      <w:r>
        <w:rPr>
          <w:rFonts w:hint="eastAsia" w:ascii="宋体" w:hAnsi="宋体" w:eastAsia="宋体" w:cs="宋体"/>
          <w:color w:val="auto"/>
          <w:sz w:val="21"/>
          <w:szCs w:val="21"/>
          <w:highlight w:val="none"/>
        </w:rPr>
        <w:t>（小数点后保留2位</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四舍五入</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zh-CN"/>
        </w:rPr>
        <w:t>，即满足磋商文件要求且最后报价最低的供应商的价格作为磋商基准价，其报价得满分。其他供应商的价格分统一按照下列公式计算：</w:t>
      </w:r>
    </w:p>
    <w:p w14:paraId="412B7C1E">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Cs w:val="21"/>
          <w:highlight w:val="none"/>
          <w:lang w:val="zh-CN"/>
        </w:rPr>
      </w:pPr>
      <w:r>
        <w:rPr>
          <w:rFonts w:hint="eastAsia" w:ascii="宋体" w:hAnsi="宋体" w:eastAsia="宋体" w:cs="宋体"/>
          <w:color w:val="auto"/>
          <w:sz w:val="21"/>
          <w:szCs w:val="21"/>
          <w:highlight w:val="none"/>
          <w:u w:val="single"/>
        </w:rPr>
        <w:t>磋商报价得分=(</w:t>
      </w:r>
      <w:r>
        <w:rPr>
          <w:rFonts w:hint="eastAsia" w:ascii="宋体" w:hAnsi="宋体" w:eastAsia="宋体" w:cs="宋体"/>
          <w:color w:val="auto"/>
          <w:sz w:val="21"/>
          <w:szCs w:val="21"/>
          <w:highlight w:val="none"/>
          <w:u w:val="single"/>
          <w:lang w:val="zh-CN"/>
        </w:rPr>
        <w:t>磋商基准价</w:t>
      </w:r>
      <w:r>
        <w:rPr>
          <w:rFonts w:hint="eastAsia" w:ascii="宋体" w:hAnsi="宋体" w:eastAsia="宋体" w:cs="宋体"/>
          <w:color w:val="auto"/>
          <w:sz w:val="21"/>
          <w:szCs w:val="21"/>
          <w:highlight w:val="none"/>
          <w:u w:val="single"/>
        </w:rPr>
        <w:t>／最后磋商报价)×</w:t>
      </w:r>
      <w:r>
        <w:rPr>
          <w:rFonts w:hint="eastAsia" w:ascii="宋体" w:hAnsi="宋体" w:eastAsia="宋体" w:cs="宋体"/>
          <w:color w:val="auto"/>
          <w:sz w:val="21"/>
          <w:szCs w:val="21"/>
          <w:highlight w:val="none"/>
          <w:u w:val="single"/>
          <w:lang w:val="en-US" w:eastAsia="zh-CN"/>
        </w:rPr>
        <w:t>10%</w:t>
      </w:r>
      <w:r>
        <w:rPr>
          <w:rFonts w:hint="eastAsia" w:ascii="宋体" w:hAnsi="宋体" w:eastAsia="宋体" w:cs="宋体"/>
          <w:color w:val="auto"/>
          <w:sz w:val="21"/>
          <w:szCs w:val="21"/>
          <w:highlight w:val="none"/>
          <w:u w:val="single"/>
        </w:rPr>
        <w:t>×100 。</w:t>
      </w:r>
    </w:p>
    <w:p w14:paraId="15C7A420">
      <w:pPr>
        <w:keepNext w:val="0"/>
        <w:keepLines w:val="0"/>
        <w:pageBreakBefore w:val="0"/>
        <w:widowControl w:val="0"/>
        <w:kinsoku/>
        <w:wordWrap w:val="0"/>
        <w:overflowPunct/>
        <w:topLinePunct w:val="0"/>
        <w:autoSpaceDE/>
        <w:autoSpaceDN/>
        <w:bidi w:val="0"/>
        <w:adjustRightInd/>
        <w:snapToGrid/>
        <w:spacing w:line="360" w:lineRule="auto"/>
        <w:ind w:right="0" w:firstLine="422" w:firstLineChars="200"/>
        <w:textAlignment w:val="auto"/>
        <w:rPr>
          <w:rFonts w:hint="eastAsia" w:ascii="宋体" w:hAnsi="宋体" w:eastAsia="宋体" w:cs="宋体"/>
          <w:b/>
          <w:bCs/>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注：本项目专门面向中小企业采购，价格评审时，中小微企业的投标价格不做扣除。</w:t>
      </w:r>
    </w:p>
    <w:p w14:paraId="31BF826C">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zh-CN"/>
        </w:rPr>
        <w:t>（四）</w:t>
      </w:r>
      <w:r>
        <w:rPr>
          <w:rFonts w:hint="eastAsia" w:ascii="宋体" w:hAnsi="宋体" w:eastAsia="宋体" w:cs="宋体"/>
          <w:bCs/>
          <w:color w:val="auto"/>
          <w:sz w:val="21"/>
          <w:szCs w:val="21"/>
          <w:highlight w:val="none"/>
          <w:lang w:val="zh-CN"/>
        </w:rPr>
        <w:t>磋商供应商</w:t>
      </w:r>
      <w:r>
        <w:rPr>
          <w:rFonts w:hint="eastAsia" w:ascii="宋体" w:hAnsi="宋体" w:eastAsia="宋体" w:cs="宋体"/>
          <w:color w:val="auto"/>
          <w:sz w:val="21"/>
          <w:szCs w:val="21"/>
          <w:highlight w:val="none"/>
          <w:lang w:val="zh-CN"/>
        </w:rPr>
        <w:t>综合得分＝商务技术文件得分＋投标报价得分。</w:t>
      </w:r>
    </w:p>
    <w:p w14:paraId="1B236E1B">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三、在最大限度地满足磋商文件实质性要求前提下，</w:t>
      </w:r>
      <w:r>
        <w:rPr>
          <w:rFonts w:hint="eastAsia" w:ascii="宋体" w:hAnsi="宋体" w:eastAsia="宋体" w:cs="宋体"/>
          <w:color w:val="auto"/>
          <w:sz w:val="21"/>
          <w:szCs w:val="21"/>
          <w:highlight w:val="none"/>
        </w:rPr>
        <w:t>磋商小组</w:t>
      </w:r>
      <w:r>
        <w:rPr>
          <w:rFonts w:hint="eastAsia" w:ascii="宋体" w:hAnsi="宋体" w:eastAsia="宋体" w:cs="宋体"/>
          <w:color w:val="auto"/>
          <w:sz w:val="21"/>
          <w:szCs w:val="21"/>
          <w:highlight w:val="none"/>
          <w:lang w:val="zh-CN"/>
        </w:rPr>
        <w:t>按照磋商文件中规定的各项因素进行综合评审后，以评审总得分最高的供应商为第一成交候选供应商，评审总得分次高的供应商为第二成交候选供应商，评审总得分第三高的为第三成交候选供应商。</w:t>
      </w:r>
    </w:p>
    <w:p w14:paraId="1FF27C69">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四、如综合得分相同，最后报价低者为先；如综合得分且最后报价相同的，以</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得分较高者为先，</w:t>
      </w:r>
      <w:r>
        <w:rPr>
          <w:rFonts w:hint="eastAsia" w:ascii="宋体" w:hAnsi="宋体" w:eastAsia="宋体" w:cs="宋体"/>
          <w:color w:val="auto"/>
          <w:sz w:val="21"/>
          <w:szCs w:val="21"/>
          <w:highlight w:val="none"/>
          <w:lang w:val="en-US" w:eastAsia="zh-CN"/>
        </w:rPr>
        <w:t>商务分</w:t>
      </w:r>
      <w:r>
        <w:rPr>
          <w:rFonts w:hint="eastAsia" w:ascii="宋体" w:hAnsi="宋体" w:eastAsia="宋体" w:cs="宋体"/>
          <w:color w:val="auto"/>
          <w:sz w:val="21"/>
          <w:szCs w:val="21"/>
          <w:highlight w:val="none"/>
          <w:lang w:val="zh-CN"/>
        </w:rPr>
        <w:t>得分也相同的则抽签决定。</w:t>
      </w:r>
    </w:p>
    <w:p w14:paraId="20BD5C08">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textAlignment w:val="auto"/>
        <w:rPr>
          <w:rFonts w:hint="eastAsia"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五、</w:t>
      </w:r>
      <w:r>
        <w:rPr>
          <w:rFonts w:hint="eastAsia" w:ascii="宋体" w:hAnsi="宋体" w:eastAsia="宋体" w:cs="宋体"/>
          <w:color w:val="auto"/>
          <w:sz w:val="21"/>
          <w:szCs w:val="21"/>
          <w:highlight w:val="none"/>
          <w:lang w:val="zh-CN"/>
        </w:rPr>
        <w:t>中标候选人放弃中标、拒绝与采购人签订合同、因不可抗力提出不能履行合同的，采购人可以按照评审报告推荐的中标或者成交候选人名单排序，确定下一候选人为中标或者成交供应商，也可以重新开展政府采购活动。评标办法的解释权归招标人。</w:t>
      </w:r>
    </w:p>
    <w:p w14:paraId="27C8F42B">
      <w:pPr>
        <w:keepNext w:val="0"/>
        <w:keepLines w:val="0"/>
        <w:pageBreakBefore w:val="0"/>
        <w:widowControl w:val="0"/>
        <w:kinsoku/>
        <w:wordWrap w:val="0"/>
        <w:overflowPunct/>
        <w:topLinePunct w:val="0"/>
        <w:autoSpaceDE/>
        <w:autoSpaceDN/>
        <w:bidi w:val="0"/>
        <w:adjustRightInd/>
        <w:snapToGrid/>
        <w:spacing w:line="360" w:lineRule="auto"/>
        <w:ind w:right="0" w:firstLine="420" w:firstLineChars="200"/>
        <w:jc w:val="left"/>
        <w:textAlignment w:val="auto"/>
        <w:rPr>
          <w:rFonts w:hint="eastAsia" w:ascii="宋体" w:hAnsi="宋体" w:eastAsia="宋体" w:cs="宋体"/>
          <w:color w:val="auto"/>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kern w:val="0"/>
          <w:sz w:val="21"/>
          <w:szCs w:val="21"/>
          <w:highlight w:val="none"/>
        </w:rPr>
        <w:t>本次评分具体分值细化条款如下表：</w:t>
      </w:r>
    </w:p>
    <w:p w14:paraId="4C15E565">
      <w:pPr>
        <w:spacing w:line="300" w:lineRule="exact"/>
        <w:ind w:firstLine="422" w:firstLineChars="200"/>
        <w:jc w:val="center"/>
        <w:rPr>
          <w:rFonts w:hint="eastAsia" w:ascii="宋体" w:hAnsi="宋体" w:eastAsia="宋体" w:cs="宋体"/>
          <w:b/>
          <w:color w:val="auto"/>
          <w:szCs w:val="21"/>
          <w:highlight w:val="none"/>
        </w:rPr>
      </w:pPr>
      <w:r>
        <w:rPr>
          <w:rFonts w:hint="eastAsia" w:ascii="宋体" w:hAnsi="宋体" w:eastAsia="宋体" w:cs="宋体"/>
          <w:b/>
          <w:color w:val="auto"/>
          <w:szCs w:val="21"/>
          <w:highlight w:val="none"/>
        </w:rPr>
        <w:t>评标打分标准</w:t>
      </w:r>
    </w:p>
    <w:tbl>
      <w:tblPr>
        <w:tblStyle w:val="22"/>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6"/>
        <w:gridCol w:w="1277"/>
        <w:gridCol w:w="7031"/>
        <w:gridCol w:w="614"/>
      </w:tblGrid>
      <w:tr w14:paraId="27DD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273" w:type="dxa"/>
            <w:gridSpan w:val="2"/>
            <w:vAlign w:val="center"/>
          </w:tcPr>
          <w:p w14:paraId="52CEF92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031" w:type="dxa"/>
            <w:vAlign w:val="center"/>
          </w:tcPr>
          <w:p w14:paraId="55EB092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614" w:type="dxa"/>
            <w:vAlign w:val="center"/>
          </w:tcPr>
          <w:p w14:paraId="1BA583C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r>
      <w:tr w14:paraId="26907A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996" w:type="dxa"/>
            <w:vMerge w:val="restart"/>
            <w:vAlign w:val="center"/>
          </w:tcPr>
          <w:p w14:paraId="60D3666D">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61C77DD2">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17分</w:t>
            </w:r>
            <w:r>
              <w:rPr>
                <w:rFonts w:hint="eastAsia" w:asciiTheme="minorEastAsia" w:hAnsiTheme="minorEastAsia" w:eastAsiaTheme="minorEastAsia" w:cstheme="minorEastAsia"/>
                <w:color w:val="auto"/>
                <w:sz w:val="21"/>
                <w:szCs w:val="21"/>
                <w:highlight w:val="none"/>
                <w:lang w:eastAsia="zh-CN"/>
              </w:rPr>
              <w:t>）</w:t>
            </w:r>
          </w:p>
        </w:tc>
        <w:tc>
          <w:tcPr>
            <w:tcW w:w="1277" w:type="dxa"/>
            <w:vAlign w:val="center"/>
          </w:tcPr>
          <w:p w14:paraId="1581665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授课教练团队</w:t>
            </w:r>
          </w:p>
        </w:tc>
        <w:tc>
          <w:tcPr>
            <w:tcW w:w="7031" w:type="dxa"/>
            <w:vAlign w:val="center"/>
          </w:tcPr>
          <w:p w14:paraId="769ABE50">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授课教练团队中</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通过学科竞赛保送</w:t>
            </w:r>
            <w:r>
              <w:rPr>
                <w:rFonts w:hint="eastAsia" w:ascii="宋体" w:hAnsi="宋体" w:cs="宋体"/>
                <w:b w:val="0"/>
                <w:bCs w:val="0"/>
                <w:color w:val="auto"/>
                <w:kern w:val="0"/>
                <w:szCs w:val="21"/>
                <w:highlight w:val="none"/>
                <w:lang w:val="en-US" w:eastAsia="zh-CN"/>
              </w:rPr>
              <w:t>方式</w:t>
            </w:r>
            <w:r>
              <w:rPr>
                <w:rFonts w:hint="eastAsia" w:ascii="宋体" w:hAnsi="宋体" w:cs="宋体"/>
                <w:b w:val="0"/>
                <w:bCs w:val="0"/>
                <w:color w:val="auto"/>
                <w:kern w:val="0"/>
                <w:szCs w:val="21"/>
                <w:highlight w:val="none"/>
              </w:rPr>
              <w:t>入读北京大学</w:t>
            </w:r>
            <w:r>
              <w:rPr>
                <w:rFonts w:hint="eastAsia" w:ascii="宋体" w:hAnsi="宋体" w:cs="宋体"/>
                <w:b w:val="0"/>
                <w:bCs w:val="0"/>
                <w:color w:val="auto"/>
                <w:kern w:val="0"/>
                <w:szCs w:val="21"/>
                <w:highlight w:val="none"/>
                <w:lang w:val="en-US" w:eastAsia="zh-CN"/>
              </w:rPr>
              <w:t>或</w:t>
            </w:r>
            <w:r>
              <w:rPr>
                <w:rFonts w:hint="eastAsia" w:ascii="宋体" w:hAnsi="宋体" w:cs="宋体"/>
                <w:b w:val="0"/>
                <w:bCs w:val="0"/>
                <w:color w:val="auto"/>
                <w:kern w:val="0"/>
                <w:szCs w:val="21"/>
                <w:highlight w:val="none"/>
              </w:rPr>
              <w:t>清华大学相关学科学习者</w:t>
            </w:r>
            <w:r>
              <w:rPr>
                <w:rFonts w:hint="eastAsia" w:ascii="宋体" w:hAnsi="宋体" w:cs="宋体"/>
                <w:b w:val="0"/>
                <w:bCs w:val="0"/>
                <w:color w:val="auto"/>
                <w:kern w:val="0"/>
                <w:szCs w:val="21"/>
                <w:highlight w:val="none"/>
                <w:lang w:val="en-US" w:eastAsia="zh-CN"/>
              </w:rPr>
              <w:t>的，每提供1人得2分，本项最高得10分。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7275773C">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r>
      <w:tr w14:paraId="0869E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996" w:type="dxa"/>
            <w:vMerge w:val="continue"/>
            <w:vAlign w:val="center"/>
          </w:tcPr>
          <w:p w14:paraId="448B386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72925954">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项目组成员</w:t>
            </w:r>
          </w:p>
        </w:tc>
        <w:tc>
          <w:tcPr>
            <w:tcW w:w="7031" w:type="dxa"/>
            <w:vAlign w:val="center"/>
          </w:tcPr>
          <w:p w14:paraId="29E29F42">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拟投入本项目的项目组成员（</w:t>
            </w:r>
            <w:r>
              <w:rPr>
                <w:rFonts w:hint="eastAsia" w:asciiTheme="minorEastAsia" w:hAnsiTheme="minorEastAsia" w:eastAsiaTheme="minorEastAsia" w:cstheme="minorEastAsia"/>
                <w:color w:val="auto"/>
                <w:sz w:val="21"/>
                <w:szCs w:val="21"/>
                <w:highlight w:val="none"/>
                <w:lang w:val="en-US" w:eastAsia="zh-CN"/>
              </w:rPr>
              <w:t>授课教练团队除外</w:t>
            </w:r>
            <w:r>
              <w:rPr>
                <w:rFonts w:hint="eastAsia" w:asciiTheme="minorEastAsia" w:hAnsiTheme="minorEastAsia" w:eastAsiaTheme="minorEastAsia" w:cstheme="minorEastAsia"/>
                <w:b w:val="0"/>
                <w:bCs w:val="0"/>
                <w:color w:val="auto"/>
                <w:sz w:val="21"/>
                <w:szCs w:val="21"/>
                <w:highlight w:val="none"/>
                <w:lang w:val="en-US" w:eastAsia="zh-CN"/>
              </w:rPr>
              <w:t>）中具有国家级奥林匹克数学或物理或化学学科竞赛证书的，每</w:t>
            </w:r>
            <w:r>
              <w:rPr>
                <w:rFonts w:hint="eastAsia" w:ascii="宋体" w:hAnsi="宋体" w:cs="宋体"/>
                <w:b w:val="0"/>
                <w:bCs w:val="0"/>
                <w:color w:val="auto"/>
                <w:kern w:val="0"/>
                <w:szCs w:val="21"/>
                <w:highlight w:val="none"/>
                <w:lang w:val="en-US" w:eastAsia="zh-CN"/>
              </w:rPr>
              <w:t>提供1</w:t>
            </w:r>
            <w:r>
              <w:rPr>
                <w:rFonts w:hint="eastAsia" w:asciiTheme="minorEastAsia" w:hAnsiTheme="minorEastAsia" w:eastAsiaTheme="minorEastAsia" w:cstheme="minorEastAsia"/>
                <w:b w:val="0"/>
                <w:bCs w:val="0"/>
                <w:color w:val="auto"/>
                <w:sz w:val="21"/>
                <w:szCs w:val="21"/>
                <w:highlight w:val="none"/>
                <w:lang w:val="en-US" w:eastAsia="zh-CN"/>
              </w:rPr>
              <w:t>人得2分，本项最高得6分。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相关证书扫描件并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106581B3">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r>
      <w:tr w14:paraId="56F287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996" w:type="dxa"/>
            <w:vMerge w:val="continue"/>
            <w:vAlign w:val="center"/>
          </w:tcPr>
          <w:p w14:paraId="7B578C4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54622D2B">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Style w:val="56"/>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031" w:type="dxa"/>
            <w:vAlign w:val="center"/>
          </w:tcPr>
          <w:p w14:paraId="1CDF954F">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s="宋体"/>
                <w:color w:val="auto"/>
                <w:highlight w:val="none"/>
              </w:rPr>
              <w:t>自20</w:t>
            </w:r>
            <w:r>
              <w:rPr>
                <w:rFonts w:hint="eastAsia" w:ascii="宋体" w:hAnsi="宋体" w:cs="宋体"/>
                <w:color w:val="auto"/>
                <w:highlight w:val="none"/>
                <w:lang w:val="en-US" w:eastAsia="zh-CN"/>
              </w:rPr>
              <w:t>22</w:t>
            </w:r>
            <w:r>
              <w:rPr>
                <w:rFonts w:hint="eastAsia" w:ascii="宋体" w:hAnsi="宋体" w:cs="宋体"/>
                <w:color w:val="auto"/>
                <w:highlight w:val="none"/>
              </w:rPr>
              <w:t>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Theme="minorEastAsia" w:hAnsiTheme="minorEastAsia" w:eastAsiaTheme="minorEastAsia" w:cstheme="minorEastAsia"/>
                <w:color w:val="auto"/>
                <w:sz w:val="21"/>
                <w:szCs w:val="21"/>
                <w:highlight w:val="none"/>
                <w:lang w:val="en-US" w:eastAsia="zh-CN"/>
              </w:rPr>
              <w:t>承接过类似项目业绩的，每提供1个得0.5分。本项最高得1分。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合同扫描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614" w:type="dxa"/>
            <w:vAlign w:val="center"/>
          </w:tcPr>
          <w:p w14:paraId="21D8ED4C">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r>
      <w:tr w14:paraId="773D5A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restart"/>
            <w:vAlign w:val="center"/>
          </w:tcPr>
          <w:p w14:paraId="20E0425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B6EB3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17897B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63D48A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1EFD298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46CF8FF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1E4831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42C4FD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F85563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25909E5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4856E0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E485B7E">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73分</w:t>
            </w:r>
            <w:r>
              <w:rPr>
                <w:rFonts w:hint="eastAsia" w:asciiTheme="minorEastAsia" w:hAnsiTheme="minorEastAsia" w:eastAsiaTheme="minorEastAsia" w:cstheme="minorEastAsia"/>
                <w:color w:val="auto"/>
                <w:sz w:val="21"/>
                <w:szCs w:val="21"/>
                <w:highlight w:val="none"/>
                <w:lang w:eastAsia="zh-CN"/>
              </w:rPr>
              <w:t>）</w:t>
            </w:r>
          </w:p>
          <w:p w14:paraId="5998035B">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277" w:type="dxa"/>
            <w:vAlign w:val="center"/>
          </w:tcPr>
          <w:p w14:paraId="02FA9456">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7031" w:type="dxa"/>
            <w:vAlign w:val="center"/>
          </w:tcPr>
          <w:p w14:paraId="24913F2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zh-CN"/>
              </w:rPr>
            </w:pPr>
            <w:r>
              <w:rPr>
                <w:rFonts w:hint="eastAsia" w:ascii="Times New Roman" w:hAnsi="宋体" w:cs="宋体"/>
                <w:color w:val="auto"/>
                <w:sz w:val="21"/>
                <w:szCs w:val="21"/>
                <w:highlight w:val="none"/>
              </w:rPr>
              <w:t>根据投标人对</w:t>
            </w:r>
            <w:r>
              <w:rPr>
                <w:rFonts w:hint="eastAsia" w:ascii="Times New Roman" w:hAnsi="宋体" w:cs="宋体"/>
                <w:color w:val="auto"/>
                <w:sz w:val="21"/>
                <w:szCs w:val="21"/>
                <w:highlight w:val="none"/>
                <w:lang w:eastAsia="zh-CN"/>
              </w:rPr>
              <w:t>台州市第一</w:t>
            </w:r>
            <w:r>
              <w:rPr>
                <w:rFonts w:hint="eastAsia" w:ascii="Times New Roman" w:hAnsi="宋体" w:cs="宋体"/>
                <w:color w:val="auto"/>
                <w:sz w:val="21"/>
                <w:szCs w:val="21"/>
                <w:highlight w:val="none"/>
              </w:rPr>
              <w:t>中学</w:t>
            </w:r>
            <w:r>
              <w:rPr>
                <w:rFonts w:hint="eastAsia" w:ascii="Times New Roman" w:hAnsi="宋体" w:cs="宋体"/>
                <w:color w:val="auto"/>
                <w:sz w:val="21"/>
                <w:szCs w:val="21"/>
                <w:highlight w:val="none"/>
                <w:lang w:eastAsia="zh-CN"/>
              </w:rPr>
              <w:t>学科竞赛</w:t>
            </w:r>
            <w:r>
              <w:rPr>
                <w:rFonts w:hint="eastAsia" w:ascii="Times New Roman" w:hAnsi="宋体" w:cs="宋体"/>
                <w:color w:val="auto"/>
                <w:sz w:val="21"/>
                <w:szCs w:val="21"/>
                <w:highlight w:val="none"/>
              </w:rPr>
              <w:t>教学、</w:t>
            </w:r>
            <w:r>
              <w:rPr>
                <w:rFonts w:hint="eastAsia" w:hAnsi="宋体" w:cs="宋体"/>
                <w:color w:val="auto"/>
                <w:sz w:val="21"/>
                <w:szCs w:val="21"/>
                <w:highlight w:val="none"/>
                <w:lang w:val="en-US" w:eastAsia="zh-CN"/>
              </w:rPr>
              <w:t>拔尖人才早期</w:t>
            </w:r>
            <w:r>
              <w:rPr>
                <w:rFonts w:hint="eastAsia" w:ascii="Times New Roman" w:hAnsi="宋体" w:cs="宋体"/>
                <w:color w:val="auto"/>
                <w:sz w:val="21"/>
                <w:szCs w:val="21"/>
                <w:highlight w:val="none"/>
                <w:lang w:eastAsia="zh-CN"/>
              </w:rPr>
              <w:t>培养</w:t>
            </w:r>
            <w:r>
              <w:rPr>
                <w:rFonts w:hint="eastAsia" w:ascii="Times New Roman" w:hAnsi="宋体" w:cs="宋体"/>
                <w:color w:val="auto"/>
                <w:sz w:val="21"/>
                <w:szCs w:val="21"/>
                <w:highlight w:val="none"/>
              </w:rPr>
              <w:t>方式等方面情况的熟悉程度进行打分</w:t>
            </w:r>
            <w:r>
              <w:rPr>
                <w:rFonts w:hint="eastAsia" w:ascii="Times New Roman" w:hAnsi="宋体" w:cs="宋体"/>
                <w:color w:val="auto"/>
                <w:sz w:val="21"/>
                <w:szCs w:val="21"/>
                <w:highlight w:val="none"/>
                <w:lang w:val="zh-CN"/>
              </w:rPr>
              <w:t>。</w:t>
            </w:r>
          </w:p>
          <w:p w14:paraId="0032816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调查分析全面，符合实际</w:t>
            </w:r>
            <w:r>
              <w:rPr>
                <w:rFonts w:hint="eastAsia" w:asciiTheme="minorEastAsia" w:hAnsiTheme="minorEastAsia" w:eastAsiaTheme="minorEastAsia" w:cstheme="minorEastAsia"/>
                <w:color w:val="auto"/>
                <w:sz w:val="21"/>
                <w:szCs w:val="21"/>
                <w:highlight w:val="none"/>
              </w:rPr>
              <w:t>情况的得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8CC5F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调查分析较全面，基本符合实际情况的得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48718F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调查分析简单的得1分；</w:t>
            </w:r>
          </w:p>
          <w:p w14:paraId="727C037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新宋体"/>
                <w:b w:val="0"/>
                <w:color w:val="auto"/>
                <w:kern w:val="2"/>
                <w:sz w:val="21"/>
                <w:szCs w:val="21"/>
                <w:highlight w:val="none"/>
                <w:lang w:val="en-US" w:eastAsia="zh-CN" w:bidi="ar-SA"/>
              </w:rPr>
            </w:pPr>
            <w:r>
              <w:rPr>
                <w:rFonts w:hint="eastAsia" w:ascii="Times New Roman" w:hAnsi="宋体" w:cs="宋体"/>
                <w:color w:val="auto"/>
                <w:sz w:val="21"/>
                <w:szCs w:val="21"/>
                <w:highlight w:val="none"/>
              </w:rPr>
              <w:t>未提及此项</w:t>
            </w:r>
            <w:r>
              <w:rPr>
                <w:rFonts w:hint="eastAsia" w:ascii="华文仿宋" w:hAnsi="华文仿宋" w:eastAsia="宋体" w:cs="新宋体"/>
                <w:b w:val="0"/>
                <w:color w:val="auto"/>
                <w:sz w:val="21"/>
                <w:szCs w:val="20"/>
                <w:highlight w:val="none"/>
              </w:rPr>
              <w:t>不得分。</w:t>
            </w:r>
          </w:p>
        </w:tc>
        <w:tc>
          <w:tcPr>
            <w:tcW w:w="614" w:type="dxa"/>
            <w:vAlign w:val="center"/>
          </w:tcPr>
          <w:p w14:paraId="33CFFFEC">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5</w:t>
            </w:r>
          </w:p>
        </w:tc>
      </w:tr>
      <w:tr w14:paraId="49E79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996" w:type="dxa"/>
            <w:vMerge w:val="continue"/>
            <w:vAlign w:val="center"/>
          </w:tcPr>
          <w:p w14:paraId="5D1223C3">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restart"/>
            <w:vAlign w:val="center"/>
          </w:tcPr>
          <w:p w14:paraId="76085728">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sz w:val="21"/>
                <w:szCs w:val="21"/>
                <w:highlight w:val="none"/>
                <w:lang w:val="en-US" w:eastAsia="zh-CN"/>
              </w:rPr>
              <w:t>项目方案</w:t>
            </w:r>
          </w:p>
        </w:tc>
        <w:tc>
          <w:tcPr>
            <w:tcW w:w="7031" w:type="dxa"/>
            <w:vAlign w:val="center"/>
          </w:tcPr>
          <w:p w14:paraId="5312B1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rPr>
            </w:pPr>
            <w:r>
              <w:rPr>
                <w:rFonts w:hint="eastAsia" w:ascii="Times New Roman" w:hAnsi="宋体" w:cs="宋体"/>
                <w:b/>
                <w:bCs/>
                <w:color w:val="auto"/>
                <w:sz w:val="21"/>
                <w:szCs w:val="21"/>
                <w:highlight w:val="none"/>
              </w:rPr>
              <w:t>项目总体方案：</w:t>
            </w:r>
            <w:r>
              <w:rPr>
                <w:rFonts w:hint="eastAsia" w:ascii="Times New Roman" w:hAnsi="宋体" w:cs="宋体"/>
                <w:color w:val="auto"/>
                <w:sz w:val="21"/>
                <w:szCs w:val="21"/>
                <w:highlight w:val="none"/>
              </w:rPr>
              <w:t>根据</w:t>
            </w:r>
            <w:r>
              <w:rPr>
                <w:rFonts w:hint="eastAsia" w:ascii="Times New Roman" w:hAnsi="宋体" w:cs="宋体"/>
                <w:color w:val="auto"/>
                <w:sz w:val="21"/>
                <w:szCs w:val="21"/>
                <w:highlight w:val="none"/>
                <w:lang w:val="en-US" w:eastAsia="zh-CN"/>
              </w:rPr>
              <w:t>投标人</w:t>
            </w:r>
            <w:r>
              <w:rPr>
                <w:rFonts w:hint="eastAsia" w:ascii="Times New Roman" w:hAnsi="宋体" w:cs="宋体"/>
                <w:color w:val="auto"/>
                <w:sz w:val="21"/>
                <w:szCs w:val="21"/>
                <w:highlight w:val="none"/>
              </w:rPr>
              <w:t>针对本服务项目总体方案的总体思路</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对本项目总体要求的理解</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项目总体实施方案是否结合地域特点等</w:t>
            </w:r>
            <w:r>
              <w:rPr>
                <w:rFonts w:hint="eastAsia" w:ascii="Times New Roman" w:hAnsi="宋体" w:cs="宋体"/>
                <w:color w:val="auto"/>
                <w:sz w:val="21"/>
                <w:szCs w:val="21"/>
                <w:highlight w:val="none"/>
                <w:lang w:val="en-US" w:eastAsia="zh-CN"/>
              </w:rPr>
              <w:t>进行</w:t>
            </w:r>
            <w:r>
              <w:rPr>
                <w:rFonts w:hint="eastAsia" w:ascii="Times New Roman" w:hAnsi="宋体" w:cs="宋体"/>
                <w:color w:val="auto"/>
                <w:sz w:val="21"/>
                <w:szCs w:val="21"/>
                <w:highlight w:val="none"/>
              </w:rPr>
              <w:t>打分。</w:t>
            </w:r>
          </w:p>
          <w:p w14:paraId="070E44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asciiTheme="minorEastAsia" w:hAnsiTheme="minorEastAsia" w:eastAsiaTheme="minorEastAsia" w:cstheme="minorEastAsia"/>
                <w:color w:val="auto"/>
                <w:sz w:val="21"/>
                <w:szCs w:val="21"/>
                <w:highlight w:val="none"/>
              </w:rPr>
              <w:t>全面，思路明确，并有针对性的得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5551BE7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全面，思路</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明确，针对性</w:t>
            </w:r>
            <w:r>
              <w:rPr>
                <w:rFonts w:hint="eastAsia" w:asciiTheme="minorEastAsia" w:hAnsiTheme="minorEastAsia" w:eastAsiaTheme="minorEastAsia" w:cstheme="minorEastAsia"/>
                <w:color w:val="auto"/>
                <w:sz w:val="21"/>
                <w:szCs w:val="21"/>
                <w:highlight w:val="none"/>
                <w:lang w:val="en-US" w:eastAsia="zh-CN"/>
              </w:rPr>
              <w:t>比较强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2909297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方案内容简单，内容不完整但基本能保障的得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98C01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方案内容片面，不能保障项目服务质量的得1分；</w:t>
            </w:r>
          </w:p>
          <w:p w14:paraId="42B8CF8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C6BA172">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r>
      <w:tr w14:paraId="21B09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4792D59B">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5AC9478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7031" w:type="dxa"/>
            <w:vAlign w:val="center"/>
          </w:tcPr>
          <w:p w14:paraId="43661C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数学竞赛预备课程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58D33AE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01468CC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14FB7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0EC7F9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E9BCF6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6837DCD7">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r>
      <w:tr w14:paraId="01176D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996" w:type="dxa"/>
            <w:vMerge w:val="continue"/>
            <w:vAlign w:val="center"/>
          </w:tcPr>
          <w:p w14:paraId="0893B4A9">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57BCD9D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新宋体"/>
                <w:b w:val="0"/>
                <w:bCs w:val="0"/>
                <w:color w:val="auto"/>
                <w:kern w:val="2"/>
                <w:sz w:val="21"/>
                <w:szCs w:val="21"/>
                <w:highlight w:val="none"/>
                <w:lang w:val="en-US" w:eastAsia="zh-CN" w:bidi="ar-SA"/>
              </w:rPr>
            </w:pPr>
          </w:p>
        </w:tc>
        <w:tc>
          <w:tcPr>
            <w:tcW w:w="7031" w:type="dxa"/>
            <w:vAlign w:val="center"/>
          </w:tcPr>
          <w:p w14:paraId="596C8FE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物理竞赛预备课程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4214232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44B7D2B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85826F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737E305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4C18C4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5DD321A">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r>
      <w:tr w14:paraId="1E003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562EB88A">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070BC556">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4A4A37C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化学</w:t>
            </w:r>
            <w:r>
              <w:rPr>
                <w:rFonts w:hint="eastAsia" w:asciiTheme="minorEastAsia" w:hAnsiTheme="minorEastAsia" w:eastAsiaTheme="minorEastAsia" w:cstheme="minorEastAsia"/>
                <w:b/>
                <w:bCs/>
                <w:color w:val="auto"/>
                <w:sz w:val="21"/>
                <w:szCs w:val="21"/>
                <w:highlight w:val="none"/>
              </w:rPr>
              <w:t>竞赛课程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6D338FD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725FFB1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B93AFB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166B64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05F224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3FEFDEC8">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r>
      <w:tr w14:paraId="1BA015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D122E77">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0CD2F514">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2696540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题课包</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65D565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233E89D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5749683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A4687E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131106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26A99E34">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r>
      <w:tr w14:paraId="45F87C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271B5739">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44439C3C">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7CBF901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集训营</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0A471E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5ADB090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100251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585076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2F125FD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334BD243">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r>
      <w:tr w14:paraId="6785C2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77B6AF41">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743B9849">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31" w:type="dxa"/>
            <w:vAlign w:val="center"/>
          </w:tcPr>
          <w:p w14:paraId="17D48E4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其他增值项目</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30D52B7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6988A71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6016765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521E12D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8A753D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BF66D16">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r>
      <w:tr w14:paraId="1AEE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996" w:type="dxa"/>
            <w:vMerge w:val="continue"/>
            <w:vAlign w:val="center"/>
          </w:tcPr>
          <w:p w14:paraId="704C5EBA">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3387CBF1">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合理化建议</w:t>
            </w:r>
          </w:p>
        </w:tc>
        <w:tc>
          <w:tcPr>
            <w:tcW w:w="7031" w:type="dxa"/>
            <w:vAlign w:val="center"/>
          </w:tcPr>
          <w:p w14:paraId="1EE7CA1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提供的合理化建议内容</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14:paraId="619B3A6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有针对性，对项目开展有帮助的得5分；</w:t>
            </w:r>
          </w:p>
          <w:p w14:paraId="6C23F0A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针对性一般，对项目开展帮助程度一般的得3分；</w:t>
            </w:r>
          </w:p>
          <w:p w14:paraId="7569BDE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合理化建议内容简单片面，缺乏针对性的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1A76C21">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54751BF4">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w:t>
            </w:r>
          </w:p>
        </w:tc>
      </w:tr>
      <w:tr w14:paraId="045128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0346091C">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restart"/>
            <w:vAlign w:val="center"/>
          </w:tcPr>
          <w:p w14:paraId="3956879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项目质量保证措施</w:t>
            </w:r>
          </w:p>
        </w:tc>
        <w:tc>
          <w:tcPr>
            <w:tcW w:w="7031" w:type="dxa"/>
            <w:vAlign w:val="center"/>
          </w:tcPr>
          <w:p w14:paraId="66EA55C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根据投标人对</w:t>
            </w:r>
            <w:r>
              <w:rPr>
                <w:rFonts w:hint="eastAsia" w:asciiTheme="minorEastAsia" w:hAnsiTheme="minorEastAsia" w:eastAsiaTheme="minorEastAsia" w:cstheme="minorEastAsia"/>
                <w:color w:val="auto"/>
                <w:sz w:val="21"/>
                <w:szCs w:val="21"/>
                <w:highlight w:val="none"/>
                <w:lang w:val="en-US" w:eastAsia="zh-CN"/>
              </w:rPr>
              <w:t>项目投入人员</w:t>
            </w:r>
            <w:r>
              <w:rPr>
                <w:rFonts w:hint="eastAsia" w:asciiTheme="minorEastAsia" w:hAnsiTheme="minorEastAsia" w:eastAsiaTheme="minorEastAsia" w:cstheme="minorEastAsia"/>
                <w:color w:val="auto"/>
                <w:sz w:val="21"/>
                <w:szCs w:val="21"/>
                <w:highlight w:val="none"/>
              </w:rPr>
              <w:t>监督、考核的措施是否全面、完整，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717E3B5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全面可行，能有效保障项目服务质量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52226B5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基本全面可行，基本有效保障项目服务质量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7DFFB2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不甚可行，项目服务质量保障有所欠缺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F1155B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694B2624">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5</w:t>
            </w:r>
          </w:p>
        </w:tc>
      </w:tr>
      <w:tr w14:paraId="08C0D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996" w:type="dxa"/>
            <w:vMerge w:val="continue"/>
            <w:vAlign w:val="center"/>
          </w:tcPr>
          <w:p w14:paraId="67D4F7EE">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277" w:type="dxa"/>
            <w:vMerge w:val="continue"/>
            <w:vAlign w:val="center"/>
          </w:tcPr>
          <w:p w14:paraId="18202DC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p>
        </w:tc>
        <w:tc>
          <w:tcPr>
            <w:tcW w:w="7031" w:type="dxa"/>
            <w:vAlign w:val="center"/>
          </w:tcPr>
          <w:p w14:paraId="70AE617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根据投标人对项目实施的</w:t>
            </w:r>
            <w:r>
              <w:rPr>
                <w:rFonts w:hint="eastAsia" w:asciiTheme="minorEastAsia" w:hAnsiTheme="minorEastAsia" w:eastAsiaTheme="minorEastAsia" w:cstheme="minorEastAsia"/>
                <w:color w:val="auto"/>
                <w:sz w:val="21"/>
                <w:szCs w:val="21"/>
                <w:highlight w:val="none"/>
                <w:lang w:val="en-US" w:eastAsia="zh-CN"/>
              </w:rPr>
              <w:t>验收计划</w:t>
            </w:r>
            <w:r>
              <w:rPr>
                <w:rFonts w:hint="eastAsia" w:asciiTheme="minorEastAsia" w:hAnsiTheme="minorEastAsia" w:eastAsiaTheme="minorEastAsia" w:cstheme="minorEastAsia"/>
                <w:color w:val="auto"/>
                <w:sz w:val="21"/>
                <w:szCs w:val="21"/>
                <w:highlight w:val="none"/>
              </w:rPr>
              <w:t>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44AA947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验收计划全面，有效保障并有针对性的得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3D2E94C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验收计划简单，基本有保障的得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25FDE84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验收计划仅简单提及的得1分；</w:t>
            </w:r>
          </w:p>
          <w:p w14:paraId="15B6E4E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1BA0BA7E">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r>
      <w:tr w14:paraId="3A0633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996" w:type="dxa"/>
            <w:vMerge w:val="continue"/>
            <w:vAlign w:val="center"/>
          </w:tcPr>
          <w:p w14:paraId="7E789C48">
            <w:pPr>
              <w:pStyle w:val="9"/>
              <w:keepNext w:val="0"/>
              <w:keepLines w:val="0"/>
              <w:pageBreakBefore w:val="0"/>
              <w:widowControl/>
              <w:kinsoku/>
              <w:wordWrap/>
              <w:overflowPunct/>
              <w:topLinePunct w:val="0"/>
              <w:autoSpaceDE/>
              <w:autoSpaceDN/>
              <w:bidi w:val="0"/>
              <w:adjustRightInd/>
              <w:snapToGrid/>
              <w:spacing w:line="240" w:lineRule="auto"/>
              <w:ind w:left="5250" w:firstLine="0" w:firstLineChars="0"/>
              <w:textAlignment w:val="auto"/>
              <w:rPr>
                <w:rFonts w:hint="eastAsia" w:asciiTheme="minorEastAsia" w:hAnsiTheme="minorEastAsia" w:eastAsiaTheme="minorEastAsia" w:cstheme="minorEastAsia"/>
                <w:color w:val="auto"/>
                <w:sz w:val="21"/>
                <w:szCs w:val="21"/>
                <w:highlight w:val="none"/>
              </w:rPr>
            </w:pPr>
          </w:p>
        </w:tc>
        <w:tc>
          <w:tcPr>
            <w:tcW w:w="1277" w:type="dxa"/>
            <w:vAlign w:val="center"/>
          </w:tcPr>
          <w:p w14:paraId="639498D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售后服务</w:t>
            </w:r>
          </w:p>
        </w:tc>
        <w:tc>
          <w:tcPr>
            <w:tcW w:w="7031" w:type="dxa"/>
            <w:vAlign w:val="center"/>
          </w:tcPr>
          <w:p w14:paraId="6705F77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根据投标人对本项目承诺的售后服务方案（包括后续技术支持、服务承诺及响应情况）进行打分。</w:t>
            </w:r>
          </w:p>
          <w:p w14:paraId="50793F3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提供的优惠条件后续技术力量有利于项目实施、服务承诺切实有效的得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627E4FF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w:t>
            </w:r>
            <w:r>
              <w:rPr>
                <w:rFonts w:hint="eastAsia" w:asciiTheme="minorEastAsia" w:hAnsiTheme="minorEastAsia" w:eastAsiaTheme="minorEastAsia" w:cstheme="minorEastAsia"/>
                <w:color w:val="auto"/>
                <w:sz w:val="21"/>
                <w:szCs w:val="21"/>
                <w:highlight w:val="none"/>
                <w:lang w:val="en-US" w:eastAsia="zh-CN"/>
              </w:rPr>
              <w:t>基本保障</w:t>
            </w:r>
            <w:r>
              <w:rPr>
                <w:rFonts w:hint="eastAsia" w:asciiTheme="minorEastAsia" w:hAnsiTheme="minorEastAsia" w:eastAsiaTheme="minorEastAsia" w:cstheme="minorEastAsia"/>
                <w:color w:val="auto"/>
                <w:sz w:val="21"/>
                <w:szCs w:val="21"/>
                <w:highlight w:val="none"/>
              </w:rPr>
              <w:t>项目实施、服务承诺</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切实有效的得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4EAF78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提供的服务承诺片面，项目实施</w:t>
            </w:r>
            <w:r>
              <w:rPr>
                <w:rFonts w:hint="eastAsia" w:asciiTheme="minorEastAsia" w:hAnsiTheme="minorEastAsia" w:eastAsiaTheme="minorEastAsia" w:cstheme="minorEastAsia"/>
                <w:color w:val="auto"/>
                <w:sz w:val="21"/>
                <w:szCs w:val="21"/>
                <w:highlight w:val="none"/>
                <w:lang w:val="en-US" w:eastAsia="zh-CN"/>
              </w:rPr>
              <w:t>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759C7AC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614" w:type="dxa"/>
            <w:vAlign w:val="center"/>
          </w:tcPr>
          <w:p w14:paraId="4063C0C7">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5</w:t>
            </w:r>
          </w:p>
        </w:tc>
      </w:tr>
      <w:tr w14:paraId="757E4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2273" w:type="dxa"/>
            <w:gridSpan w:val="2"/>
            <w:vAlign w:val="center"/>
          </w:tcPr>
          <w:p w14:paraId="7DD16744">
            <w:pPr>
              <w:keepNext w:val="0"/>
              <w:keepLines w:val="0"/>
              <w:pageBreakBefore w:val="0"/>
              <w:widowControl/>
              <w:kinsoku/>
              <w:wordWrap/>
              <w:overflowPunct/>
              <w:topLinePunct w:val="0"/>
              <w:autoSpaceDE/>
              <w:autoSpaceDN/>
              <w:bidi w:val="0"/>
              <w:adjustRightInd/>
              <w:snapToGrid/>
              <w:spacing w:line="240" w:lineRule="auto"/>
              <w:jc w:val="center"/>
              <w:textAlignment w:val="auto"/>
              <w:rPr>
                <w:rStyle w:val="56"/>
                <w:rFonts w:hint="eastAsia" w:asciiTheme="minorEastAsia" w:hAnsiTheme="minorEastAsia" w:eastAsiaTheme="minorEastAsia" w:cstheme="minorEastAsia"/>
                <w:color w:val="auto"/>
                <w:kern w:val="0"/>
                <w:sz w:val="21"/>
                <w:szCs w:val="21"/>
                <w:highlight w:val="none"/>
              </w:rPr>
            </w:pPr>
            <w:r>
              <w:rPr>
                <w:rStyle w:val="56"/>
                <w:rFonts w:hint="eastAsia" w:asciiTheme="minorEastAsia" w:hAnsiTheme="minorEastAsia" w:eastAsiaTheme="minorEastAsia" w:cstheme="minorEastAsia"/>
                <w:color w:val="auto"/>
                <w:kern w:val="0"/>
                <w:sz w:val="21"/>
                <w:szCs w:val="21"/>
                <w:highlight w:val="none"/>
              </w:rPr>
              <w:t>价格</w:t>
            </w:r>
          </w:p>
          <w:p w14:paraId="2206C52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0"/>
                <w:sz w:val="21"/>
                <w:szCs w:val="21"/>
                <w:highlight w:val="none"/>
              </w:rPr>
            </w:pPr>
            <w:r>
              <w:rPr>
                <w:rStyle w:val="56"/>
                <w:rFonts w:hint="eastAsia" w:asciiTheme="minorEastAsia" w:hAnsiTheme="minorEastAsia" w:eastAsiaTheme="minorEastAsia" w:cstheme="minorEastAsia"/>
                <w:color w:val="auto"/>
                <w:kern w:val="0"/>
                <w:sz w:val="21"/>
                <w:szCs w:val="21"/>
                <w:highlight w:val="none"/>
              </w:rPr>
              <w:t>（</w:t>
            </w:r>
            <w:r>
              <w:rPr>
                <w:rStyle w:val="56"/>
                <w:rFonts w:hint="eastAsia" w:asciiTheme="minorEastAsia" w:hAnsiTheme="minorEastAsia" w:eastAsiaTheme="minorEastAsia" w:cstheme="minorEastAsia"/>
                <w:color w:val="auto"/>
                <w:kern w:val="0"/>
                <w:sz w:val="21"/>
                <w:szCs w:val="21"/>
                <w:highlight w:val="none"/>
                <w:lang w:val="en-US" w:eastAsia="zh-CN"/>
              </w:rPr>
              <w:t>10</w:t>
            </w:r>
            <w:r>
              <w:rPr>
                <w:rStyle w:val="56"/>
                <w:rFonts w:hint="eastAsia" w:asciiTheme="minorEastAsia" w:hAnsiTheme="minorEastAsia" w:eastAsiaTheme="minorEastAsia" w:cstheme="minorEastAsia"/>
                <w:color w:val="auto"/>
                <w:kern w:val="0"/>
                <w:sz w:val="21"/>
                <w:szCs w:val="21"/>
                <w:highlight w:val="none"/>
              </w:rPr>
              <w:t>分）</w:t>
            </w:r>
          </w:p>
        </w:tc>
        <w:tc>
          <w:tcPr>
            <w:tcW w:w="7031" w:type="dxa"/>
            <w:vAlign w:val="center"/>
          </w:tcPr>
          <w:p w14:paraId="16B68AF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zh-CN"/>
              </w:rPr>
            </w:pPr>
            <w:r>
              <w:rPr>
                <w:rFonts w:hint="eastAsia" w:asciiTheme="minorEastAsia" w:hAnsiTheme="minorEastAsia" w:eastAsiaTheme="minorEastAsia" w:cstheme="minorEastAsia"/>
                <w:color w:val="auto"/>
                <w:sz w:val="21"/>
                <w:szCs w:val="21"/>
                <w:highlight w:val="none"/>
              </w:rPr>
              <w:t>取投标合格供应商的投标最终报价最低价</w:t>
            </w:r>
            <w:r>
              <w:rPr>
                <w:rFonts w:hint="eastAsia" w:asciiTheme="minorEastAsia" w:hAnsiTheme="minorEastAsia" w:eastAsiaTheme="minorEastAsia" w:cstheme="minorEastAsia"/>
                <w:color w:val="auto"/>
                <w:sz w:val="21"/>
                <w:szCs w:val="21"/>
                <w:highlight w:val="none"/>
                <w:lang w:val="zh-CN"/>
              </w:rPr>
              <w:t>为评标基准价，</w:t>
            </w:r>
            <w:r>
              <w:rPr>
                <w:rFonts w:hint="eastAsia" w:asciiTheme="minorEastAsia" w:hAnsiTheme="minorEastAsia" w:eastAsiaTheme="minorEastAsia" w:cstheme="minorEastAsia"/>
                <w:color w:val="auto"/>
                <w:sz w:val="21"/>
                <w:szCs w:val="21"/>
                <w:highlight w:val="none"/>
              </w:rPr>
              <w:t>基准价为</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val="zh-CN"/>
              </w:rPr>
              <w:t>。</w:t>
            </w:r>
          </w:p>
          <w:p w14:paraId="0D41114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pacing w:val="-4"/>
                <w:kern w:val="0"/>
                <w:sz w:val="21"/>
                <w:szCs w:val="21"/>
                <w:highlight w:val="none"/>
              </w:rPr>
            </w:pPr>
            <w:r>
              <w:rPr>
                <w:rFonts w:hint="eastAsia" w:asciiTheme="minorEastAsia" w:hAnsiTheme="minorEastAsia" w:eastAsiaTheme="minorEastAsia" w:cstheme="minorEastAsia"/>
                <w:color w:val="auto"/>
                <w:sz w:val="21"/>
                <w:szCs w:val="21"/>
                <w:highlight w:val="none"/>
                <w:lang w:val="zh-CN"/>
              </w:rPr>
              <w:t>投标报价得分=(评标基准价／投标报价)×</w:t>
            </w:r>
            <w:r>
              <w:rPr>
                <w:rFonts w:hint="eastAsia" w:asciiTheme="minorEastAsia" w:hAnsiTheme="minorEastAsia" w:eastAsiaTheme="minorEastAsia" w:cstheme="minorEastAsia"/>
                <w:color w:val="auto"/>
                <w:sz w:val="21"/>
                <w:szCs w:val="21"/>
                <w:highlight w:val="none"/>
                <w:lang w:val="en-US" w:eastAsia="zh-CN"/>
              </w:rPr>
              <w:t>10</w:t>
            </w:r>
            <w:r>
              <w:rPr>
                <w:rFonts w:hint="eastAsia" w:asciiTheme="minorEastAsia" w:hAnsiTheme="minorEastAsia" w:eastAsiaTheme="minorEastAsia" w:cstheme="minorEastAsia"/>
                <w:color w:val="auto"/>
                <w:sz w:val="21"/>
                <w:szCs w:val="21"/>
                <w:highlight w:val="none"/>
                <w:lang w:val="zh-CN"/>
              </w:rPr>
              <w:t>%×100 。（</w:t>
            </w:r>
            <w:r>
              <w:rPr>
                <w:rFonts w:hint="eastAsia" w:asciiTheme="minorEastAsia" w:hAnsiTheme="minorEastAsia" w:eastAsiaTheme="minorEastAsia" w:cstheme="minorEastAsia"/>
                <w:color w:val="auto"/>
                <w:sz w:val="21"/>
                <w:szCs w:val="21"/>
                <w:highlight w:val="none"/>
              </w:rPr>
              <w:t>小数点后保留2位小数</w:t>
            </w:r>
            <w:r>
              <w:rPr>
                <w:rFonts w:hint="eastAsia" w:asciiTheme="minorEastAsia" w:hAnsiTheme="minorEastAsia" w:eastAsiaTheme="minorEastAsia" w:cstheme="minorEastAsia"/>
                <w:color w:val="auto"/>
                <w:sz w:val="21"/>
                <w:szCs w:val="21"/>
                <w:highlight w:val="none"/>
                <w:lang w:val="zh-CN"/>
              </w:rPr>
              <w:t>）。</w:t>
            </w:r>
          </w:p>
        </w:tc>
        <w:tc>
          <w:tcPr>
            <w:tcW w:w="614" w:type="dxa"/>
            <w:vAlign w:val="center"/>
          </w:tcPr>
          <w:p w14:paraId="2B70BE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10</w:t>
            </w:r>
          </w:p>
        </w:tc>
      </w:tr>
    </w:tbl>
    <w:p w14:paraId="3EAD8E1B">
      <w:pPr>
        <w:pStyle w:val="9"/>
        <w:ind w:left="0" w:leftChars="0" w:firstLine="0" w:firstLineChars="0"/>
        <w:rPr>
          <w:rFonts w:hint="eastAsia" w:ascii="宋体" w:hAnsi="宋体" w:eastAsia="宋体" w:cs="宋体"/>
          <w:color w:val="auto"/>
          <w:highlight w:val="none"/>
        </w:rPr>
        <w:sectPr>
          <w:pgSz w:w="11906" w:h="16838"/>
          <w:pgMar w:top="1440" w:right="1440" w:bottom="1440" w:left="1803" w:header="851" w:footer="992" w:gutter="0"/>
          <w:pgNumType w:fmt="decimal"/>
          <w:cols w:space="0" w:num="1"/>
          <w:docGrid w:type="lines" w:linePitch="325" w:charSpace="0"/>
        </w:sectPr>
      </w:pPr>
    </w:p>
    <w:p w14:paraId="1107315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第四章 </w:t>
      </w:r>
      <w:r>
        <w:rPr>
          <w:rFonts w:hint="eastAsia" w:ascii="宋体" w:hAnsi="宋体" w:eastAsia="宋体" w:cs="宋体"/>
          <w:b/>
          <w:color w:val="auto"/>
          <w:sz w:val="36"/>
          <w:szCs w:val="36"/>
          <w:highlight w:val="none"/>
          <w:lang w:eastAsia="zh-CN"/>
        </w:rPr>
        <w:t>项目需求</w:t>
      </w:r>
    </w:p>
    <w:p w14:paraId="2F93A8D0">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一、采购的课程内容及服务内容包含以下几点：</w:t>
      </w:r>
    </w:p>
    <w:p w14:paraId="17584B9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从新</w:t>
      </w:r>
      <w:r>
        <w:rPr>
          <w:rFonts w:hint="eastAsia" w:asciiTheme="minorEastAsia" w:hAnsiTheme="minorEastAsia" w:eastAsiaTheme="minorEastAsia" w:cstheme="minorEastAsia"/>
          <w:color w:val="auto"/>
          <w:sz w:val="21"/>
          <w:szCs w:val="21"/>
          <w:highlight w:val="none"/>
          <w:lang w:val="en-US" w:eastAsia="zh-CN"/>
        </w:rPr>
        <w:t>初一</w:t>
      </w:r>
      <w:r>
        <w:rPr>
          <w:rFonts w:hint="eastAsia" w:asciiTheme="minorEastAsia" w:hAnsiTheme="minorEastAsia" w:eastAsiaTheme="minorEastAsia" w:cstheme="minorEastAsia"/>
          <w:color w:val="auto"/>
          <w:sz w:val="21"/>
          <w:szCs w:val="21"/>
          <w:highlight w:val="none"/>
          <w:lang w:eastAsia="zh-CN"/>
        </w:rPr>
        <w:t>初二初三</w:t>
      </w:r>
      <w:r>
        <w:rPr>
          <w:rFonts w:hint="eastAsia" w:asciiTheme="minorEastAsia" w:hAnsiTheme="minorEastAsia" w:eastAsiaTheme="minorEastAsia" w:cstheme="minorEastAsia"/>
          <w:color w:val="auto"/>
          <w:sz w:val="21"/>
          <w:szCs w:val="21"/>
          <w:highlight w:val="none"/>
        </w:rPr>
        <w:t>年级起开始实施，以实验班方式开展竞赛及自主选拔（包含名校自主招生、三位一体）工作：</w:t>
      </w:r>
    </w:p>
    <w:p w14:paraId="20A96F78">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1、新</w:t>
      </w:r>
      <w:r>
        <w:rPr>
          <w:rFonts w:hint="eastAsia" w:asciiTheme="minorEastAsia" w:hAnsiTheme="minorEastAsia" w:eastAsiaTheme="minorEastAsia" w:cstheme="minorEastAsia"/>
          <w:b/>
          <w:bCs/>
          <w:color w:val="auto"/>
          <w:sz w:val="21"/>
          <w:szCs w:val="21"/>
          <w:highlight w:val="none"/>
          <w:lang w:val="en-US" w:eastAsia="zh-CN"/>
        </w:rPr>
        <w:t>初一</w:t>
      </w:r>
      <w:r>
        <w:rPr>
          <w:rFonts w:hint="eastAsia" w:asciiTheme="minorEastAsia" w:hAnsiTheme="minorEastAsia" w:eastAsiaTheme="minorEastAsia" w:cstheme="minorEastAsia"/>
          <w:b/>
          <w:bCs/>
          <w:color w:val="auto"/>
          <w:sz w:val="21"/>
          <w:szCs w:val="21"/>
          <w:highlight w:val="none"/>
          <w:lang w:eastAsia="zh-CN"/>
        </w:rPr>
        <w:t>初二初三</w:t>
      </w:r>
      <w:r>
        <w:rPr>
          <w:rFonts w:hint="eastAsia" w:asciiTheme="minorEastAsia" w:hAnsiTheme="minorEastAsia" w:eastAsiaTheme="minorEastAsia" w:cstheme="minorEastAsia"/>
          <w:b/>
          <w:bCs/>
          <w:color w:val="auto"/>
          <w:sz w:val="21"/>
          <w:szCs w:val="21"/>
          <w:highlight w:val="none"/>
        </w:rPr>
        <w:t>：预备课程项目</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901"/>
        <w:gridCol w:w="1901"/>
      </w:tblGrid>
      <w:tr w14:paraId="465742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354" w:type="dxa"/>
            <w:shd w:val="clear" w:color="000000" w:fill="auto"/>
            <w:noWrap/>
            <w:vAlign w:val="center"/>
          </w:tcPr>
          <w:p w14:paraId="0B1F8C06">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课程名称</w:t>
            </w:r>
          </w:p>
        </w:tc>
        <w:tc>
          <w:tcPr>
            <w:tcW w:w="1901" w:type="dxa"/>
            <w:shd w:val="clear" w:color="000000" w:fill="auto"/>
            <w:noWrap/>
            <w:vAlign w:val="center"/>
          </w:tcPr>
          <w:p w14:paraId="24BDBBD0">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建议课程周期</w:t>
            </w:r>
          </w:p>
        </w:tc>
        <w:tc>
          <w:tcPr>
            <w:tcW w:w="1901" w:type="dxa"/>
            <w:shd w:val="clear" w:color="000000" w:fill="auto"/>
            <w:noWrap/>
            <w:vAlign w:val="center"/>
          </w:tcPr>
          <w:p w14:paraId="6FEB649F">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专业课课时</w:t>
            </w:r>
          </w:p>
          <w:p w14:paraId="71EC91C4">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（小时）</w:t>
            </w:r>
          </w:p>
        </w:tc>
      </w:tr>
      <w:tr w14:paraId="63DB72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54" w:type="dxa"/>
            <w:shd w:val="clear" w:color="000000" w:fill="auto"/>
            <w:noWrap/>
            <w:vAlign w:val="center"/>
          </w:tcPr>
          <w:p w14:paraId="5EED1EC2">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数学竞赛预备课程</w:t>
            </w:r>
          </w:p>
        </w:tc>
        <w:tc>
          <w:tcPr>
            <w:tcW w:w="1901" w:type="dxa"/>
            <w:shd w:val="clear" w:color="000000" w:fill="auto"/>
            <w:noWrap/>
            <w:vAlign w:val="center"/>
          </w:tcPr>
          <w:p w14:paraId="23FF8158">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8-12</w:t>
            </w:r>
            <w:r>
              <w:rPr>
                <w:rFonts w:hint="eastAsia" w:asciiTheme="minorEastAsia" w:hAnsiTheme="minorEastAsia" w:eastAsiaTheme="minorEastAsia" w:cstheme="minorEastAsia"/>
                <w:color w:val="auto"/>
                <w:sz w:val="21"/>
                <w:szCs w:val="21"/>
                <w:highlight w:val="none"/>
                <w:lang w:eastAsia="zh-CN"/>
              </w:rPr>
              <w:t>个月</w:t>
            </w:r>
          </w:p>
        </w:tc>
        <w:tc>
          <w:tcPr>
            <w:tcW w:w="1901" w:type="dxa"/>
            <w:shd w:val="clear" w:color="000000" w:fill="auto"/>
            <w:noWrap/>
            <w:vAlign w:val="center"/>
          </w:tcPr>
          <w:p w14:paraId="32AE1D54">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456</w:t>
            </w:r>
          </w:p>
        </w:tc>
      </w:tr>
      <w:tr w14:paraId="79303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3354" w:type="dxa"/>
            <w:shd w:val="clear" w:color="000000" w:fill="auto"/>
            <w:noWrap/>
            <w:vAlign w:val="center"/>
          </w:tcPr>
          <w:p w14:paraId="7F54D04C">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eastAsia="zh-CN"/>
              </w:rPr>
              <w:t>物理竞赛预备课程</w:t>
            </w:r>
          </w:p>
        </w:tc>
        <w:tc>
          <w:tcPr>
            <w:tcW w:w="1901" w:type="dxa"/>
            <w:shd w:val="clear" w:color="000000" w:fill="auto"/>
            <w:noWrap/>
            <w:vAlign w:val="center"/>
          </w:tcPr>
          <w:p w14:paraId="10848065">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8</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12</w:t>
            </w:r>
            <w:r>
              <w:rPr>
                <w:rFonts w:hint="eastAsia" w:asciiTheme="minorEastAsia" w:hAnsiTheme="minorEastAsia" w:eastAsiaTheme="minorEastAsia" w:cstheme="minorEastAsia"/>
                <w:color w:val="auto"/>
                <w:sz w:val="21"/>
                <w:szCs w:val="21"/>
                <w:highlight w:val="none"/>
                <w:lang w:eastAsia="zh-CN"/>
              </w:rPr>
              <w:t>个月</w:t>
            </w:r>
          </w:p>
        </w:tc>
        <w:tc>
          <w:tcPr>
            <w:tcW w:w="1901" w:type="dxa"/>
            <w:shd w:val="clear" w:color="000000" w:fill="auto"/>
            <w:noWrap/>
            <w:vAlign w:val="center"/>
          </w:tcPr>
          <w:p w14:paraId="0909956E">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456</w:t>
            </w:r>
          </w:p>
        </w:tc>
      </w:tr>
    </w:tbl>
    <w:p w14:paraId="4FEB3A19">
      <w:pPr>
        <w:keepNext w:val="0"/>
        <w:keepLines w:val="0"/>
        <w:pageBreakBefore w:val="0"/>
        <w:widowControl w:val="0"/>
        <w:kinsoku/>
        <w:wordWrap/>
        <w:overflowPunct/>
        <w:topLinePunct w:val="0"/>
        <w:autoSpaceDE/>
        <w:autoSpaceDN/>
        <w:bidi w:val="0"/>
        <w:adjustRightInd/>
        <w:snapToGrid/>
        <w:spacing w:line="360" w:lineRule="auto"/>
        <w:ind w:right="0"/>
        <w:jc w:val="left"/>
        <w:textAlignment w:val="auto"/>
        <w:rPr>
          <w:rFonts w:hint="eastAsia" w:asciiTheme="minorEastAsia" w:hAnsiTheme="minorEastAsia" w:eastAsiaTheme="minorEastAsia" w:cstheme="minorEastAsia"/>
          <w:color w:val="auto"/>
          <w:sz w:val="21"/>
          <w:szCs w:val="21"/>
          <w:highlight w:val="none"/>
          <w:lang w:val="en-US" w:eastAsia="zh-CN"/>
        </w:rPr>
      </w:pPr>
    </w:p>
    <w:p w14:paraId="17A23B33">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2、高中化学竞赛联赛课程项目</w:t>
      </w:r>
    </w:p>
    <w:tbl>
      <w:tblPr>
        <w:tblStyle w:val="2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54"/>
        <w:gridCol w:w="1901"/>
        <w:gridCol w:w="1901"/>
      </w:tblGrid>
      <w:tr w14:paraId="2782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2" w:hRule="atLeast"/>
          <w:jc w:val="center"/>
        </w:trPr>
        <w:tc>
          <w:tcPr>
            <w:tcW w:w="3354" w:type="dxa"/>
            <w:shd w:val="clear" w:color="000000" w:fill="auto"/>
            <w:noWrap/>
            <w:vAlign w:val="center"/>
          </w:tcPr>
          <w:p w14:paraId="0243F915">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课程名称</w:t>
            </w:r>
          </w:p>
        </w:tc>
        <w:tc>
          <w:tcPr>
            <w:tcW w:w="1901" w:type="dxa"/>
            <w:shd w:val="clear" w:color="000000" w:fill="auto"/>
            <w:noWrap/>
            <w:vAlign w:val="center"/>
          </w:tcPr>
          <w:p w14:paraId="5DD7BDB1">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建议课程周期</w:t>
            </w:r>
          </w:p>
        </w:tc>
        <w:tc>
          <w:tcPr>
            <w:tcW w:w="1901" w:type="dxa"/>
            <w:shd w:val="clear" w:color="000000" w:fill="auto"/>
            <w:noWrap/>
            <w:vAlign w:val="center"/>
          </w:tcPr>
          <w:p w14:paraId="58DC6ECA">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专业课课时</w:t>
            </w:r>
          </w:p>
          <w:p w14:paraId="25528C8A">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b/>
                <w:bCs/>
                <w:color w:val="auto"/>
                <w:sz w:val="21"/>
                <w:szCs w:val="21"/>
                <w:highlight w:val="none"/>
                <w:lang w:eastAsia="zh-CN"/>
              </w:rPr>
            </w:pPr>
            <w:r>
              <w:rPr>
                <w:rFonts w:hint="eastAsia" w:asciiTheme="minorEastAsia" w:hAnsiTheme="minorEastAsia" w:eastAsiaTheme="minorEastAsia" w:cstheme="minorEastAsia"/>
                <w:b/>
                <w:bCs/>
                <w:color w:val="auto"/>
                <w:sz w:val="21"/>
                <w:szCs w:val="21"/>
                <w:highlight w:val="none"/>
                <w:lang w:eastAsia="zh-CN"/>
              </w:rPr>
              <w:t>（小时）</w:t>
            </w:r>
          </w:p>
        </w:tc>
      </w:tr>
      <w:tr w14:paraId="746EA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1" w:hRule="atLeast"/>
          <w:jc w:val="center"/>
        </w:trPr>
        <w:tc>
          <w:tcPr>
            <w:tcW w:w="3354" w:type="dxa"/>
            <w:shd w:val="clear" w:color="000000" w:fill="auto"/>
            <w:noWrap/>
            <w:vAlign w:val="center"/>
          </w:tcPr>
          <w:p w14:paraId="4D84CC60">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eastAsia="zh-CN"/>
              </w:rPr>
              <w:t>高一化学竞赛联赛课程</w:t>
            </w:r>
          </w:p>
        </w:tc>
        <w:tc>
          <w:tcPr>
            <w:tcW w:w="1901" w:type="dxa"/>
            <w:shd w:val="clear" w:color="000000" w:fill="auto"/>
            <w:noWrap/>
            <w:vAlign w:val="center"/>
          </w:tcPr>
          <w:p w14:paraId="686CCB82">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6-12</w:t>
            </w:r>
            <w:r>
              <w:rPr>
                <w:rFonts w:hint="eastAsia" w:asciiTheme="minorEastAsia" w:hAnsiTheme="minorEastAsia" w:eastAsiaTheme="minorEastAsia" w:cstheme="minorEastAsia"/>
                <w:color w:val="auto"/>
                <w:sz w:val="21"/>
                <w:szCs w:val="21"/>
                <w:highlight w:val="none"/>
                <w:lang w:eastAsia="zh-CN"/>
              </w:rPr>
              <w:t>个月</w:t>
            </w:r>
          </w:p>
        </w:tc>
        <w:tc>
          <w:tcPr>
            <w:tcW w:w="1901" w:type="dxa"/>
            <w:shd w:val="clear" w:color="000000" w:fill="auto"/>
            <w:noWrap/>
            <w:vAlign w:val="center"/>
          </w:tcPr>
          <w:p w14:paraId="5CBE2323">
            <w:pPr>
              <w:keepNext w:val="0"/>
              <w:keepLines w:val="0"/>
              <w:pageBreakBefore w:val="0"/>
              <w:tabs>
                <w:tab w:val="left" w:pos="8280"/>
              </w:tabs>
              <w:kinsoku/>
              <w:wordWrap/>
              <w:overflowPunct/>
              <w:topLinePunct w:val="0"/>
              <w:autoSpaceDE w:val="0"/>
              <w:autoSpaceDN w:val="0"/>
              <w:bidi w:val="0"/>
              <w:adjustRightInd/>
              <w:snapToGrid/>
              <w:spacing w:line="240" w:lineRule="auto"/>
              <w:ind w:right="0"/>
              <w:jc w:val="center"/>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348</w:t>
            </w:r>
          </w:p>
        </w:tc>
      </w:tr>
    </w:tbl>
    <w:p w14:paraId="7DC570F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预备课程课程内容涵盖学习高中学科竞赛所需要的</w:t>
      </w:r>
      <w:r>
        <w:rPr>
          <w:rFonts w:hint="eastAsia" w:asciiTheme="minorEastAsia" w:hAnsiTheme="minorEastAsia" w:eastAsiaTheme="minorEastAsia" w:cstheme="minorEastAsia"/>
          <w:color w:val="auto"/>
          <w:sz w:val="21"/>
          <w:szCs w:val="21"/>
          <w:highlight w:val="none"/>
          <w:lang w:eastAsia="zh-CN"/>
        </w:rPr>
        <w:t>初</w:t>
      </w:r>
      <w:r>
        <w:rPr>
          <w:rFonts w:hint="eastAsia" w:asciiTheme="minorEastAsia" w:hAnsiTheme="minorEastAsia" w:eastAsiaTheme="minorEastAsia" w:cstheme="minorEastAsia"/>
          <w:color w:val="auto"/>
          <w:sz w:val="21"/>
          <w:szCs w:val="21"/>
          <w:highlight w:val="none"/>
        </w:rPr>
        <w:t>高中知识，是针对有潜力获得省</w:t>
      </w:r>
      <w:r>
        <w:rPr>
          <w:rFonts w:hint="eastAsia" w:asciiTheme="minorEastAsia" w:hAnsiTheme="minorEastAsia" w:eastAsiaTheme="minorEastAsia" w:cstheme="minorEastAsia"/>
          <w:color w:val="auto"/>
          <w:sz w:val="21"/>
          <w:szCs w:val="21"/>
          <w:highlight w:val="none"/>
          <w:lang w:eastAsia="zh-CN"/>
        </w:rPr>
        <w:t>赛</w:t>
      </w:r>
      <w:r>
        <w:rPr>
          <w:rFonts w:hint="eastAsia" w:asciiTheme="minorEastAsia" w:hAnsiTheme="minorEastAsia" w:eastAsiaTheme="minorEastAsia" w:cstheme="minorEastAsia"/>
          <w:color w:val="auto"/>
          <w:sz w:val="21"/>
          <w:szCs w:val="21"/>
          <w:highlight w:val="none"/>
        </w:rPr>
        <w:t>及以上的奖项的学生进入高中之前、为竞赛学习打基础做准备的课程。该课程内容为</w:t>
      </w:r>
      <w:r>
        <w:rPr>
          <w:rFonts w:hint="eastAsia" w:asciiTheme="minorEastAsia" w:hAnsiTheme="minorEastAsia" w:eastAsiaTheme="minorEastAsia" w:cstheme="minorEastAsia"/>
          <w:color w:val="auto"/>
          <w:sz w:val="21"/>
          <w:szCs w:val="21"/>
          <w:highlight w:val="none"/>
          <w:lang w:eastAsia="zh-CN"/>
        </w:rPr>
        <w:t>初中联赛、</w:t>
      </w:r>
      <w:r>
        <w:rPr>
          <w:rFonts w:hint="eastAsia" w:asciiTheme="minorEastAsia" w:hAnsiTheme="minorEastAsia" w:eastAsiaTheme="minorEastAsia" w:cstheme="minorEastAsia"/>
          <w:color w:val="auto"/>
          <w:sz w:val="21"/>
          <w:szCs w:val="21"/>
          <w:highlight w:val="none"/>
        </w:rPr>
        <w:t>高中必修及选修内容，对标高考难度。该课程旨在为学生进入高中后尽早开始学习难度更高的竞赛课程打下良好基础。</w:t>
      </w:r>
    </w:p>
    <w:p w14:paraId="5821BE61">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课程内容涵盖获得高中</w:t>
      </w:r>
      <w:r>
        <w:rPr>
          <w:rFonts w:hint="eastAsia" w:asciiTheme="minorEastAsia" w:hAnsiTheme="minorEastAsia" w:eastAsiaTheme="minorEastAsia" w:cstheme="minorEastAsia"/>
          <w:color w:val="auto"/>
          <w:sz w:val="21"/>
          <w:szCs w:val="21"/>
          <w:highlight w:val="none"/>
          <w:lang w:eastAsia="zh-CN"/>
        </w:rPr>
        <w:t>（数学、化学、物理）</w:t>
      </w:r>
      <w:r>
        <w:rPr>
          <w:rFonts w:hint="eastAsia" w:asciiTheme="minorEastAsia" w:hAnsiTheme="minorEastAsia" w:eastAsiaTheme="minorEastAsia" w:cstheme="minorEastAsia"/>
          <w:color w:val="auto"/>
          <w:sz w:val="21"/>
          <w:szCs w:val="21"/>
          <w:highlight w:val="none"/>
        </w:rPr>
        <w:t>学科竞赛省级一等奖所需要的知识。</w:t>
      </w:r>
      <w:r>
        <w:rPr>
          <w:rFonts w:hint="eastAsia" w:asciiTheme="minorEastAsia" w:hAnsiTheme="minorEastAsia" w:eastAsiaTheme="minorEastAsia" w:cstheme="minorEastAsia"/>
          <w:color w:val="auto"/>
          <w:sz w:val="21"/>
          <w:szCs w:val="21"/>
          <w:highlight w:val="none"/>
          <w:lang w:eastAsia="zh-CN"/>
        </w:rPr>
        <w:t>每</w:t>
      </w:r>
      <w:r>
        <w:rPr>
          <w:rFonts w:hint="eastAsia" w:asciiTheme="minorEastAsia" w:hAnsiTheme="minorEastAsia" w:eastAsiaTheme="minorEastAsia" w:cstheme="minorEastAsia"/>
          <w:color w:val="auto"/>
          <w:sz w:val="21"/>
          <w:szCs w:val="21"/>
          <w:highlight w:val="none"/>
        </w:rPr>
        <w:t>学期16教学周；</w:t>
      </w:r>
      <w:r>
        <w:rPr>
          <w:rFonts w:hint="eastAsia" w:asciiTheme="minorEastAsia" w:hAnsiTheme="minorEastAsia" w:eastAsiaTheme="minorEastAsia" w:cstheme="minorEastAsia"/>
          <w:color w:val="auto"/>
          <w:sz w:val="21"/>
          <w:szCs w:val="21"/>
          <w:highlight w:val="none"/>
          <w:lang w:eastAsia="zh-CN"/>
        </w:rPr>
        <w:t>暑寒假集训等</w:t>
      </w:r>
      <w:r>
        <w:rPr>
          <w:rFonts w:hint="eastAsia" w:asciiTheme="minorEastAsia" w:hAnsiTheme="minorEastAsia" w:eastAsiaTheme="minorEastAsia" w:cstheme="minorEastAsia"/>
          <w:color w:val="auto"/>
          <w:sz w:val="21"/>
          <w:szCs w:val="21"/>
          <w:highlight w:val="none"/>
        </w:rPr>
        <w:t>专业课覆盖省一奖项要求所有知识点，习题课主要讲解课后练习题目，每次</w:t>
      </w:r>
      <w:r>
        <w:rPr>
          <w:rFonts w:hint="eastAsia" w:asciiTheme="minorEastAsia" w:hAnsiTheme="minorEastAsia" w:eastAsiaTheme="minorEastAsia" w:cstheme="minorEastAsia"/>
          <w:color w:val="auto"/>
          <w:sz w:val="21"/>
          <w:szCs w:val="21"/>
          <w:highlight w:val="none"/>
          <w:lang w:eastAsia="zh-CN"/>
        </w:rPr>
        <w:t>上</w:t>
      </w:r>
      <w:r>
        <w:rPr>
          <w:rFonts w:hint="eastAsia" w:asciiTheme="minorEastAsia" w:hAnsiTheme="minorEastAsia" w:eastAsiaTheme="minorEastAsia" w:cstheme="minorEastAsia"/>
          <w:color w:val="auto"/>
          <w:sz w:val="21"/>
          <w:szCs w:val="21"/>
          <w:highlight w:val="none"/>
        </w:rPr>
        <w:t>课之前，运营人员需要提前与学校沟通，学生是否有特殊问题或特殊需求，如有提前与教练老师沟通，及时反馈学生上课情况和吸收情况，从而针对性为该班学生制定习题课程方案，保障上课效果。</w:t>
      </w:r>
    </w:p>
    <w:p w14:paraId="669F031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竞赛主线课程以</w:t>
      </w:r>
      <w:r>
        <w:rPr>
          <w:rFonts w:hint="eastAsia" w:asciiTheme="minorEastAsia" w:hAnsiTheme="minorEastAsia" w:eastAsiaTheme="minorEastAsia" w:cstheme="minorEastAsia"/>
          <w:color w:val="auto"/>
          <w:sz w:val="21"/>
          <w:szCs w:val="21"/>
          <w:highlight w:val="none"/>
          <w:lang w:eastAsia="zh-CN"/>
        </w:rPr>
        <w:t>新</w:t>
      </w:r>
      <w:r>
        <w:rPr>
          <w:rFonts w:hint="eastAsia" w:asciiTheme="minorEastAsia" w:hAnsiTheme="minorEastAsia" w:eastAsiaTheme="minorEastAsia" w:cstheme="minorEastAsia"/>
          <w:color w:val="auto"/>
          <w:sz w:val="21"/>
          <w:szCs w:val="21"/>
          <w:highlight w:val="none"/>
        </w:rPr>
        <w:t>高一高二为主要受众群体，充分覆盖竞赛省一知识难度，合理划分不同阶段的课程结构；在课程设计上，知识点讲解、习题训练并重，能够为学生的竞赛学习打下坚实基础。</w:t>
      </w:r>
    </w:p>
    <w:p w14:paraId="24A396B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在进入高三学年的学生，选拔成绩较好的学生参加IPU自主选拔课程正课的学习，该课程要针对年级排名靠前及参加自主选拔校考的优秀学生，通过名师系统、精准的点拨，使学生对高考及自主选拔考试的命题趋势、考查内容、解答技巧、思维方法有更深层次的掌握和理解；帮助学生在高考及自主选拔考试中取得优异的成绩，走进更理想的大学。</w:t>
      </w:r>
    </w:p>
    <w:p w14:paraId="062817CA">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2</w:t>
      </w:r>
      <w:r>
        <w:rPr>
          <w:rFonts w:hint="eastAsia" w:asciiTheme="minorEastAsia" w:hAnsiTheme="minorEastAsia" w:eastAsiaTheme="minorEastAsia" w:cstheme="minorEastAsia"/>
          <w:b/>
          <w:bCs/>
          <w:color w:val="auto"/>
          <w:sz w:val="21"/>
          <w:szCs w:val="21"/>
          <w:highlight w:val="none"/>
        </w:rPr>
        <w:t>、题课包</w:t>
      </w:r>
    </w:p>
    <w:p w14:paraId="578B407D">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根据学校的实际学习需要，提供个性化的习题训练课，保证学生在参加竞赛考试的刷题量和训练量。针对习题课增值包，不仅可以解决学生在正课中遇到的难题，而且可以根据学生提出的课程要求进行定向授课。</w:t>
      </w:r>
    </w:p>
    <w:p w14:paraId="75292431">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3</w:t>
      </w:r>
      <w:r>
        <w:rPr>
          <w:rFonts w:hint="eastAsia" w:asciiTheme="minorEastAsia" w:hAnsiTheme="minorEastAsia" w:eastAsiaTheme="minorEastAsia" w:cstheme="minorEastAsia"/>
          <w:b/>
          <w:bCs/>
          <w:color w:val="auto"/>
          <w:sz w:val="21"/>
          <w:szCs w:val="21"/>
          <w:highlight w:val="none"/>
        </w:rPr>
        <w:t>、集训营</w:t>
      </w:r>
    </w:p>
    <w:p w14:paraId="43655C93">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outlineLvl w:val="9"/>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提供假期集中</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，对常训内容进行凝练提高。课程设计为</w:t>
      </w:r>
      <w:r>
        <w:rPr>
          <w:rFonts w:hint="eastAsia" w:asciiTheme="minorEastAsia" w:hAnsiTheme="minorEastAsia" w:eastAsiaTheme="minorEastAsia" w:cstheme="minorEastAsia"/>
          <w:color w:val="auto"/>
          <w:sz w:val="21"/>
          <w:szCs w:val="21"/>
          <w:highlight w:val="none"/>
          <w:lang w:eastAsia="zh-CN"/>
        </w:rPr>
        <w:t>教练</w:t>
      </w:r>
      <w:r>
        <w:rPr>
          <w:rFonts w:hint="eastAsia" w:asciiTheme="minorEastAsia" w:hAnsiTheme="minorEastAsia" w:eastAsiaTheme="minorEastAsia" w:cstheme="minorEastAsia"/>
          <w:color w:val="auto"/>
          <w:sz w:val="21"/>
          <w:szCs w:val="21"/>
          <w:highlight w:val="none"/>
        </w:rPr>
        <w:t>线下</w:t>
      </w:r>
      <w:r>
        <w:rPr>
          <w:rFonts w:hint="eastAsia" w:asciiTheme="minorEastAsia" w:hAnsiTheme="minorEastAsia" w:eastAsiaTheme="minorEastAsia" w:cstheme="minorEastAsia"/>
          <w:color w:val="auto"/>
          <w:sz w:val="21"/>
          <w:szCs w:val="21"/>
          <w:highlight w:val="none"/>
          <w:lang w:eastAsia="zh-CN"/>
        </w:rPr>
        <w:t>授课</w:t>
      </w:r>
      <w:r>
        <w:rPr>
          <w:rFonts w:hint="eastAsia" w:asciiTheme="minorEastAsia" w:hAnsiTheme="minorEastAsia" w:eastAsiaTheme="minorEastAsia" w:cstheme="minorEastAsia"/>
          <w:color w:val="auto"/>
          <w:sz w:val="21"/>
          <w:szCs w:val="21"/>
          <w:highlight w:val="none"/>
        </w:rPr>
        <w:t>的方式，集训营课程是对</w:t>
      </w:r>
      <w:r>
        <w:rPr>
          <w:rFonts w:hint="eastAsia" w:asciiTheme="minorEastAsia" w:hAnsiTheme="minorEastAsia" w:eastAsiaTheme="minorEastAsia" w:cstheme="minorEastAsia"/>
          <w:color w:val="auto"/>
          <w:sz w:val="21"/>
          <w:szCs w:val="21"/>
          <w:highlight w:val="none"/>
          <w:lang w:eastAsia="zh-CN"/>
        </w:rPr>
        <w:t>线下</w:t>
      </w:r>
      <w:r>
        <w:rPr>
          <w:rFonts w:hint="eastAsia" w:asciiTheme="minorEastAsia" w:hAnsiTheme="minorEastAsia" w:eastAsiaTheme="minorEastAsia" w:cstheme="minorEastAsia"/>
          <w:color w:val="auto"/>
          <w:sz w:val="21"/>
          <w:szCs w:val="21"/>
          <w:highlight w:val="none"/>
        </w:rPr>
        <w:t>常训课程的重要补充，将在常训课程基础上进行攻坚拔高，通过科学的课时配比，以达到最优的授课效果。</w:t>
      </w:r>
    </w:p>
    <w:p w14:paraId="7C3AA8E1">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2"/>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4</w:t>
      </w:r>
      <w:r>
        <w:rPr>
          <w:rFonts w:hint="eastAsia" w:asciiTheme="minorEastAsia" w:hAnsiTheme="minorEastAsia" w:eastAsiaTheme="minorEastAsia" w:cstheme="minorEastAsia"/>
          <w:b/>
          <w:bCs/>
          <w:color w:val="auto"/>
          <w:sz w:val="21"/>
          <w:szCs w:val="21"/>
          <w:highlight w:val="none"/>
        </w:rPr>
        <w:t>、其他增值项目</w:t>
      </w:r>
    </w:p>
    <w:p w14:paraId="7934669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（1）竞赛联考</w:t>
      </w:r>
    </w:p>
    <w:p w14:paraId="20D97FFB">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定期组织竞赛强校与学校进行联合模拟考试，联考题目</w:t>
      </w:r>
      <w:r>
        <w:rPr>
          <w:rFonts w:hint="eastAsia" w:asciiTheme="minorEastAsia" w:hAnsiTheme="minorEastAsia" w:eastAsiaTheme="minorEastAsia" w:cstheme="minorEastAsia"/>
          <w:color w:val="auto"/>
          <w:sz w:val="21"/>
          <w:szCs w:val="21"/>
          <w:highlight w:val="none"/>
          <w:lang w:val="en-US" w:eastAsia="zh-CN"/>
        </w:rPr>
        <w:t>要求</w:t>
      </w:r>
      <w:r>
        <w:rPr>
          <w:rFonts w:hint="eastAsia" w:asciiTheme="minorEastAsia" w:hAnsiTheme="minorEastAsia" w:eastAsiaTheme="minorEastAsia" w:cstheme="minorEastAsia"/>
          <w:color w:val="auto"/>
          <w:sz w:val="21"/>
          <w:szCs w:val="21"/>
          <w:highlight w:val="none"/>
        </w:rPr>
        <w:t>均为原创试题。竞赛课程配备的联考服务，能够让学生了解到其水平在全国的排名情况，做到知己知彼。难度对标学科竞赛省级、国家级等不同层次比赛难度设计，由各学科竞赛资深教练及</w:t>
      </w:r>
      <w:r>
        <w:rPr>
          <w:rFonts w:hint="eastAsia" w:asciiTheme="minorEastAsia" w:hAnsiTheme="minorEastAsia" w:eastAsiaTheme="minorEastAsia" w:cstheme="minorEastAsia"/>
          <w:color w:val="auto"/>
          <w:sz w:val="21"/>
          <w:szCs w:val="21"/>
          <w:highlight w:val="none"/>
          <w:lang w:eastAsia="zh-CN"/>
        </w:rPr>
        <w:t>国家集训队</w:t>
      </w:r>
      <w:r>
        <w:rPr>
          <w:rFonts w:hint="eastAsia" w:asciiTheme="minorEastAsia" w:hAnsiTheme="minorEastAsia" w:eastAsiaTheme="minorEastAsia" w:cstheme="minorEastAsia"/>
          <w:color w:val="auto"/>
          <w:sz w:val="21"/>
          <w:szCs w:val="21"/>
          <w:highlight w:val="none"/>
        </w:rPr>
        <w:t>竞赛</w:t>
      </w:r>
      <w:r>
        <w:rPr>
          <w:rFonts w:hint="eastAsia" w:asciiTheme="minorEastAsia" w:hAnsiTheme="minorEastAsia" w:eastAsiaTheme="minorEastAsia" w:cstheme="minorEastAsia"/>
          <w:color w:val="auto"/>
          <w:sz w:val="21"/>
          <w:szCs w:val="21"/>
          <w:highlight w:val="none"/>
          <w:lang w:eastAsia="zh-CN"/>
        </w:rPr>
        <w:t>教练</w:t>
      </w:r>
      <w:r>
        <w:rPr>
          <w:rFonts w:hint="eastAsia" w:asciiTheme="minorEastAsia" w:hAnsiTheme="minorEastAsia" w:eastAsiaTheme="minorEastAsia" w:cstheme="minorEastAsia"/>
          <w:color w:val="auto"/>
          <w:sz w:val="21"/>
          <w:szCs w:val="21"/>
          <w:highlight w:val="none"/>
        </w:rPr>
        <w:t>考</w:t>
      </w:r>
      <w:r>
        <w:rPr>
          <w:rFonts w:hint="eastAsia" w:asciiTheme="minorEastAsia" w:hAnsiTheme="minorEastAsia" w:eastAsiaTheme="minorEastAsia" w:cstheme="minorEastAsia"/>
          <w:color w:val="auto"/>
          <w:sz w:val="21"/>
          <w:szCs w:val="21"/>
          <w:highlight w:val="none"/>
          <w:lang w:eastAsia="zh-CN"/>
        </w:rPr>
        <w:t>线下加强集训</w:t>
      </w:r>
      <w:r>
        <w:rPr>
          <w:rFonts w:hint="eastAsia" w:asciiTheme="minorEastAsia" w:hAnsiTheme="minorEastAsia" w:eastAsiaTheme="minorEastAsia" w:cstheme="minorEastAsia"/>
          <w:color w:val="auto"/>
          <w:sz w:val="21"/>
          <w:szCs w:val="21"/>
          <w:highlight w:val="none"/>
        </w:rPr>
        <w:t>。</w:t>
      </w:r>
    </w:p>
    <w:p w14:paraId="4410EC87">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（2）教学研讨</w:t>
      </w:r>
    </w:p>
    <w:p w14:paraId="32DE0B9F">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选派专家进校沟通研讨如何建设学校的培养体系，提升教学效果。</w:t>
      </w:r>
      <w:r>
        <w:rPr>
          <w:rFonts w:hint="eastAsia" w:asciiTheme="minorEastAsia" w:hAnsiTheme="minorEastAsia" w:eastAsiaTheme="minorEastAsia" w:cstheme="minorEastAsia"/>
          <w:color w:val="auto"/>
          <w:sz w:val="21"/>
          <w:szCs w:val="21"/>
          <w:highlight w:val="none"/>
          <w:lang w:val="en-US" w:eastAsia="zh-CN"/>
        </w:rPr>
        <w:t>要求提供的</w:t>
      </w:r>
      <w:r>
        <w:rPr>
          <w:rFonts w:hint="eastAsia" w:asciiTheme="minorEastAsia" w:hAnsiTheme="minorEastAsia" w:eastAsiaTheme="minorEastAsia" w:cstheme="minorEastAsia"/>
          <w:color w:val="auto"/>
          <w:sz w:val="21"/>
          <w:szCs w:val="21"/>
          <w:highlight w:val="none"/>
        </w:rPr>
        <w:t>专家资源包括名校教授以及重点中学竞赛教练、</w:t>
      </w:r>
      <w:r>
        <w:rPr>
          <w:rFonts w:hint="eastAsia" w:asciiTheme="minorEastAsia" w:hAnsiTheme="minorEastAsia" w:eastAsiaTheme="minorEastAsia" w:cstheme="minorEastAsia"/>
          <w:color w:val="auto"/>
          <w:sz w:val="21"/>
          <w:szCs w:val="21"/>
          <w:highlight w:val="none"/>
          <w:lang w:eastAsia="zh-CN"/>
        </w:rPr>
        <w:t>国家集训队教练、</w:t>
      </w:r>
      <w:r>
        <w:rPr>
          <w:rFonts w:hint="eastAsia" w:asciiTheme="minorEastAsia" w:hAnsiTheme="minorEastAsia" w:eastAsiaTheme="minorEastAsia" w:cstheme="minorEastAsia"/>
          <w:color w:val="auto"/>
          <w:sz w:val="21"/>
          <w:szCs w:val="21"/>
          <w:highlight w:val="none"/>
        </w:rPr>
        <w:t>学科带头人、自主选拔专家，另外还包括竞赛金牌、高考状元。定期举办进校活动，通过专题报告、研讨会、师资</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等方式，提升学校的教学水平。</w:t>
      </w:r>
    </w:p>
    <w:p w14:paraId="25926D96">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（3）教师</w:t>
      </w:r>
      <w:r>
        <w:rPr>
          <w:rFonts w:hint="eastAsia" w:asciiTheme="minorEastAsia" w:hAnsiTheme="minorEastAsia" w:eastAsiaTheme="minorEastAsia" w:cstheme="minorEastAsia"/>
          <w:color w:val="auto"/>
          <w:sz w:val="21"/>
          <w:szCs w:val="21"/>
          <w:highlight w:val="none"/>
          <w:lang w:val="en-US" w:eastAsia="zh-CN"/>
        </w:rPr>
        <w:t>提升</w:t>
      </w:r>
    </w:p>
    <w:p w14:paraId="47F08E54">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每年组织教练员研讨</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活动，提高教师教学能力，增强</w:t>
      </w:r>
      <w:r>
        <w:rPr>
          <w:rFonts w:hint="eastAsia" w:asciiTheme="minorEastAsia" w:hAnsiTheme="minorEastAsia" w:eastAsiaTheme="minorEastAsia" w:cstheme="minorEastAsia"/>
          <w:color w:val="auto"/>
          <w:sz w:val="21"/>
          <w:szCs w:val="21"/>
          <w:highlight w:val="none"/>
          <w:lang w:val="en-US" w:eastAsia="zh-CN"/>
        </w:rPr>
        <w:t>与</w:t>
      </w:r>
      <w:r>
        <w:rPr>
          <w:rFonts w:hint="eastAsia" w:asciiTheme="minorEastAsia" w:hAnsiTheme="minorEastAsia" w:eastAsiaTheme="minorEastAsia" w:cstheme="minorEastAsia"/>
          <w:color w:val="auto"/>
          <w:sz w:val="21"/>
          <w:szCs w:val="21"/>
          <w:highlight w:val="none"/>
        </w:rPr>
        <w:t>全国教练员之间沟通交流。对于大多数全日制学校而言，囿于课程、师资等因素，建立一套完善的自主选拔培养体系，并非易事；帮助学校解决眼前的名校升学问题，从教师</w:t>
      </w:r>
      <w:r>
        <w:rPr>
          <w:rFonts w:hint="eastAsia" w:asciiTheme="minorEastAsia" w:hAnsiTheme="minorEastAsia" w:eastAsiaTheme="minorEastAsia" w:cstheme="minorEastAsia"/>
          <w:color w:val="auto"/>
          <w:sz w:val="21"/>
          <w:szCs w:val="21"/>
          <w:highlight w:val="none"/>
          <w:lang w:val="en-US" w:eastAsia="zh-CN"/>
        </w:rPr>
        <w:t>提升</w:t>
      </w:r>
      <w:r>
        <w:rPr>
          <w:rFonts w:hint="eastAsia" w:asciiTheme="minorEastAsia" w:hAnsiTheme="minorEastAsia" w:eastAsiaTheme="minorEastAsia" w:cstheme="minorEastAsia"/>
          <w:color w:val="auto"/>
          <w:sz w:val="21"/>
          <w:szCs w:val="21"/>
          <w:highlight w:val="none"/>
        </w:rPr>
        <w:t>方面，帮助学校建立符合自身特色的自主选拔课程培养体系，打造长效的人才培养机制</w:t>
      </w:r>
      <w:r>
        <w:rPr>
          <w:rFonts w:hint="eastAsia" w:asciiTheme="minorEastAsia" w:hAnsiTheme="minorEastAsia" w:eastAsiaTheme="minorEastAsia" w:cstheme="minorEastAsia"/>
          <w:color w:val="auto"/>
          <w:sz w:val="21"/>
          <w:szCs w:val="21"/>
          <w:highlight w:val="none"/>
          <w:lang w:eastAsia="zh-CN"/>
        </w:rPr>
        <w:t>。</w:t>
      </w:r>
    </w:p>
    <w:p w14:paraId="73B69672">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二、在整体教学过程中，教学服务和课程品质应具备以下条件：</w:t>
      </w:r>
    </w:p>
    <w:p w14:paraId="1AFB8FCC">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1</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课程质量需要具备以下</w:t>
      </w:r>
      <w:r>
        <w:rPr>
          <w:rFonts w:hint="eastAsia" w:asciiTheme="minorEastAsia" w:hAnsiTheme="minorEastAsia" w:eastAsiaTheme="minorEastAsia" w:cstheme="minorEastAsia"/>
          <w:color w:val="auto"/>
          <w:sz w:val="21"/>
          <w:szCs w:val="21"/>
          <w:highlight w:val="none"/>
          <w:lang w:eastAsia="zh-CN"/>
        </w:rPr>
        <w:t>几</w:t>
      </w:r>
      <w:r>
        <w:rPr>
          <w:rFonts w:hint="eastAsia" w:asciiTheme="minorEastAsia" w:hAnsiTheme="minorEastAsia" w:eastAsiaTheme="minorEastAsia" w:cstheme="minorEastAsia"/>
          <w:color w:val="auto"/>
          <w:sz w:val="21"/>
          <w:szCs w:val="21"/>
          <w:highlight w:val="none"/>
        </w:rPr>
        <w:t>点：课程内容与学科知识点相关性、课程深度、习题质量；课程内容详细完整（包含且至少包含高中知识点和学科竞赛必考知识点，要求数学科目至少包含</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函数、平面几何、</w:t>
      </w:r>
      <w:r>
        <w:rPr>
          <w:rFonts w:hint="eastAsia" w:asciiTheme="minorEastAsia" w:hAnsiTheme="minorEastAsia" w:eastAsiaTheme="minorEastAsia" w:cstheme="minorEastAsia"/>
          <w:color w:val="auto"/>
          <w:sz w:val="21"/>
          <w:szCs w:val="21"/>
          <w:highlight w:val="none"/>
          <w:lang w:val="en-US" w:eastAsia="zh-CN"/>
        </w:rPr>
        <w:t>解析几何、一元二次方程、韦达定理、</w:t>
      </w:r>
      <w:r>
        <w:rPr>
          <w:rFonts w:hint="eastAsia" w:asciiTheme="minorEastAsia" w:hAnsiTheme="minorEastAsia" w:eastAsiaTheme="minorEastAsia" w:cstheme="minorEastAsia"/>
          <w:color w:val="auto"/>
          <w:sz w:val="21"/>
          <w:szCs w:val="21"/>
          <w:highlight w:val="none"/>
        </w:rPr>
        <w:t>数学综合知识点；物理科目至少包含：</w:t>
      </w:r>
      <w:r>
        <w:rPr>
          <w:rFonts w:hint="eastAsia" w:asciiTheme="minorEastAsia" w:hAnsiTheme="minorEastAsia" w:eastAsiaTheme="minorEastAsia" w:cstheme="minorEastAsia"/>
          <w:color w:val="auto"/>
          <w:sz w:val="21"/>
          <w:szCs w:val="21"/>
          <w:highlight w:val="none"/>
          <w:lang w:val="en-US" w:eastAsia="zh-CN"/>
        </w:rPr>
        <w:t>电学</w:t>
      </w:r>
      <w:r>
        <w:rPr>
          <w:rFonts w:hint="eastAsia" w:asciiTheme="minorEastAsia" w:hAnsiTheme="minorEastAsia" w:eastAsiaTheme="minorEastAsia" w:cstheme="minorEastAsia"/>
          <w:color w:val="auto"/>
          <w:sz w:val="21"/>
          <w:szCs w:val="21"/>
          <w:highlight w:val="none"/>
        </w:rPr>
        <w:t>基础、力学、电磁学、热学、光学、</w:t>
      </w:r>
      <w:r>
        <w:rPr>
          <w:rFonts w:hint="eastAsia" w:asciiTheme="minorEastAsia" w:hAnsiTheme="minorEastAsia" w:eastAsiaTheme="minorEastAsia" w:cstheme="minorEastAsia"/>
          <w:color w:val="auto"/>
          <w:sz w:val="21"/>
          <w:szCs w:val="21"/>
          <w:highlight w:val="none"/>
          <w:lang w:val="en-US" w:eastAsia="zh-CN"/>
        </w:rPr>
        <w:t>声学、</w:t>
      </w:r>
      <w:r>
        <w:rPr>
          <w:rFonts w:hint="eastAsia" w:asciiTheme="minorEastAsia" w:hAnsiTheme="minorEastAsia" w:eastAsiaTheme="minorEastAsia" w:cstheme="minorEastAsia"/>
          <w:color w:val="auto"/>
          <w:sz w:val="21"/>
          <w:szCs w:val="21"/>
          <w:highlight w:val="none"/>
        </w:rPr>
        <w:t>近代物理学知识点；</w:t>
      </w:r>
      <w:r>
        <w:rPr>
          <w:rFonts w:hint="eastAsia" w:asciiTheme="minorEastAsia" w:hAnsiTheme="minorEastAsia" w:eastAsiaTheme="minorEastAsia" w:cstheme="minorEastAsia"/>
          <w:b w:val="0"/>
          <w:bCs w:val="0"/>
          <w:color w:val="auto"/>
          <w:sz w:val="21"/>
          <w:szCs w:val="21"/>
          <w:highlight w:val="none"/>
          <w:lang w:eastAsia="zh-CN"/>
        </w:rPr>
        <w:t>化学科目至少包含：</w:t>
      </w:r>
      <w:r>
        <w:rPr>
          <w:rFonts w:hint="eastAsia" w:asciiTheme="minorEastAsia" w:hAnsiTheme="minorEastAsia" w:eastAsiaTheme="minorEastAsia" w:cstheme="minorEastAsia"/>
          <w:b w:val="0"/>
          <w:bCs w:val="0"/>
          <w:color w:val="auto"/>
          <w:sz w:val="21"/>
          <w:szCs w:val="21"/>
          <w:highlight w:val="none"/>
          <w:lang w:val="en-US" w:eastAsia="zh-CN"/>
        </w:rPr>
        <w:t>烃类化学、卤代烃化学、芳香族化学、立体化学、反应机理、官能团化学、有机反应、有机金属化学、化学热力学、</w:t>
      </w:r>
      <w:r>
        <w:rPr>
          <w:rFonts w:hint="eastAsia" w:asciiTheme="minorEastAsia" w:hAnsiTheme="minorEastAsia" w:eastAsiaTheme="minorEastAsia" w:cstheme="minorEastAsia"/>
          <w:b w:val="0"/>
          <w:bCs w:val="0"/>
          <w:color w:val="auto"/>
          <w:sz w:val="21"/>
          <w:szCs w:val="21"/>
          <w:highlight w:val="none"/>
          <w:lang w:eastAsia="zh-CN"/>
        </w:rPr>
        <w:t>化学</w:t>
      </w:r>
      <w:r>
        <w:rPr>
          <w:rFonts w:hint="eastAsia" w:asciiTheme="minorEastAsia" w:hAnsiTheme="minorEastAsia" w:eastAsiaTheme="minorEastAsia" w:cstheme="minorEastAsia"/>
          <w:b w:val="0"/>
          <w:bCs w:val="0"/>
          <w:color w:val="auto"/>
          <w:sz w:val="21"/>
          <w:szCs w:val="21"/>
          <w:highlight w:val="none"/>
          <w:lang w:val="en-US" w:eastAsia="zh-CN"/>
        </w:rPr>
        <w:t>键与</w:t>
      </w:r>
      <w:r>
        <w:rPr>
          <w:rFonts w:hint="eastAsia" w:asciiTheme="minorEastAsia" w:hAnsiTheme="minorEastAsia" w:eastAsiaTheme="minorEastAsia" w:cstheme="minorEastAsia"/>
          <w:b w:val="0"/>
          <w:bCs w:val="0"/>
          <w:color w:val="auto"/>
          <w:sz w:val="21"/>
          <w:szCs w:val="21"/>
          <w:highlight w:val="none"/>
          <w:lang w:eastAsia="zh-CN"/>
        </w:rPr>
        <w:t>分子结构，</w:t>
      </w:r>
      <w:r>
        <w:rPr>
          <w:rFonts w:hint="eastAsia" w:asciiTheme="minorEastAsia" w:hAnsiTheme="minorEastAsia" w:eastAsiaTheme="minorEastAsia" w:cstheme="minorEastAsia"/>
          <w:b w:val="0"/>
          <w:bCs w:val="0"/>
          <w:color w:val="auto"/>
          <w:sz w:val="21"/>
          <w:szCs w:val="21"/>
          <w:highlight w:val="none"/>
          <w:lang w:val="en-US" w:eastAsia="zh-CN"/>
        </w:rPr>
        <w:t>元素化学与周期表、电化学、</w:t>
      </w:r>
      <w:r>
        <w:rPr>
          <w:rFonts w:hint="eastAsia" w:asciiTheme="minorEastAsia" w:hAnsiTheme="minorEastAsia" w:eastAsiaTheme="minorEastAsia" w:cstheme="minorEastAsia"/>
          <w:b w:val="0"/>
          <w:bCs w:val="0"/>
          <w:color w:val="auto"/>
          <w:sz w:val="21"/>
          <w:szCs w:val="21"/>
          <w:highlight w:val="none"/>
          <w:lang w:eastAsia="zh-CN"/>
        </w:rPr>
        <w:t>晶体、氧化还原反应、</w:t>
      </w:r>
      <w:r>
        <w:rPr>
          <w:rFonts w:hint="eastAsia" w:asciiTheme="minorEastAsia" w:hAnsiTheme="minorEastAsia" w:eastAsiaTheme="minorEastAsia" w:cstheme="minorEastAsia"/>
          <w:b w:val="0"/>
          <w:bCs w:val="0"/>
          <w:color w:val="auto"/>
          <w:sz w:val="21"/>
          <w:szCs w:val="21"/>
          <w:highlight w:val="none"/>
          <w:lang w:val="en-US" w:eastAsia="zh-CN"/>
        </w:rPr>
        <w:t xml:space="preserve"> </w:t>
      </w:r>
      <w:r>
        <w:rPr>
          <w:rFonts w:hint="eastAsia" w:asciiTheme="minorEastAsia" w:hAnsiTheme="minorEastAsia" w:eastAsiaTheme="minorEastAsia" w:cstheme="minorEastAsia"/>
          <w:b w:val="0"/>
          <w:bCs w:val="0"/>
          <w:color w:val="auto"/>
          <w:sz w:val="21"/>
          <w:szCs w:val="21"/>
          <w:highlight w:val="none"/>
          <w:lang w:eastAsia="zh-CN"/>
        </w:rPr>
        <w:t>有机化学知识点</w:t>
      </w:r>
      <w:r>
        <w:rPr>
          <w:rFonts w:hint="eastAsia" w:asciiTheme="minorEastAsia" w:hAnsiTheme="minorEastAsia" w:eastAsiaTheme="minorEastAsia" w:cstheme="minorEastAsia"/>
          <w:color w:val="auto"/>
          <w:sz w:val="21"/>
          <w:szCs w:val="21"/>
          <w:highlight w:val="none"/>
        </w:rPr>
        <w:t>且有针对性（针对性在于针对不同年级基础的学生有不同的难度和培优预期，要求针对高一新生有预备课程，为竞赛学习打基础，要求针对有难度高于省级二、三等奖直接对标竞赛省级一等奖的课程难度），合理可行</w:t>
      </w:r>
      <w:r>
        <w:rPr>
          <w:rFonts w:hint="eastAsia" w:asciiTheme="minorEastAsia" w:hAnsiTheme="minorEastAsia" w:eastAsiaTheme="minorEastAsia" w:cstheme="minorEastAsia"/>
          <w:color w:val="auto"/>
          <w:sz w:val="21"/>
          <w:szCs w:val="21"/>
          <w:highlight w:val="none"/>
          <w:lang w:eastAsia="zh-CN"/>
        </w:rPr>
        <w:t>。</w:t>
      </w:r>
    </w:p>
    <w:p w14:paraId="27F76442">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2</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教练水平需</w:t>
      </w:r>
      <w:r>
        <w:rPr>
          <w:rFonts w:hint="eastAsia" w:asciiTheme="minorEastAsia" w:hAnsiTheme="minorEastAsia" w:eastAsiaTheme="minorEastAsia" w:cstheme="minorEastAsia"/>
          <w:color w:val="auto"/>
          <w:sz w:val="21"/>
          <w:szCs w:val="21"/>
          <w:highlight w:val="none"/>
          <w:lang w:val="en-US" w:eastAsia="zh-CN"/>
        </w:rPr>
        <w:t>至少</w:t>
      </w:r>
      <w:r>
        <w:rPr>
          <w:rFonts w:hint="eastAsia" w:asciiTheme="minorEastAsia" w:hAnsiTheme="minorEastAsia" w:eastAsiaTheme="minorEastAsia" w:cstheme="minorEastAsia"/>
          <w:color w:val="auto"/>
          <w:sz w:val="21"/>
          <w:szCs w:val="21"/>
          <w:highlight w:val="none"/>
        </w:rPr>
        <w:t>满足以下：为通过奥赛获奖得到保送进入985级别以上大学，应届本科毕业，学校层次由高到低分别为第一梯队清华北大；除清华北大以外的985大学</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rPr>
        <w:t>同时要求教师本人有奥赛国家级奖牌（金牌或银牌或铜牌）。</w:t>
      </w:r>
    </w:p>
    <w:p w14:paraId="0454C870">
      <w:pPr>
        <w:keepNext w:val="0"/>
        <w:keepLines w:val="0"/>
        <w:pageBreakBefore w:val="0"/>
        <w:widowControl w:val="0"/>
        <w:kinsoku/>
        <w:wordWrap/>
        <w:overflowPunct/>
        <w:topLinePunct w:val="0"/>
        <w:autoSpaceDE/>
        <w:autoSpaceDN/>
        <w:bidi w:val="0"/>
        <w:adjustRightInd/>
        <w:snapToGrid/>
        <w:spacing w:line="360" w:lineRule="auto"/>
        <w:ind w:right="0" w:firstLine="422" w:firstLineChars="200"/>
        <w:jc w:val="left"/>
        <w:textAlignment w:val="auto"/>
        <w:outlineLvl w:val="1"/>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lang w:val="en-US" w:eastAsia="zh-CN"/>
        </w:rPr>
        <w:t>三</w:t>
      </w:r>
      <w:r>
        <w:rPr>
          <w:rFonts w:hint="eastAsia" w:asciiTheme="minorEastAsia" w:hAnsiTheme="minorEastAsia" w:eastAsiaTheme="minorEastAsia" w:cstheme="minorEastAsia"/>
          <w:b/>
          <w:bCs/>
          <w:color w:val="auto"/>
          <w:sz w:val="21"/>
          <w:szCs w:val="21"/>
          <w:highlight w:val="none"/>
        </w:rPr>
        <w:t>、其他要求：</w:t>
      </w:r>
    </w:p>
    <w:p w14:paraId="210FCA85">
      <w:pPr>
        <w:keepNext w:val="0"/>
        <w:keepLines w:val="0"/>
        <w:pageBreakBefore w:val="0"/>
        <w:widowControl w:val="0"/>
        <w:kinsoku/>
        <w:wordWrap/>
        <w:overflowPunct/>
        <w:topLinePunct w:val="0"/>
        <w:autoSpaceDE/>
        <w:autoSpaceDN/>
        <w:bidi w:val="0"/>
        <w:adjustRightInd/>
        <w:snapToGrid/>
        <w:spacing w:line="360" w:lineRule="auto"/>
        <w:ind w:right="0" w:firstLine="420" w:firstLineChars="200"/>
        <w:jc w:val="left"/>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1、服务期限：自合同签订之日起一年或授课课时达到采购课时此合同终止。</w:t>
      </w:r>
    </w:p>
    <w:p w14:paraId="6B3D6060">
      <w:pPr>
        <w:keepNext w:val="0"/>
        <w:keepLines w:val="0"/>
        <w:pageBreakBefore w:val="0"/>
        <w:kinsoku/>
        <w:wordWrap/>
        <w:overflowPunct/>
        <w:topLinePunct w:val="0"/>
        <w:autoSpaceDN w:val="0"/>
        <w:bidi w:val="0"/>
        <w:adjustRightInd/>
        <w:snapToGrid/>
        <w:spacing w:line="360" w:lineRule="auto"/>
        <w:ind w:right="0" w:firstLine="420" w:firstLineChars="200"/>
        <w:textAlignment w:val="auto"/>
        <w:rPr>
          <w:rFonts w:hint="eastAsia" w:ascii="宋体" w:hAnsi="宋体" w:eastAsia="宋体" w:cs="宋体"/>
          <w:b/>
          <w:bCs w:val="0"/>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付款方式：</w:t>
      </w:r>
      <w:r>
        <w:rPr>
          <w:rFonts w:hint="eastAsia" w:ascii="宋体" w:hAnsi="宋体" w:eastAsia="宋体" w:cs="宋体"/>
          <w:color w:val="auto"/>
          <w:sz w:val="21"/>
          <w:szCs w:val="21"/>
          <w:highlight w:val="none"/>
          <w:lang w:val="en-US" w:eastAsia="zh-CN" w:bidi="ar"/>
        </w:rPr>
        <w:t>签订合同后，在合同生效以及具备实施条件后7个工作日内支付合同金额的</w:t>
      </w:r>
      <w:r>
        <w:rPr>
          <w:rFonts w:hint="eastAsia" w:hAnsi="宋体" w:cs="宋体"/>
          <w:color w:val="auto"/>
          <w:sz w:val="21"/>
          <w:szCs w:val="21"/>
          <w:highlight w:val="none"/>
          <w:lang w:val="en-US" w:eastAsia="zh-CN" w:bidi="ar"/>
        </w:rPr>
        <w:t>4</w:t>
      </w:r>
      <w:r>
        <w:rPr>
          <w:rFonts w:hint="eastAsia" w:ascii="宋体" w:hAnsi="宋体" w:eastAsia="宋体" w:cs="宋体"/>
          <w:color w:val="auto"/>
          <w:sz w:val="21"/>
          <w:szCs w:val="21"/>
          <w:highlight w:val="none"/>
          <w:lang w:val="en-US" w:eastAsia="zh-CN" w:bidi="ar"/>
        </w:rPr>
        <w:t>0%作为预付款，服务期满后一次性付清剩余合同金额</w:t>
      </w:r>
      <w:r>
        <w:rPr>
          <w:rFonts w:hint="eastAsia" w:asciiTheme="minorEastAsia" w:hAnsiTheme="minorEastAsia" w:eastAsiaTheme="minorEastAsia" w:cstheme="minorEastAsia"/>
          <w:color w:val="auto"/>
          <w:sz w:val="21"/>
          <w:szCs w:val="21"/>
          <w:highlight w:val="none"/>
        </w:rPr>
        <w:t>。</w:t>
      </w:r>
    </w:p>
    <w:p w14:paraId="37C5B450">
      <w:pPr>
        <w:autoSpaceDN w:val="0"/>
        <w:spacing w:line="360" w:lineRule="auto"/>
        <w:ind w:firstLine="422" w:firstLineChars="200"/>
        <w:rPr>
          <w:color w:val="auto"/>
          <w:highlight w:val="none"/>
        </w:rPr>
      </w:pPr>
      <w:r>
        <w:rPr>
          <w:rFonts w:hint="eastAsia" w:ascii="宋体" w:hAnsi="宋体" w:eastAsia="宋体" w:cs="宋体"/>
          <w:b/>
          <w:bCs w:val="0"/>
          <w:color w:val="auto"/>
          <w:sz w:val="21"/>
          <w:szCs w:val="21"/>
          <w:highlight w:val="none"/>
          <w:lang w:val="en-US" w:eastAsia="zh-CN"/>
        </w:rPr>
        <w:t>四</w:t>
      </w:r>
      <w:r>
        <w:rPr>
          <w:rFonts w:hint="eastAsia" w:ascii="宋体" w:hAnsi="宋体" w:eastAsia="宋体" w:cs="宋体"/>
          <w:b/>
          <w:bCs w:val="0"/>
          <w:color w:val="auto"/>
          <w:sz w:val="21"/>
          <w:szCs w:val="21"/>
          <w:highlight w:val="none"/>
        </w:rPr>
        <w:t>、</w:t>
      </w:r>
      <w:r>
        <w:rPr>
          <w:rFonts w:hint="eastAsia" w:ascii="宋体" w:hAnsi="宋体" w:eastAsia="宋体" w:cs="宋体"/>
          <w:b/>
          <w:color w:val="auto"/>
          <w:sz w:val="21"/>
          <w:szCs w:val="21"/>
          <w:highlight w:val="none"/>
        </w:rPr>
        <w:t>本项目中标（成交）供应商应在浙江省政府采购网</w:t>
      </w:r>
      <w:r>
        <w:rPr>
          <w:rFonts w:hint="eastAsia" w:ascii="宋体" w:hAnsi="宋体" w:eastAsia="宋体" w:cs="宋体"/>
          <w:b/>
          <w:color w:val="auto"/>
          <w:sz w:val="21"/>
          <w:szCs w:val="21"/>
          <w:highlight w:val="none"/>
          <w:lang w:eastAsia="zh-CN"/>
        </w:rPr>
        <w:t>（http://zfcg.czt.zj.gov.cn）</w:t>
      </w:r>
      <w:r>
        <w:rPr>
          <w:rFonts w:hint="eastAsia" w:ascii="宋体" w:hAnsi="宋体" w:eastAsia="宋体" w:cs="宋体"/>
          <w:b/>
          <w:color w:val="auto"/>
          <w:sz w:val="21"/>
          <w:szCs w:val="21"/>
          <w:highlight w:val="none"/>
        </w:rPr>
        <w:t>上注册成为“政府采购供应商”，如不按要求注册的，采购方有权延期发布中标（成交）通知书和中标（成交）公告，后果由供应商自行承担。</w:t>
      </w:r>
    </w:p>
    <w:p w14:paraId="77632E07">
      <w:pPr>
        <w:spacing w:line="360" w:lineRule="auto"/>
        <w:jc w:val="center"/>
        <w:rPr>
          <w:rFonts w:hint="eastAsia" w:ascii="宋体" w:hAnsi="宋体" w:eastAsia="宋体" w:cs="宋体"/>
          <w:b/>
          <w:color w:val="auto"/>
          <w:sz w:val="36"/>
          <w:szCs w:val="36"/>
          <w:highlight w:val="none"/>
        </w:rPr>
      </w:pPr>
    </w:p>
    <w:p w14:paraId="27780B3E">
      <w:pPr>
        <w:spacing w:line="360" w:lineRule="auto"/>
        <w:jc w:val="center"/>
        <w:rPr>
          <w:rFonts w:hint="eastAsia" w:ascii="宋体" w:hAnsi="宋体" w:eastAsia="宋体" w:cs="宋体"/>
          <w:b/>
          <w:color w:val="auto"/>
          <w:sz w:val="36"/>
          <w:szCs w:val="36"/>
          <w:highlight w:val="none"/>
        </w:rPr>
      </w:pPr>
    </w:p>
    <w:p w14:paraId="06D2E3FB">
      <w:pPr>
        <w:spacing w:line="360" w:lineRule="auto"/>
        <w:jc w:val="center"/>
        <w:rPr>
          <w:rFonts w:hint="eastAsia" w:ascii="宋体" w:hAnsi="宋体" w:eastAsia="宋体" w:cs="宋体"/>
          <w:b/>
          <w:color w:val="auto"/>
          <w:sz w:val="36"/>
          <w:szCs w:val="36"/>
          <w:highlight w:val="none"/>
        </w:rPr>
      </w:pPr>
    </w:p>
    <w:p w14:paraId="44501BA8">
      <w:pPr>
        <w:spacing w:line="360" w:lineRule="auto"/>
        <w:jc w:val="center"/>
        <w:rPr>
          <w:rFonts w:hint="eastAsia" w:ascii="宋体" w:hAnsi="宋体" w:eastAsia="宋体" w:cs="宋体"/>
          <w:b/>
          <w:color w:val="auto"/>
          <w:sz w:val="36"/>
          <w:szCs w:val="36"/>
          <w:highlight w:val="none"/>
        </w:rPr>
      </w:pPr>
    </w:p>
    <w:p w14:paraId="3CB61870">
      <w:pPr>
        <w:spacing w:line="360" w:lineRule="auto"/>
        <w:jc w:val="center"/>
        <w:rPr>
          <w:rFonts w:hint="eastAsia" w:ascii="宋体" w:hAnsi="宋体" w:eastAsia="宋体" w:cs="宋体"/>
          <w:b/>
          <w:color w:val="auto"/>
          <w:sz w:val="36"/>
          <w:szCs w:val="36"/>
          <w:highlight w:val="none"/>
        </w:rPr>
      </w:pPr>
    </w:p>
    <w:p w14:paraId="18DF70FD">
      <w:pPr>
        <w:spacing w:line="360" w:lineRule="auto"/>
        <w:jc w:val="center"/>
        <w:rPr>
          <w:rFonts w:hint="eastAsia" w:ascii="宋体" w:hAnsi="宋体" w:eastAsia="宋体" w:cs="宋体"/>
          <w:b/>
          <w:color w:val="auto"/>
          <w:sz w:val="36"/>
          <w:szCs w:val="36"/>
          <w:highlight w:val="none"/>
        </w:rPr>
      </w:pPr>
    </w:p>
    <w:p w14:paraId="3EBCD326">
      <w:pPr>
        <w:spacing w:line="360" w:lineRule="auto"/>
        <w:jc w:val="both"/>
        <w:rPr>
          <w:rFonts w:hint="eastAsia" w:ascii="宋体" w:hAnsi="宋体" w:eastAsia="宋体" w:cs="宋体"/>
          <w:b/>
          <w:color w:val="auto"/>
          <w:sz w:val="36"/>
          <w:szCs w:val="36"/>
          <w:highlight w:val="none"/>
        </w:rPr>
      </w:pPr>
    </w:p>
    <w:p w14:paraId="1336C1F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05F7540A">
      <w:pPr>
        <w:spacing w:line="360" w:lineRule="auto"/>
        <w:jc w:val="center"/>
        <w:outlineLvl w:val="0"/>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t>第五章 政府采购合同主要条款</w:t>
      </w:r>
    </w:p>
    <w:p w14:paraId="77F83043">
      <w:pPr>
        <w:pStyle w:val="52"/>
        <w:keepNext w:val="0"/>
        <w:keepLines w:val="0"/>
        <w:pageBreakBefore w:val="0"/>
        <w:widowControl w:val="0"/>
        <w:kinsoku/>
        <w:wordWrap/>
        <w:overflowPunct/>
        <w:topLinePunct w:val="0"/>
        <w:bidi w:val="0"/>
        <w:spacing w:line="360" w:lineRule="auto"/>
        <w:jc w:val="center"/>
        <w:outlineLvl w:val="9"/>
        <w:rPr>
          <w:rFonts w:hint="eastAsia" w:ascii="宋体" w:hAnsi="宋体" w:eastAsia="宋体" w:cs="宋体"/>
          <w:color w:val="auto"/>
          <w:highlight w:val="none"/>
        </w:rPr>
      </w:pPr>
      <w:r>
        <w:rPr>
          <w:rFonts w:hint="eastAsia" w:ascii="宋体" w:hAnsi="宋体" w:eastAsia="宋体" w:cs="宋体"/>
          <w:color w:val="auto"/>
          <w:kern w:val="2"/>
          <w:sz w:val="21"/>
          <w:szCs w:val="21"/>
          <w:highlight w:val="none"/>
          <w:lang w:val="en-US" w:eastAsia="zh-CN" w:bidi="ar-SA"/>
        </w:rPr>
        <w:t>（此稿为合同样本，最终定稿待双方协商后定，但不得背离实质性内容）</w:t>
      </w:r>
    </w:p>
    <w:p w14:paraId="058F7B2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rPr>
        <w:t>合同将由</w:t>
      </w:r>
      <w:r>
        <w:rPr>
          <w:rFonts w:hint="eastAsia" w:ascii="宋体" w:hAnsi="宋体" w:cs="宋体"/>
          <w:color w:val="auto"/>
          <w:szCs w:val="21"/>
          <w:highlight w:val="none"/>
          <w:lang w:eastAsia="zh-CN"/>
        </w:rPr>
        <w:t>台州市第一中学</w:t>
      </w:r>
      <w:r>
        <w:rPr>
          <w:rFonts w:hint="eastAsia" w:ascii="宋体" w:hAnsi="宋体" w:eastAsia="宋体" w:cs="宋体"/>
          <w:color w:val="auto"/>
          <w:szCs w:val="21"/>
          <w:highlight w:val="none"/>
        </w:rPr>
        <w:t>（以下简称甲方）与经评审最终确定的中标人（以下简称乙方）结合本项目具体情况协商后签订。以下为采购人提出涉及乙方的主要条款，投标人在</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文件中应对其进行确认或拒绝。如投标人在其</w:t>
      </w:r>
      <w:r>
        <w:rPr>
          <w:rFonts w:hint="eastAsia" w:ascii="宋体" w:hAnsi="宋体" w:eastAsia="宋体" w:cs="宋体"/>
          <w:color w:val="auto"/>
          <w:szCs w:val="21"/>
          <w:highlight w:val="none"/>
          <w:lang w:val="en-US" w:eastAsia="zh-CN"/>
        </w:rPr>
        <w:t>磋商响应</w:t>
      </w:r>
      <w:r>
        <w:rPr>
          <w:rFonts w:hint="eastAsia" w:ascii="宋体" w:hAnsi="宋体" w:eastAsia="宋体" w:cs="宋体"/>
          <w:color w:val="auto"/>
          <w:szCs w:val="21"/>
          <w:highlight w:val="none"/>
        </w:rPr>
        <w:t>文件中未做拒绝或提出调整完善要求的，采购人将视作认同。具体如下：</w:t>
      </w:r>
    </w:p>
    <w:p w14:paraId="43BDE494">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int="eastAsia" w:ascii="宋体" w:hAnsi="宋体" w:eastAsia="宋体" w:cs="宋体"/>
          <w:color w:val="auto"/>
          <w:szCs w:val="21"/>
          <w:highlight w:val="none"/>
        </w:rPr>
      </w:pPr>
      <w:r>
        <w:rPr>
          <w:rFonts w:hint="eastAsia" w:ascii="宋体" w:hAnsi="宋体" w:eastAsia="宋体" w:cs="宋体"/>
          <w:color w:val="auto"/>
          <w:szCs w:val="21"/>
          <w:highlight w:val="none"/>
          <w:lang w:eastAsia="zh-CN"/>
        </w:rPr>
        <w:t>项目编号</w:t>
      </w:r>
      <w:r>
        <w:rPr>
          <w:rFonts w:hint="eastAsia" w:ascii="宋体" w:hAnsi="宋体" w:eastAsia="宋体" w:cs="宋体"/>
          <w:color w:val="auto"/>
          <w:szCs w:val="21"/>
          <w:highlight w:val="none"/>
        </w:rPr>
        <w:t>：</w:t>
      </w:r>
    </w:p>
    <w:p w14:paraId="3F46BAF9">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int="eastAsia" w:hAnsi="宋体" w:eastAsia="宋体" w:cs="宋体"/>
          <w:b/>
          <w:color w:val="auto"/>
          <w:szCs w:val="21"/>
          <w:highlight w:val="none"/>
          <w:lang w:eastAsia="zh-CN"/>
        </w:rPr>
      </w:pPr>
      <w:r>
        <w:rPr>
          <w:rFonts w:hint="eastAsia" w:hAnsi="宋体" w:cs="宋体"/>
          <w:b/>
          <w:color w:val="auto"/>
          <w:szCs w:val="21"/>
          <w:highlight w:val="none"/>
        </w:rPr>
        <w:t>甲方：</w:t>
      </w:r>
      <w:r>
        <w:rPr>
          <w:rFonts w:hint="eastAsia" w:hAnsi="宋体" w:cs="宋体"/>
          <w:color w:val="auto"/>
          <w:szCs w:val="21"/>
          <w:highlight w:val="none"/>
        </w:rPr>
        <w:t>（采购方）</w:t>
      </w:r>
      <w:r>
        <w:rPr>
          <w:rFonts w:hint="eastAsia" w:hAnsi="宋体" w:cs="宋体"/>
          <w:color w:val="auto"/>
          <w:szCs w:val="21"/>
          <w:highlight w:val="none"/>
          <w:lang w:eastAsia="zh-CN"/>
        </w:rPr>
        <w:t>台州市第一中学</w:t>
      </w:r>
    </w:p>
    <w:p w14:paraId="51C3E9E8">
      <w:pPr>
        <w:pStyle w:val="11"/>
        <w:keepNext w:val="0"/>
        <w:keepLines w:val="0"/>
        <w:pageBreakBefore w:val="0"/>
        <w:widowControl w:val="0"/>
        <w:kinsoku/>
        <w:wordWrap w:val="0"/>
        <w:overflowPunct/>
        <w:topLinePunct w:val="0"/>
        <w:autoSpaceDE/>
        <w:autoSpaceDN/>
        <w:bidi w:val="0"/>
        <w:adjustRightInd/>
        <w:snapToGrid/>
        <w:spacing w:line="360" w:lineRule="auto"/>
        <w:ind w:firstLine="422" w:firstLineChars="200"/>
        <w:textAlignment w:val="auto"/>
        <w:outlineLvl w:val="9"/>
        <w:rPr>
          <w:rFonts w:hAnsi="宋体" w:cs="宋体"/>
          <w:b/>
          <w:color w:val="auto"/>
          <w:szCs w:val="21"/>
          <w:highlight w:val="none"/>
        </w:rPr>
      </w:pPr>
      <w:r>
        <w:rPr>
          <w:rFonts w:hint="eastAsia" w:hAnsi="宋体" w:cs="宋体"/>
          <w:b/>
          <w:color w:val="auto"/>
          <w:szCs w:val="21"/>
          <w:highlight w:val="none"/>
        </w:rPr>
        <w:t>乙方：</w:t>
      </w:r>
      <w:r>
        <w:rPr>
          <w:rFonts w:hint="eastAsia" w:hAnsi="宋体" w:cs="宋体"/>
          <w:color w:val="auto"/>
          <w:szCs w:val="21"/>
          <w:highlight w:val="none"/>
        </w:rPr>
        <w:t>（供应商）</w:t>
      </w:r>
      <w:r>
        <w:rPr>
          <w:rFonts w:hint="eastAsia" w:hAnsi="宋体" w:cs="宋体"/>
          <w:b/>
          <w:color w:val="auto"/>
          <w:szCs w:val="21"/>
          <w:highlight w:val="none"/>
        </w:rPr>
        <w:t xml:space="preserve"> </w:t>
      </w:r>
    </w:p>
    <w:p w14:paraId="0BAA2FA5">
      <w:pPr>
        <w:pStyle w:val="11"/>
        <w:keepNext w:val="0"/>
        <w:keepLines w:val="0"/>
        <w:pageBreakBefore w:val="0"/>
        <w:widowControl w:val="0"/>
        <w:kinsoku/>
        <w:wordWrap w:val="0"/>
        <w:overflowPunct/>
        <w:topLinePunct w:val="0"/>
        <w:autoSpaceDE/>
        <w:autoSpaceDN/>
        <w:bidi w:val="0"/>
        <w:adjustRightInd/>
        <w:snapToGrid/>
        <w:spacing w:line="360" w:lineRule="auto"/>
        <w:ind w:firstLine="420" w:firstLineChars="200"/>
        <w:textAlignment w:val="auto"/>
        <w:outlineLvl w:val="9"/>
        <w:rPr>
          <w:rFonts w:hAnsi="宋体" w:cs="宋体"/>
          <w:b/>
          <w:color w:val="auto"/>
          <w:szCs w:val="21"/>
          <w:highlight w:val="none"/>
        </w:rPr>
      </w:pPr>
      <w:r>
        <w:rPr>
          <w:rFonts w:hint="eastAsia" w:hAnsi="宋体" w:cs="宋体"/>
          <w:color w:val="auto"/>
          <w:szCs w:val="21"/>
          <w:highlight w:val="none"/>
        </w:rPr>
        <w:t>甲、乙双方根据</w:t>
      </w:r>
      <w:r>
        <w:rPr>
          <w:rFonts w:hint="eastAsia" w:hAnsi="宋体" w:cs="宋体"/>
          <w:color w:val="auto"/>
          <w:szCs w:val="21"/>
          <w:highlight w:val="none"/>
          <w:u w:val="single"/>
          <w:lang w:eastAsia="zh-CN"/>
        </w:rPr>
        <w:t>台州市第一中学拔尖人才早期培养及化学竞赛项目</w:t>
      </w:r>
      <w:r>
        <w:rPr>
          <w:rFonts w:hint="eastAsia" w:hAnsi="宋体" w:cs="宋体"/>
          <w:color w:val="auto"/>
          <w:szCs w:val="21"/>
          <w:highlight w:val="none"/>
          <w:u w:val="single"/>
        </w:rPr>
        <w:t>竞争性磋商</w:t>
      </w:r>
      <w:r>
        <w:rPr>
          <w:rFonts w:hint="eastAsia" w:hAnsi="宋体" w:cs="宋体"/>
          <w:color w:val="auto"/>
          <w:szCs w:val="21"/>
          <w:highlight w:val="none"/>
        </w:rPr>
        <w:t>的结果，签署本合同。</w:t>
      </w:r>
    </w:p>
    <w:p w14:paraId="00DCD6F6">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lang w:val="en-US" w:eastAsia="zh-CN"/>
        </w:rPr>
        <w:t>第一条：</w:t>
      </w:r>
      <w:r>
        <w:rPr>
          <w:rFonts w:hint="eastAsia" w:ascii="宋体" w:hAnsi="宋体" w:eastAsia="宋体" w:cs="宋体"/>
          <w:b/>
          <w:bCs/>
          <w:color w:val="auto"/>
          <w:spacing w:val="-6"/>
          <w:kern w:val="0"/>
          <w:szCs w:val="21"/>
          <w:highlight w:val="none"/>
        </w:rPr>
        <w:t>服务内容</w:t>
      </w:r>
    </w:p>
    <w:p w14:paraId="0D495090">
      <w:pPr>
        <w:keepNext w:val="0"/>
        <w:keepLines w:val="0"/>
        <w:pageBreakBefore w:val="0"/>
        <w:widowControl w:val="0"/>
        <w:kinsoku/>
        <w:wordWrap w:val="0"/>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详见本项目</w:t>
      </w:r>
      <w:r>
        <w:rPr>
          <w:rFonts w:hint="eastAsia" w:ascii="宋体" w:hAnsi="宋体" w:eastAsia="宋体" w:cs="宋体"/>
          <w:color w:val="auto"/>
          <w:spacing w:val="-6"/>
          <w:kern w:val="0"/>
          <w:szCs w:val="21"/>
          <w:highlight w:val="none"/>
          <w:lang w:val="en-US" w:eastAsia="zh-CN"/>
        </w:rPr>
        <w:t>采购</w:t>
      </w:r>
      <w:r>
        <w:rPr>
          <w:rFonts w:hint="eastAsia" w:ascii="宋体" w:hAnsi="宋体" w:eastAsia="宋体" w:cs="宋体"/>
          <w:color w:val="auto"/>
          <w:spacing w:val="-6"/>
          <w:kern w:val="0"/>
          <w:szCs w:val="21"/>
          <w:highlight w:val="none"/>
        </w:rPr>
        <w:t>文件第</w:t>
      </w:r>
      <w:r>
        <w:rPr>
          <w:rFonts w:hint="eastAsia" w:ascii="宋体" w:hAnsi="宋体" w:cs="宋体"/>
          <w:color w:val="auto"/>
          <w:spacing w:val="-6"/>
          <w:kern w:val="0"/>
          <w:szCs w:val="21"/>
          <w:highlight w:val="none"/>
          <w:lang w:val="en-US" w:eastAsia="zh-CN"/>
        </w:rPr>
        <w:t>四</w:t>
      </w:r>
      <w:r>
        <w:rPr>
          <w:rFonts w:hint="eastAsia" w:ascii="宋体" w:hAnsi="宋体" w:eastAsia="宋体" w:cs="宋体"/>
          <w:color w:val="auto"/>
          <w:spacing w:val="-6"/>
          <w:kern w:val="0"/>
          <w:szCs w:val="21"/>
          <w:highlight w:val="none"/>
        </w:rPr>
        <w:t>部分《</w:t>
      </w:r>
      <w:r>
        <w:rPr>
          <w:rFonts w:hint="eastAsia" w:ascii="宋体" w:hAnsi="宋体" w:cs="宋体"/>
          <w:color w:val="auto"/>
          <w:spacing w:val="-6"/>
          <w:kern w:val="0"/>
          <w:szCs w:val="21"/>
          <w:highlight w:val="none"/>
          <w:lang w:val="en-US" w:eastAsia="zh-CN"/>
        </w:rPr>
        <w:t>项目需求</w:t>
      </w:r>
      <w:r>
        <w:rPr>
          <w:rFonts w:hint="eastAsia" w:ascii="宋体" w:hAnsi="宋体" w:eastAsia="宋体" w:cs="宋体"/>
          <w:color w:val="auto"/>
          <w:spacing w:val="-6"/>
          <w:kern w:val="0"/>
          <w:szCs w:val="21"/>
          <w:highlight w:val="none"/>
        </w:rPr>
        <w:t>》。</w:t>
      </w:r>
    </w:p>
    <w:p w14:paraId="58E25C65">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第二条：合同金额</w:t>
      </w:r>
    </w:p>
    <w:p w14:paraId="7AF87898">
      <w:pPr>
        <w:keepNext w:val="0"/>
        <w:keepLines w:val="0"/>
        <w:pageBreakBefore w:val="0"/>
        <w:widowControl w:val="0"/>
        <w:kinsoku/>
        <w:wordWrap w:val="0"/>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rPr>
        <w:t>本合同金额为(大写):</w:t>
      </w:r>
      <w:r>
        <w:rPr>
          <w:rFonts w:hint="eastAsia" w:ascii="宋体" w:hAnsi="宋体" w:eastAsia="宋体" w:cs="宋体"/>
          <w:color w:val="auto"/>
          <w:spacing w:val="-6"/>
          <w:kern w:val="0"/>
          <w:szCs w:val="21"/>
          <w:highlight w:val="none"/>
          <w:u w:val="single"/>
        </w:rPr>
        <w:t xml:space="preserve">               </w:t>
      </w:r>
      <w:r>
        <w:rPr>
          <w:rFonts w:hint="eastAsia" w:ascii="宋体" w:hAnsi="宋体" w:eastAsia="宋体" w:cs="宋体"/>
          <w:color w:val="auto"/>
          <w:spacing w:val="-6"/>
          <w:kern w:val="0"/>
          <w:szCs w:val="21"/>
          <w:highlight w:val="none"/>
          <w:u w:val="none"/>
        </w:rPr>
        <w:t xml:space="preserve"> 元 (￥: </w:t>
      </w:r>
      <w:r>
        <w:rPr>
          <w:rFonts w:hint="eastAsia" w:ascii="宋体" w:hAnsi="宋体" w:eastAsia="宋体" w:cs="宋体"/>
          <w:color w:val="auto"/>
          <w:spacing w:val="-6"/>
          <w:kern w:val="0"/>
          <w:szCs w:val="21"/>
          <w:highlight w:val="none"/>
          <w:u w:val="single"/>
        </w:rPr>
        <w:t xml:space="preserve">            </w:t>
      </w:r>
      <w:r>
        <w:rPr>
          <w:rFonts w:hint="eastAsia" w:ascii="宋体" w:hAnsi="宋体" w:eastAsia="宋体" w:cs="宋体"/>
          <w:color w:val="auto"/>
          <w:spacing w:val="-6"/>
          <w:kern w:val="0"/>
          <w:szCs w:val="21"/>
          <w:highlight w:val="none"/>
          <w:u w:val="none"/>
        </w:rPr>
        <w:t xml:space="preserve">元) </w:t>
      </w:r>
      <w:r>
        <w:rPr>
          <w:rFonts w:hint="eastAsia" w:ascii="宋体" w:hAnsi="宋体" w:eastAsia="宋体" w:cs="宋体"/>
          <w:color w:val="auto"/>
          <w:spacing w:val="-6"/>
          <w:kern w:val="0"/>
          <w:szCs w:val="21"/>
          <w:highlight w:val="none"/>
        </w:rPr>
        <w:t>人民币。</w:t>
      </w:r>
    </w:p>
    <w:p w14:paraId="7A97978B">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第三条：技术资料</w:t>
      </w:r>
    </w:p>
    <w:p w14:paraId="7101059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1、乙方应按采购文件规定的时间向甲方提供有关技术资料。</w:t>
      </w:r>
    </w:p>
    <w:p w14:paraId="2FEE09E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14:paraId="120BFD40">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第四条：知识产权</w:t>
      </w:r>
    </w:p>
    <w:p w14:paraId="57BAB22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1、乙方应保证提供服务过程中不会侵犯任何第三方的知识产权和其他权利。</w:t>
      </w:r>
    </w:p>
    <w:p w14:paraId="35893625">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2、本项目所有成果以及采集的数据的知识产权和其他权利属甲方所有，乙方不得以任何形式向第三方提供，否则，按国家法律和有关规定追究乙方的一切责任，并要求乙方承担甲方因此造成的损失。</w:t>
      </w:r>
    </w:p>
    <w:p w14:paraId="7C8ADA7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3、本项目作业过程中提供的或涉及的所有数据属甲方拥有，乙方无权在技术要求规定之外自行处置数据，不得自行删除、复制、调整完善、转移数据，不得以任何形式擅自使用或向第三方提供。</w:t>
      </w:r>
    </w:p>
    <w:p w14:paraId="27E4CD7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4、若侵犯,除承担本协议中的违约责任外，还应由乙方赔偿甲方因此遭受的损失（包括但不限于应对及追偿过程中所支付的律师费、差旅费、诉讼费、保全费、鉴定费、评估费等）。</w:t>
      </w:r>
    </w:p>
    <w:p w14:paraId="1A12C656">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五</w:t>
      </w:r>
      <w:r>
        <w:rPr>
          <w:rFonts w:hint="eastAsia" w:ascii="宋体" w:hAnsi="宋体" w:eastAsia="宋体" w:cs="宋体"/>
          <w:b/>
          <w:bCs/>
          <w:color w:val="auto"/>
          <w:spacing w:val="-6"/>
          <w:kern w:val="0"/>
          <w:szCs w:val="21"/>
          <w:highlight w:val="none"/>
        </w:rPr>
        <w:t>条：转包或分包</w:t>
      </w:r>
    </w:p>
    <w:p w14:paraId="44DC415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1、本合同范围的服务，应由乙方直接供应，不得转让他人供应；</w:t>
      </w:r>
    </w:p>
    <w:p w14:paraId="225FEB12">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2、乙方不得将本合同范围的服务全部或部分分包给他人供应；</w:t>
      </w:r>
    </w:p>
    <w:p w14:paraId="671C9504">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3、如有转让和分包行为，甲方有权解除合同，并追究乙方的违约责任。</w:t>
      </w:r>
    </w:p>
    <w:p w14:paraId="703190CE">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color w:val="auto"/>
          <w:spacing w:val="-6"/>
          <w:kern w:val="0"/>
          <w:szCs w:val="21"/>
          <w:highlight w:val="none"/>
          <w:lang w:val="en-US" w:eastAsia="zh-CN"/>
        </w:rPr>
      </w:pPr>
      <w:r>
        <w:rPr>
          <w:rFonts w:hint="eastAsia" w:ascii="宋体" w:hAnsi="宋体" w:eastAsia="宋体" w:cs="宋体"/>
          <w:b/>
          <w:bCs/>
          <w:color w:val="auto"/>
          <w:spacing w:val="-6"/>
          <w:kern w:val="0"/>
          <w:szCs w:val="21"/>
          <w:highlight w:val="none"/>
          <w:lang w:val="en-US" w:eastAsia="zh-CN"/>
        </w:rPr>
        <w:t>第六条：其他要求</w:t>
      </w:r>
    </w:p>
    <w:p w14:paraId="51234235">
      <w:pPr>
        <w:keepNext w:val="0"/>
        <w:keepLines w:val="0"/>
        <w:pageBreakBefore w:val="0"/>
        <w:widowControl w:val="0"/>
        <w:kinsoku/>
        <w:wordWrap w:val="0"/>
        <w:overflowPunct/>
        <w:topLinePunct w:val="0"/>
        <w:autoSpaceDE/>
        <w:autoSpaceDN/>
        <w:bidi w:val="0"/>
        <w:adjustRightInd/>
        <w:snapToGrid/>
        <w:spacing w:line="360" w:lineRule="auto"/>
        <w:ind w:firstLine="396" w:firstLineChars="200"/>
        <w:jc w:val="left"/>
        <w:textAlignment w:val="auto"/>
        <w:outlineLvl w:val="9"/>
        <w:rPr>
          <w:rFonts w:hint="default" w:ascii="宋体" w:hAnsi="宋体" w:eastAsia="宋体" w:cs="宋体"/>
          <w:color w:val="auto"/>
          <w:spacing w:val="-6"/>
          <w:kern w:val="0"/>
          <w:szCs w:val="21"/>
          <w:highlight w:val="none"/>
          <w:lang w:val="en-US" w:eastAsia="zh-CN"/>
        </w:rPr>
      </w:pPr>
      <w:r>
        <w:rPr>
          <w:rFonts w:hint="eastAsia" w:ascii="宋体" w:hAnsi="宋体" w:eastAsia="宋体" w:cs="宋体"/>
          <w:color w:val="auto"/>
          <w:spacing w:val="-6"/>
          <w:kern w:val="0"/>
          <w:szCs w:val="21"/>
          <w:highlight w:val="none"/>
          <w:lang w:val="en-US" w:eastAsia="zh-CN"/>
        </w:rPr>
        <w:t>1、服务期限：</w:t>
      </w:r>
      <w:r>
        <w:rPr>
          <w:rFonts w:hint="eastAsia" w:asciiTheme="minorEastAsia" w:hAnsiTheme="minorEastAsia" w:eastAsiaTheme="minorEastAsia" w:cstheme="minorEastAsia"/>
          <w:color w:val="auto"/>
          <w:sz w:val="21"/>
          <w:szCs w:val="21"/>
          <w:highlight w:val="none"/>
          <w:lang w:val="en-US" w:eastAsia="zh-CN"/>
        </w:rPr>
        <w:t>自合同签订之日起一年或授课课时达到采购课时此合同终止。</w:t>
      </w:r>
    </w:p>
    <w:p w14:paraId="0C87C9CB">
      <w:pPr>
        <w:keepNext w:val="0"/>
        <w:keepLines w:val="0"/>
        <w:pageBreakBefore w:val="0"/>
        <w:widowControl w:val="0"/>
        <w:kinsoku/>
        <w:wordWrap w:val="0"/>
        <w:overflowPunct/>
        <w:topLinePunct w:val="0"/>
        <w:autoSpaceDE/>
        <w:autoSpaceDN/>
        <w:bidi w:val="0"/>
        <w:adjustRightInd/>
        <w:snapToGrid/>
        <w:spacing w:line="360" w:lineRule="auto"/>
        <w:ind w:firstLine="396" w:firstLineChars="200"/>
        <w:jc w:val="left"/>
        <w:textAlignment w:val="auto"/>
        <w:outlineLvl w:val="9"/>
        <w:rPr>
          <w:rFonts w:hint="eastAsia" w:ascii="宋体" w:hAnsi="宋体" w:eastAsia="宋体" w:cs="宋体"/>
          <w:color w:val="auto"/>
          <w:spacing w:val="-6"/>
          <w:kern w:val="0"/>
          <w:szCs w:val="21"/>
          <w:highlight w:val="none"/>
        </w:rPr>
      </w:pPr>
      <w:r>
        <w:rPr>
          <w:rFonts w:hint="eastAsia" w:ascii="宋体" w:hAnsi="宋体" w:eastAsia="宋体" w:cs="宋体"/>
          <w:color w:val="auto"/>
          <w:spacing w:val="-6"/>
          <w:kern w:val="0"/>
          <w:szCs w:val="21"/>
          <w:highlight w:val="none"/>
          <w:lang w:val="en-US" w:eastAsia="zh-CN"/>
        </w:rPr>
        <w:t>2、</w:t>
      </w:r>
      <w:r>
        <w:rPr>
          <w:rFonts w:hint="eastAsia" w:ascii="宋体" w:hAnsi="宋体" w:eastAsia="宋体" w:cs="宋体"/>
          <w:color w:val="auto"/>
          <w:spacing w:val="-6"/>
          <w:kern w:val="0"/>
          <w:szCs w:val="21"/>
          <w:highlight w:val="none"/>
        </w:rPr>
        <w:t>付款方式：</w:t>
      </w:r>
      <w:r>
        <w:rPr>
          <w:rFonts w:hint="eastAsia" w:ascii="宋体" w:hAnsi="宋体" w:eastAsia="宋体" w:cs="宋体"/>
          <w:color w:val="auto"/>
          <w:spacing w:val="-6"/>
          <w:kern w:val="0"/>
          <w:szCs w:val="21"/>
          <w:highlight w:val="none"/>
          <w:lang w:val="en-US" w:eastAsia="zh-CN"/>
        </w:rPr>
        <w:t>签订合同后，在合同生效以及具备实施条件后7个工作日内支付合同金额的40%作为预付款，服务期满后一次性付清剩余合同金额</w:t>
      </w:r>
      <w:r>
        <w:rPr>
          <w:rFonts w:hint="eastAsia" w:ascii="宋体" w:hAnsi="宋体" w:eastAsia="宋体" w:cs="宋体"/>
          <w:color w:val="auto"/>
          <w:spacing w:val="-6"/>
          <w:kern w:val="0"/>
          <w:szCs w:val="21"/>
          <w:highlight w:val="none"/>
        </w:rPr>
        <w:t>。</w:t>
      </w:r>
    </w:p>
    <w:p w14:paraId="2496462E">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七</w:t>
      </w:r>
      <w:r>
        <w:rPr>
          <w:rFonts w:hint="eastAsia" w:ascii="宋体" w:hAnsi="宋体" w:eastAsia="宋体" w:cs="宋体"/>
          <w:b/>
          <w:bCs/>
          <w:color w:val="auto"/>
          <w:spacing w:val="-6"/>
          <w:kern w:val="0"/>
          <w:szCs w:val="21"/>
          <w:highlight w:val="none"/>
        </w:rPr>
        <w:t>条：违约责任</w:t>
      </w:r>
    </w:p>
    <w:p w14:paraId="5926F603">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1、甲方无正当理由拒收接受服务的，甲方向乙方支付合同款项百分之五作为违约金。</w:t>
      </w:r>
    </w:p>
    <w:p w14:paraId="0A2228E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2、甲方无故逾期验收和办理款项支付手续的，甲方应按逾期付款总额向乙方支付每日万分之五违约金。</w:t>
      </w:r>
    </w:p>
    <w:p w14:paraId="257ED47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乙方逾期提供服务的，乙方应按逾期天数向甲方支付每日万分之五违约金。逾期超过约定日期10个工作日不能提供服务的，甲方可解除本合同。乙方因逾期提供服务或因其他违约行为导致甲方解除合同的，乙方应向甲方支付合同款项百分之五的违约金，如造成甲方损失超过违约金的，超出部分由乙方继续承担赔偿责任。</w:t>
      </w:r>
    </w:p>
    <w:p w14:paraId="1A3A33DE">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4、若发生纠纷，由违约方赔偿守约方因纠纷所支付的费用（包括但不限于律师费、差旅费、诉讼费、保全费、鉴定费、评估费等）。</w:t>
      </w:r>
    </w:p>
    <w:p w14:paraId="6E9B12F0">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八</w:t>
      </w:r>
      <w:r>
        <w:rPr>
          <w:rFonts w:hint="eastAsia" w:ascii="宋体" w:hAnsi="宋体" w:eastAsia="宋体" w:cs="宋体"/>
          <w:b/>
          <w:bCs/>
          <w:color w:val="auto"/>
          <w:spacing w:val="-6"/>
          <w:kern w:val="0"/>
          <w:szCs w:val="21"/>
          <w:highlight w:val="none"/>
        </w:rPr>
        <w:t>条：不可抗力事件处理</w:t>
      </w:r>
    </w:p>
    <w:p w14:paraId="69354FF9">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1、在合同有效期内，任何一方因不可抗力事件导致不能履行合同，则合同履行期可延长，其延长期与不可抗力影响期相同。</w:t>
      </w:r>
    </w:p>
    <w:p w14:paraId="2DCBDBD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2、不可抗力事件发生后，应立即通知对方，并寄送有关权威机构出具的证明。</w:t>
      </w:r>
    </w:p>
    <w:p w14:paraId="5CED0ACC">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3、不可抗力事件延续120天以上，双方应通过友好协商，确定是否继续履行合同。</w:t>
      </w:r>
    </w:p>
    <w:p w14:paraId="35552DE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4、如合同履行时间内，因不可抗力原因需要延迟相关活动或解除合同的，由双方进行协商；合同解除后，双方根据乙方的实际履行支付情况及凭证（发票）进行结算。</w:t>
      </w:r>
    </w:p>
    <w:p w14:paraId="47B70D0C">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w:t>
      </w:r>
      <w:r>
        <w:rPr>
          <w:rFonts w:hint="eastAsia" w:ascii="宋体" w:hAnsi="宋体" w:eastAsia="宋体" w:cs="宋体"/>
          <w:b/>
          <w:bCs/>
          <w:color w:val="auto"/>
          <w:spacing w:val="-6"/>
          <w:kern w:val="0"/>
          <w:szCs w:val="21"/>
          <w:highlight w:val="none"/>
          <w:lang w:val="en-US" w:eastAsia="zh-CN"/>
        </w:rPr>
        <w:t>九</w:t>
      </w:r>
      <w:r>
        <w:rPr>
          <w:rFonts w:hint="eastAsia" w:ascii="宋体" w:hAnsi="宋体" w:eastAsia="宋体" w:cs="宋体"/>
          <w:b/>
          <w:bCs/>
          <w:color w:val="auto"/>
          <w:spacing w:val="-6"/>
          <w:kern w:val="0"/>
          <w:szCs w:val="21"/>
          <w:highlight w:val="none"/>
        </w:rPr>
        <w:t>条：诉讼</w:t>
      </w:r>
    </w:p>
    <w:p w14:paraId="2FE32527">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双方在执行合同中所发生的一切争议，应通过协商解决。如协商不成，可向甲方所在地法院起诉。</w:t>
      </w:r>
    </w:p>
    <w:p w14:paraId="6F7E96C8">
      <w:pPr>
        <w:keepNext w:val="0"/>
        <w:keepLines w:val="0"/>
        <w:pageBreakBefore w:val="0"/>
        <w:widowControl w:val="0"/>
        <w:kinsoku/>
        <w:wordWrap w:val="0"/>
        <w:overflowPunct/>
        <w:topLinePunct w:val="0"/>
        <w:autoSpaceDE/>
        <w:autoSpaceDN/>
        <w:bidi w:val="0"/>
        <w:adjustRightInd/>
        <w:snapToGrid/>
        <w:spacing w:line="360" w:lineRule="auto"/>
        <w:ind w:firstLine="398" w:firstLineChars="200"/>
        <w:jc w:val="left"/>
        <w:textAlignment w:val="auto"/>
        <w:outlineLvl w:val="9"/>
        <w:rPr>
          <w:rFonts w:hint="eastAsia" w:ascii="宋体" w:hAnsi="宋体" w:eastAsia="宋体" w:cs="宋体"/>
          <w:b/>
          <w:bCs/>
          <w:color w:val="auto"/>
          <w:spacing w:val="-6"/>
          <w:kern w:val="0"/>
          <w:szCs w:val="21"/>
          <w:highlight w:val="none"/>
        </w:rPr>
      </w:pPr>
      <w:r>
        <w:rPr>
          <w:rFonts w:hint="eastAsia" w:ascii="宋体" w:hAnsi="宋体" w:eastAsia="宋体" w:cs="宋体"/>
          <w:b/>
          <w:bCs/>
          <w:color w:val="auto"/>
          <w:spacing w:val="-6"/>
          <w:kern w:val="0"/>
          <w:szCs w:val="21"/>
          <w:highlight w:val="none"/>
        </w:rPr>
        <w:t>第十条：合同生效及其它</w:t>
      </w:r>
    </w:p>
    <w:p w14:paraId="2923AD2B">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1、合同经双方法定代表人或授权代表签字并加盖单位公章后生效。</w:t>
      </w:r>
    </w:p>
    <w:p w14:paraId="1C28D83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2、合同执行中涉及采购资金和采购内容修改或补充的，须经财政部门审批，并签书面补充协议报政府采购监督管理部门备案，方可作为主合同不可分割的一部分。</w:t>
      </w:r>
    </w:p>
    <w:p w14:paraId="4977B271">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3、本合同未尽事宜，遵照《民法典》有关条文执行。</w:t>
      </w:r>
    </w:p>
    <w:p w14:paraId="20075696">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4、本合同壹式陆份，甲、乙双方、招标代理公司各执贰份。本项目未尽事宜以招标文件、磋商响应文件及澄清文件等为准。</w:t>
      </w:r>
    </w:p>
    <w:p w14:paraId="4FBE8C58">
      <w:pPr>
        <w:keepNext w:val="0"/>
        <w:keepLines w:val="0"/>
        <w:pageBreakBefore w:val="0"/>
        <w:widowControl w:val="0"/>
        <w:kinsoku/>
        <w:wordWrap w:val="0"/>
        <w:overflowPunct/>
        <w:topLinePunct w:val="0"/>
        <w:autoSpaceDE/>
        <w:autoSpaceDN/>
        <w:bidi w:val="0"/>
        <w:adjustRightInd/>
        <w:snapToGrid/>
        <w:spacing w:line="360" w:lineRule="auto"/>
        <w:ind w:firstLine="420" w:firstLineChars="200"/>
        <w:jc w:val="left"/>
        <w:textAlignment w:val="auto"/>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5、与本合同有关标书及记录同本合同具有同等法律效果。</w:t>
      </w:r>
    </w:p>
    <w:p w14:paraId="1CF5686E">
      <w:pPr>
        <w:keepNext w:val="0"/>
        <w:keepLines w:val="0"/>
        <w:pageBreakBefore w:val="0"/>
        <w:widowControl/>
        <w:kinsoku/>
        <w:wordWrap/>
        <w:overflowPunct/>
        <w:topLinePunct w:val="0"/>
        <w:autoSpaceDE/>
        <w:autoSpaceDN/>
        <w:bidi w:val="0"/>
        <w:spacing w:line="360" w:lineRule="auto"/>
        <w:ind w:firstLine="315"/>
        <w:outlineLvl w:val="9"/>
        <w:rPr>
          <w:rFonts w:hint="eastAsia" w:ascii="宋体" w:hAnsi="宋体"/>
          <w:color w:val="auto"/>
          <w:kern w:val="0"/>
          <w:szCs w:val="21"/>
          <w:highlight w:val="none"/>
        </w:rPr>
      </w:pPr>
    </w:p>
    <w:p w14:paraId="317B69F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甲方（公章）：                             乙方（公章）：          </w:t>
      </w:r>
    </w:p>
    <w:p w14:paraId="7C84A03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7BB0E17B">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r>
        <w:rPr>
          <w:rFonts w:hint="eastAsia" w:ascii="宋体" w:hAnsi="宋体"/>
          <w:color w:val="auto"/>
          <w:kern w:val="0"/>
          <w:szCs w:val="21"/>
          <w:highlight w:val="none"/>
          <w:lang w:eastAsia="zh-CN"/>
        </w:rPr>
        <w:t>法定代表人或授权委托代理人签字</w:t>
      </w:r>
      <w:r>
        <w:rPr>
          <w:rFonts w:hint="eastAsia" w:ascii="宋体" w:hAnsi="宋体"/>
          <w:color w:val="auto"/>
          <w:kern w:val="0"/>
          <w:szCs w:val="21"/>
          <w:highlight w:val="none"/>
        </w:rPr>
        <w:t xml:space="preserve">：         </w:t>
      </w:r>
    </w:p>
    <w:p w14:paraId="47546E24">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809806">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联系电话：                                联系电话：</w:t>
      </w:r>
    </w:p>
    <w:p w14:paraId="2B759D80">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5730FFE8">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 xml:space="preserve">开户银行：                                开户银行：    </w:t>
      </w:r>
    </w:p>
    <w:p w14:paraId="114FD549">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p>
    <w:p w14:paraId="3C608E2A">
      <w:pPr>
        <w:keepNext w:val="0"/>
        <w:keepLines w:val="0"/>
        <w:pageBreakBefore w:val="0"/>
        <w:widowControl/>
        <w:kinsoku/>
        <w:wordWrap/>
        <w:overflowPunct/>
        <w:topLinePunct w:val="0"/>
        <w:autoSpaceDE/>
        <w:autoSpaceDN/>
        <w:bidi w:val="0"/>
        <w:spacing w:line="360" w:lineRule="auto"/>
        <w:ind w:firstLine="315"/>
        <w:outlineLvl w:val="9"/>
        <w:rPr>
          <w:rFonts w:ascii="宋体" w:hAnsi="宋体"/>
          <w:color w:val="auto"/>
          <w:kern w:val="0"/>
          <w:szCs w:val="21"/>
          <w:highlight w:val="none"/>
        </w:rPr>
      </w:pPr>
      <w:r>
        <w:rPr>
          <w:rFonts w:hint="eastAsia" w:ascii="宋体" w:hAnsi="宋体"/>
          <w:color w:val="auto"/>
          <w:kern w:val="0"/>
          <w:szCs w:val="21"/>
          <w:highlight w:val="none"/>
        </w:rPr>
        <w:t>账    号：                                账    号：</w:t>
      </w:r>
    </w:p>
    <w:p w14:paraId="45D710E6">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snapToGrid w:val="0"/>
          <w:color w:val="auto"/>
          <w:szCs w:val="21"/>
          <w:highlight w:val="none"/>
        </w:rPr>
      </w:pPr>
      <w:r>
        <w:rPr>
          <w:rFonts w:hint="eastAsia" w:ascii="宋体" w:hAnsi="宋体"/>
          <w:snapToGrid w:val="0"/>
          <w:color w:val="auto"/>
          <w:szCs w:val="21"/>
          <w:highlight w:val="none"/>
        </w:rPr>
        <w:t xml:space="preserve">               </w:t>
      </w:r>
    </w:p>
    <w:p w14:paraId="4230B959">
      <w:pPr>
        <w:keepNext w:val="0"/>
        <w:keepLines w:val="0"/>
        <w:pageBreakBefore w:val="0"/>
        <w:kinsoku/>
        <w:wordWrap/>
        <w:overflowPunct/>
        <w:topLinePunct w:val="0"/>
        <w:autoSpaceDE/>
        <w:autoSpaceDN/>
        <w:bidi w:val="0"/>
        <w:spacing w:line="360" w:lineRule="auto"/>
        <w:textAlignment w:val="baseline"/>
        <w:outlineLvl w:val="9"/>
        <w:rPr>
          <w:rFonts w:hint="eastAsia" w:ascii="宋体" w:hAnsi="宋体"/>
          <w:snapToGrid w:val="0"/>
          <w:color w:val="auto"/>
          <w:szCs w:val="21"/>
          <w:highlight w:val="none"/>
        </w:rPr>
      </w:pPr>
    </w:p>
    <w:p w14:paraId="5D90118C">
      <w:pPr>
        <w:keepNext w:val="0"/>
        <w:keepLines w:val="0"/>
        <w:pageBreakBefore w:val="0"/>
        <w:kinsoku/>
        <w:wordWrap/>
        <w:overflowPunct/>
        <w:topLinePunct w:val="0"/>
        <w:autoSpaceDE/>
        <w:autoSpaceDN/>
        <w:bidi w:val="0"/>
        <w:spacing w:line="360" w:lineRule="auto"/>
        <w:textAlignment w:val="baseline"/>
        <w:outlineLvl w:val="9"/>
        <w:rPr>
          <w:rFonts w:ascii="宋体" w:hAnsi="宋体"/>
          <w:snapToGrid w:val="0"/>
          <w:color w:val="auto"/>
          <w:szCs w:val="21"/>
          <w:highlight w:val="none"/>
        </w:rPr>
      </w:pPr>
      <w:r>
        <w:rPr>
          <w:rFonts w:hint="eastAsia" w:ascii="宋体" w:hAnsi="宋体"/>
          <w:snapToGrid w:val="0"/>
          <w:color w:val="auto"/>
          <w:szCs w:val="21"/>
          <w:highlight w:val="none"/>
        </w:rPr>
        <w:t>合同</w:t>
      </w:r>
      <w:r>
        <w:rPr>
          <w:rFonts w:hint="eastAsia" w:ascii="宋体" w:hAnsi="宋体"/>
          <w:snapToGrid w:val="0"/>
          <w:color w:val="auto"/>
          <w:szCs w:val="21"/>
          <w:highlight w:val="none"/>
          <w:lang w:val="en-US" w:eastAsia="zh-CN"/>
        </w:rPr>
        <w:t>见证方</w:t>
      </w:r>
      <w:r>
        <w:rPr>
          <w:rFonts w:hint="eastAsia" w:ascii="宋体" w:hAnsi="宋体"/>
          <w:snapToGrid w:val="0"/>
          <w:color w:val="auto"/>
          <w:szCs w:val="21"/>
          <w:highlight w:val="none"/>
        </w:rPr>
        <w:t>：</w:t>
      </w:r>
    </w:p>
    <w:p w14:paraId="0AD78BAF">
      <w:pPr>
        <w:keepNext w:val="0"/>
        <w:keepLines w:val="0"/>
        <w:pageBreakBefore w:val="0"/>
        <w:kinsoku/>
        <w:wordWrap/>
        <w:overflowPunct/>
        <w:topLinePunct w:val="0"/>
        <w:autoSpaceDE/>
        <w:autoSpaceDN/>
        <w:bidi w:val="0"/>
        <w:spacing w:line="360" w:lineRule="auto"/>
        <w:ind w:firstLine="420" w:firstLineChars="200"/>
        <w:textAlignment w:val="baseline"/>
        <w:outlineLvl w:val="9"/>
        <w:rPr>
          <w:rFonts w:hint="eastAsia" w:ascii="宋体" w:hAnsi="宋体" w:eastAsia="宋体" w:cs="宋体"/>
          <w:color w:val="auto"/>
          <w:sz w:val="24"/>
          <w:highlight w:val="none"/>
        </w:rPr>
      </w:pPr>
      <w:r>
        <w:rPr>
          <w:rFonts w:hint="eastAsia" w:ascii="宋体" w:hAnsi="宋体"/>
          <w:snapToGrid w:val="0"/>
          <w:color w:val="auto"/>
          <w:szCs w:val="21"/>
          <w:highlight w:val="none"/>
        </w:rPr>
        <w:t xml:space="preserve">                                         </w:t>
      </w:r>
      <w:r>
        <w:rPr>
          <w:rFonts w:hint="eastAsia" w:ascii="宋体" w:hAnsi="宋体"/>
          <w:color w:val="auto"/>
          <w:kern w:val="0"/>
          <w:szCs w:val="21"/>
          <w:highlight w:val="none"/>
        </w:rPr>
        <w:t>签订日期：       年     月     日</w:t>
      </w:r>
    </w:p>
    <w:p w14:paraId="3DBF12BD">
      <w:pPr>
        <w:rPr>
          <w:rFonts w:hint="eastAsia" w:ascii="宋体" w:hAnsi="宋体" w:eastAsia="宋体" w:cs="宋体"/>
          <w:b/>
          <w:color w:val="auto"/>
          <w:sz w:val="36"/>
          <w:szCs w:val="36"/>
          <w:highlight w:val="none"/>
        </w:rPr>
      </w:pPr>
      <w:r>
        <w:rPr>
          <w:rFonts w:hint="eastAsia" w:ascii="宋体" w:hAnsi="宋体" w:eastAsia="宋体" w:cs="宋体"/>
          <w:b/>
          <w:color w:val="auto"/>
          <w:sz w:val="36"/>
          <w:szCs w:val="36"/>
          <w:highlight w:val="none"/>
        </w:rPr>
        <w:br w:type="page"/>
      </w:r>
    </w:p>
    <w:p w14:paraId="116732D8">
      <w:pPr>
        <w:spacing w:line="360" w:lineRule="auto"/>
        <w:jc w:val="center"/>
        <w:outlineLvl w:val="0"/>
        <w:rPr>
          <w:rFonts w:hint="eastAsia" w:ascii="宋体" w:hAnsi="宋体" w:eastAsia="宋体" w:cs="宋体"/>
          <w:b/>
          <w:color w:val="auto"/>
          <w:sz w:val="36"/>
          <w:szCs w:val="36"/>
          <w:highlight w:val="none"/>
          <w:lang w:eastAsia="zh-CN"/>
        </w:rPr>
      </w:pPr>
      <w:r>
        <w:rPr>
          <w:rFonts w:hint="eastAsia" w:ascii="宋体" w:hAnsi="宋体" w:eastAsia="宋体" w:cs="宋体"/>
          <w:b/>
          <w:color w:val="auto"/>
          <w:sz w:val="36"/>
          <w:szCs w:val="36"/>
          <w:highlight w:val="none"/>
        </w:rPr>
        <w:t xml:space="preserve">第六章 </w:t>
      </w:r>
      <w:r>
        <w:rPr>
          <w:rFonts w:hint="eastAsia" w:ascii="宋体" w:hAnsi="宋体" w:eastAsia="宋体" w:cs="宋体"/>
          <w:b/>
          <w:color w:val="auto"/>
          <w:sz w:val="36"/>
          <w:szCs w:val="36"/>
          <w:highlight w:val="none"/>
          <w:lang w:eastAsia="zh-CN"/>
        </w:rPr>
        <w:t>响应文件格式附件</w:t>
      </w:r>
    </w:p>
    <w:p w14:paraId="339293BC">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附件1</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90F9263">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50B39E70">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0FC45CB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01BC9C65">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F598D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5252C09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7A0CDEA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3867F8A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6969421A">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3902D5AF">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4C8DE273">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rPr>
        <w:t>资格证明文件）</w:t>
      </w:r>
    </w:p>
    <w:p w14:paraId="557F7E4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77A4588C">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517672D">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33699C5B">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outlineLvl w:val="1"/>
        <w:rPr>
          <w:rFonts w:hint="eastAsia" w:ascii="宋体" w:hAnsi="宋体" w:eastAsia="宋体" w:cs="宋体"/>
          <w:b/>
          <w:bCs/>
          <w:color w:val="auto"/>
          <w:sz w:val="32"/>
          <w:szCs w:val="32"/>
          <w:highlight w:val="none"/>
        </w:rPr>
      </w:pPr>
      <w:r>
        <w:rPr>
          <w:rFonts w:hint="eastAsia" w:ascii="宋体" w:hAnsi="宋体" w:eastAsia="宋体" w:cs="宋体"/>
          <w:b/>
          <w:bCs/>
          <w:color w:val="auto"/>
          <w:sz w:val="36"/>
          <w:szCs w:val="36"/>
          <w:highlight w:val="none"/>
        </w:rPr>
        <w:t>资格证明文件目录</w:t>
      </w:r>
    </w:p>
    <w:p w14:paraId="7F8E0A15">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1、磋商声明书（附件2）</w:t>
      </w:r>
    </w:p>
    <w:p w14:paraId="3D3ECD9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2、授权委托书（附件3）</w:t>
      </w:r>
    </w:p>
    <w:p w14:paraId="6B79515F">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3、法人或者其他组织的营业执照等证明文件，法定代表人和授权代表的身份证明</w:t>
      </w:r>
    </w:p>
    <w:p w14:paraId="3AD05F2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4、须提供中小企业声明函等政府优惠政策适用证明材料（附件4）</w:t>
      </w:r>
    </w:p>
    <w:p w14:paraId="0123DF16">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w:t>
      </w:r>
      <w:r>
        <w:rPr>
          <w:rFonts w:hint="eastAsia" w:ascii="宋体" w:hAnsi="宋体" w:eastAsia="宋体" w:cs="宋体"/>
          <w:color w:val="auto"/>
          <w:sz w:val="24"/>
          <w:szCs w:val="24"/>
          <w:highlight w:val="none"/>
          <w:lang w:val="en-US" w:eastAsia="zh-CN"/>
        </w:rPr>
        <w:t>供应商认为需要说明的其他材料。</w:t>
      </w:r>
    </w:p>
    <w:p w14:paraId="63D5691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4A40EE">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533BFE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7AAD44FD">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60FC03E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2FBC26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B79FB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D2A3CB">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7CE38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21AEDFF8">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481F56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DB5FD69">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F83C8F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A23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5B98C125">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486F14F8">
      <w:pPr>
        <w:rPr>
          <w:rFonts w:hint="eastAsia" w:ascii="宋体" w:hAnsi="宋体" w:eastAsia="宋体" w:cs="宋体"/>
          <w:color w:val="auto"/>
          <w:highlight w:val="none"/>
        </w:rPr>
      </w:pPr>
    </w:p>
    <w:p w14:paraId="4CF74EEC">
      <w:pPr>
        <w:rPr>
          <w:rFonts w:hint="eastAsia" w:ascii="宋体" w:hAnsi="宋体" w:eastAsia="宋体" w:cs="宋体"/>
          <w:b/>
          <w:color w:val="auto"/>
          <w:sz w:val="28"/>
          <w:highlight w:val="none"/>
        </w:rPr>
      </w:pPr>
      <w:r>
        <w:rPr>
          <w:rFonts w:hint="eastAsia" w:ascii="宋体" w:hAnsi="宋体" w:eastAsia="宋体" w:cs="宋体"/>
          <w:b/>
          <w:color w:val="auto"/>
          <w:sz w:val="28"/>
          <w:highlight w:val="none"/>
        </w:rPr>
        <w:br w:type="page"/>
      </w:r>
    </w:p>
    <w:p w14:paraId="50E195E0">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附件2</w:t>
      </w:r>
    </w:p>
    <w:p w14:paraId="699F3B00">
      <w:pPr>
        <w:keepNext w:val="0"/>
        <w:keepLines w:val="0"/>
        <w:pageBreakBefore w:val="0"/>
        <w:kinsoku/>
        <w:overflowPunct/>
        <w:topLinePunct w:val="0"/>
        <w:bidi w:val="0"/>
        <w:snapToGrid w:val="0"/>
        <w:spacing w:before="156" w:beforeLines="50" w:after="50" w:line="360" w:lineRule="auto"/>
        <w:ind w:firstLine="643" w:firstLineChars="200"/>
        <w:jc w:val="center"/>
        <w:outlineLvl w:val="9"/>
        <w:rPr>
          <w:rStyle w:val="27"/>
          <w:rFonts w:hint="eastAsia" w:ascii="宋体" w:hAnsi="宋体" w:eastAsia="宋体" w:cs="宋体"/>
          <w:b/>
          <w:color w:val="auto"/>
          <w:sz w:val="32"/>
          <w:szCs w:val="32"/>
          <w:highlight w:val="none"/>
          <w:u w:val="none"/>
        </w:rPr>
      </w:pPr>
      <w:r>
        <w:rPr>
          <w:rStyle w:val="27"/>
          <w:rFonts w:hint="eastAsia" w:ascii="宋体" w:hAnsi="宋体" w:eastAsia="宋体" w:cs="宋体"/>
          <w:b/>
          <w:color w:val="auto"/>
          <w:sz w:val="32"/>
          <w:szCs w:val="32"/>
          <w:highlight w:val="none"/>
          <w:u w:val="none"/>
        </w:rPr>
        <w:t>磋商声明书</w:t>
      </w:r>
    </w:p>
    <w:p w14:paraId="6125413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u w:val="single"/>
        </w:rPr>
      </w:pPr>
      <w:r>
        <w:rPr>
          <w:rFonts w:hint="eastAsia" w:ascii="宋体" w:hAnsi="宋体" w:cs="宋体"/>
          <w:color w:val="auto"/>
          <w:sz w:val="21"/>
          <w:szCs w:val="21"/>
          <w:highlight w:val="none"/>
          <w:u w:val="single"/>
          <w:lang w:eastAsia="zh-CN"/>
        </w:rPr>
        <w:t>台州市第一中学</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eastAsia="zh-CN"/>
        </w:rPr>
        <w:t>浙江汇永工程咨询有限公司</w:t>
      </w:r>
      <w:r>
        <w:rPr>
          <w:rFonts w:hint="eastAsia" w:ascii="宋体" w:hAnsi="宋体" w:eastAsia="宋体" w:cs="宋体"/>
          <w:color w:val="auto"/>
          <w:sz w:val="21"/>
          <w:szCs w:val="21"/>
          <w:highlight w:val="none"/>
          <w:u w:val="single"/>
        </w:rPr>
        <w:t>：</w:t>
      </w:r>
    </w:p>
    <w:p w14:paraId="404AFAF6">
      <w:pPr>
        <w:keepNext w:val="0"/>
        <w:keepLines w:val="0"/>
        <w:pageBreakBefore w:val="0"/>
        <w:kinsoku/>
        <w:overflowPunct/>
        <w:topLinePunct w:val="0"/>
        <w:bidi w:val="0"/>
        <w:spacing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供应商</w:t>
      </w:r>
      <w:r>
        <w:rPr>
          <w:rFonts w:hint="eastAsia" w:ascii="宋体" w:hAnsi="宋体" w:eastAsia="宋体" w:cs="宋体"/>
          <w:color w:val="auto"/>
          <w:sz w:val="21"/>
          <w:szCs w:val="21"/>
          <w:highlight w:val="none"/>
          <w:u w:val="single"/>
        </w:rPr>
        <w:t xml:space="preserve">名称 </w:t>
      </w:r>
      <w:r>
        <w:rPr>
          <w:rFonts w:hint="eastAsia" w:ascii="宋体" w:hAnsi="宋体" w:eastAsia="宋体" w:cs="宋体"/>
          <w:color w:val="auto"/>
          <w:sz w:val="21"/>
          <w:szCs w:val="21"/>
          <w:highlight w:val="none"/>
        </w:rPr>
        <w:t>）系中华人民共和国合法企业，经营地址</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kern w:val="0"/>
          <w:sz w:val="21"/>
          <w:szCs w:val="21"/>
          <w:highlight w:val="none"/>
        </w:rPr>
        <w:t>。</w:t>
      </w:r>
    </w:p>
    <w:p w14:paraId="2B280675">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u w:val="single"/>
        </w:rPr>
        <w:t xml:space="preserve"> 姓名 </w:t>
      </w:r>
      <w:r>
        <w:rPr>
          <w:rFonts w:hint="eastAsia" w:ascii="宋体" w:hAnsi="宋体" w:eastAsia="宋体" w:cs="宋体"/>
          <w:color w:val="auto"/>
          <w:kern w:val="0"/>
          <w:sz w:val="21"/>
          <w:szCs w:val="21"/>
          <w:highlight w:val="none"/>
        </w:rPr>
        <w:t>）系（</w:t>
      </w:r>
      <w:r>
        <w:rPr>
          <w:rFonts w:hint="eastAsia" w:ascii="宋体" w:hAnsi="宋体" w:eastAsia="宋体" w:cs="宋体"/>
          <w:color w:val="auto"/>
          <w:kern w:val="0"/>
          <w:sz w:val="21"/>
          <w:szCs w:val="21"/>
          <w:highlight w:val="none"/>
          <w:u w:val="single"/>
        </w:rPr>
        <w:t xml:space="preserve"> 供应商名称 </w:t>
      </w:r>
      <w:r>
        <w:rPr>
          <w:rFonts w:hint="eastAsia" w:ascii="宋体" w:hAnsi="宋体" w:eastAsia="宋体" w:cs="宋体"/>
          <w:color w:val="auto"/>
          <w:kern w:val="0"/>
          <w:sz w:val="21"/>
          <w:szCs w:val="21"/>
          <w:highlight w:val="none"/>
        </w:rPr>
        <w:t>）的法定代表人，我公司自愿参加贵方组织的</w:t>
      </w:r>
      <w:r>
        <w:rPr>
          <w:rFonts w:hint="eastAsia" w:ascii="宋体" w:hAnsi="宋体" w:cs="宋体"/>
          <w:color w:val="auto"/>
          <w:kern w:val="0"/>
          <w:sz w:val="21"/>
          <w:szCs w:val="21"/>
          <w:highlight w:val="none"/>
          <w:u w:val="single"/>
          <w:lang w:eastAsia="zh-CN"/>
        </w:rPr>
        <w:t>拔尖人才早期培养及化学竞赛项目</w:t>
      </w:r>
      <w:r>
        <w:rPr>
          <w:rFonts w:hint="eastAsia" w:ascii="宋体" w:hAnsi="宋体" w:eastAsia="宋体" w:cs="宋体"/>
          <w:color w:val="auto"/>
          <w:kern w:val="0"/>
          <w:sz w:val="21"/>
          <w:szCs w:val="21"/>
          <w:highlight w:val="none"/>
        </w:rPr>
        <w:t>（编号为</w:t>
      </w:r>
      <w:r>
        <w:rPr>
          <w:rFonts w:hint="eastAsia" w:ascii="宋体" w:hAnsi="宋体" w:cs="宋体"/>
          <w:color w:val="auto"/>
          <w:kern w:val="0"/>
          <w:sz w:val="21"/>
          <w:szCs w:val="21"/>
          <w:highlight w:val="none"/>
          <w:lang w:eastAsia="zh-CN"/>
        </w:rPr>
        <w:t>zjhy2025-tz03</w:t>
      </w:r>
      <w:r>
        <w:rPr>
          <w:rFonts w:hint="eastAsia" w:ascii="宋体" w:hAnsi="宋体" w:eastAsia="宋体" w:cs="宋体"/>
          <w:color w:val="auto"/>
          <w:kern w:val="0"/>
          <w:sz w:val="21"/>
          <w:szCs w:val="21"/>
          <w:highlight w:val="none"/>
        </w:rPr>
        <w:t>）的磋商，为此，我公司就本次磋商有关事项郑重声明如下：</w:t>
      </w:r>
    </w:p>
    <w:p w14:paraId="79B926B5">
      <w:pPr>
        <w:keepNext w:val="0"/>
        <w:keepLines w:val="0"/>
        <w:pageBreakBefore w:val="0"/>
        <w:widowControl w:val="0"/>
        <w:kinsoku/>
        <w:wordWrap/>
        <w:overflowPunct/>
        <w:topLinePunct w:val="0"/>
        <w:autoSpaceDE/>
        <w:autoSpaceDN/>
        <w:bidi w:val="0"/>
        <w:adjustRightInd/>
        <w:spacing w:line="400" w:lineRule="exact"/>
        <w:ind w:firstLine="420" w:firstLineChars="200"/>
        <w:textAlignment w:val="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一</w:t>
      </w:r>
      <w:r>
        <w:rPr>
          <w:rFonts w:hint="eastAsia" w:ascii="宋体" w:hAnsi="宋体" w:eastAsia="宋体" w:cs="宋体"/>
          <w:color w:val="auto"/>
          <w:sz w:val="21"/>
          <w:szCs w:val="21"/>
          <w:highlight w:val="none"/>
        </w:rPr>
        <w:t>、我公司声明截止投标时间前三年内：在经营活动中没有重大违法记录（重大违法记录是指供应商因违法经营受到刑事处罚或者责令停产停业、吊销许可证或者执照、较大数额罚款等行政处罚）。</w:t>
      </w:r>
    </w:p>
    <w:p w14:paraId="0395691A">
      <w:pPr>
        <w:keepNext w:val="0"/>
        <w:keepLines w:val="0"/>
        <w:pageBreakBefore w:val="0"/>
        <w:widowControl w:val="0"/>
        <w:numPr>
          <w:ilvl w:val="0"/>
          <w:numId w:val="0"/>
        </w:numPr>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lang w:val="en-US" w:eastAsia="zh-CN"/>
        </w:rPr>
        <w:t>二、</w:t>
      </w:r>
      <w:r>
        <w:rPr>
          <w:rFonts w:hint="eastAsia" w:ascii="宋体" w:hAnsi="宋体" w:eastAsia="宋体" w:cs="宋体"/>
          <w:color w:val="auto"/>
          <w:kern w:val="0"/>
          <w:sz w:val="21"/>
          <w:szCs w:val="21"/>
          <w:highlight w:val="none"/>
        </w:rPr>
        <w:t>我公司在参与磋商前已详细审查了磋商采购文件和所有相关资料，我方完全明白并认为此磋商采购文件没有倾向性，也没有存在排斥潜在供应商的内容，我方同意磋商采购文件的相关条款，放弃对磋商采购文件提出误解和质疑的一切权利。</w:t>
      </w:r>
    </w:p>
    <w:p w14:paraId="633324BF">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三</w:t>
      </w:r>
      <w:r>
        <w:rPr>
          <w:rFonts w:hint="eastAsia" w:ascii="宋体" w:hAnsi="宋体" w:eastAsia="宋体" w:cs="宋体"/>
          <w:color w:val="auto"/>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不是采购人的附属机构；在获知本项目采购信息后，与采购人聘请的为此项目提供咨询服务的公司及其附属机构没有任何联系。</w:t>
      </w:r>
    </w:p>
    <w:p w14:paraId="255D2B4C">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kern w:val="0"/>
          <w:sz w:val="21"/>
          <w:szCs w:val="21"/>
          <w:highlight w:val="none"/>
          <w:lang w:val="af-ZA"/>
        </w:rPr>
      </w:pPr>
      <w:r>
        <w:rPr>
          <w:rFonts w:hint="eastAsia" w:ascii="宋体" w:hAnsi="宋体" w:eastAsia="宋体" w:cs="宋体"/>
          <w:color w:val="auto"/>
          <w:sz w:val="21"/>
          <w:szCs w:val="21"/>
          <w:highlight w:val="none"/>
          <w:lang w:val="en-US" w:eastAsia="zh-CN"/>
        </w:rPr>
        <w:t>四</w:t>
      </w:r>
      <w:r>
        <w:rPr>
          <w:rFonts w:hint="eastAsia" w:ascii="宋体" w:hAnsi="宋体" w:eastAsia="宋体" w:cs="宋体"/>
          <w:color w:val="auto"/>
          <w:sz w:val="21"/>
          <w:szCs w:val="21"/>
          <w:highlight w:val="none"/>
        </w:rPr>
        <w:t>、</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rPr>
        <w:t>保证，</w:t>
      </w:r>
      <w:r>
        <w:rPr>
          <w:rFonts w:hint="eastAsia" w:ascii="宋体" w:hAnsi="宋体" w:eastAsia="宋体" w:cs="宋体"/>
          <w:color w:val="auto"/>
          <w:kern w:val="0"/>
          <w:sz w:val="21"/>
          <w:szCs w:val="21"/>
          <w:highlight w:val="none"/>
          <w:lang w:val="af-ZA"/>
        </w:rPr>
        <w:t>采购人在中华人民共和国境内使用</w:t>
      </w:r>
      <w:r>
        <w:rPr>
          <w:rFonts w:hint="eastAsia" w:ascii="宋体" w:hAnsi="宋体" w:eastAsia="宋体" w:cs="宋体"/>
          <w:color w:val="auto"/>
          <w:kern w:val="0"/>
          <w:sz w:val="21"/>
          <w:szCs w:val="21"/>
          <w:highlight w:val="none"/>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磋商</w:t>
      </w:r>
      <w:r>
        <w:rPr>
          <w:rFonts w:hint="eastAsia" w:ascii="宋体" w:hAnsi="宋体" w:eastAsia="宋体" w:cs="宋体"/>
          <w:color w:val="auto"/>
          <w:kern w:val="0"/>
          <w:sz w:val="21"/>
          <w:szCs w:val="21"/>
          <w:highlight w:val="none"/>
          <w:lang w:val="af-ZA" w:eastAsia="zh-CN"/>
        </w:rPr>
        <w:t>响应的</w:t>
      </w:r>
      <w:r>
        <w:rPr>
          <w:rFonts w:hint="eastAsia" w:ascii="宋体" w:hAnsi="宋体" w:eastAsia="宋体" w:cs="宋体"/>
          <w:color w:val="auto"/>
          <w:kern w:val="0"/>
          <w:sz w:val="21"/>
          <w:szCs w:val="21"/>
          <w:highlight w:val="none"/>
          <w:lang w:val="af-ZA"/>
        </w:rPr>
        <w:t>货物、资料、技术、服务或其任何一部分时，享有不受限制的无偿使用权，如有第三方向采购人提出侵犯其专利权、商标权或其它知识产权的主张，该责任由我方承担。我方的总报价已包含所有应向所有权人支付的专利权、商标权或其它知识产权的一切相关费用。</w:t>
      </w:r>
    </w:p>
    <w:p w14:paraId="05980369">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lang w:val="en-US" w:eastAsia="zh-CN"/>
        </w:rPr>
        <w:t>五</w:t>
      </w:r>
      <w:r>
        <w:rPr>
          <w:rFonts w:hint="eastAsia" w:ascii="宋体" w:hAnsi="宋体" w:eastAsia="宋体" w:cs="宋体"/>
          <w:color w:val="auto"/>
          <w:kern w:val="0"/>
          <w:sz w:val="21"/>
          <w:szCs w:val="21"/>
          <w:highlight w:val="none"/>
          <w:lang w:val="af-ZA"/>
        </w:rPr>
        <w:t>、我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kern w:val="0"/>
          <w:sz w:val="21"/>
          <w:szCs w:val="21"/>
          <w:highlight w:val="none"/>
          <w:lang w:val="af-ZA"/>
        </w:rPr>
        <w:t>严格履行采购合同，不降低合同约定的产品质量和服务，不擅自变更、中止、终止合同，或拒绝履行合同义务；</w:t>
      </w:r>
    </w:p>
    <w:p w14:paraId="08B4099A">
      <w:pPr>
        <w:keepNext w:val="0"/>
        <w:keepLines w:val="0"/>
        <w:pageBreakBefore w:val="0"/>
        <w:widowControl w:val="0"/>
        <w:kinsoku/>
        <w:wordWrap/>
        <w:overflowPunct/>
        <w:topLinePunct w:val="0"/>
        <w:autoSpaceDE/>
        <w:autoSpaceDN/>
        <w:bidi w:val="0"/>
        <w:adjustRightInd/>
        <w:snapToGrid w:val="0"/>
        <w:spacing w:before="156" w:beforeLines="50" w:after="50" w:line="400" w:lineRule="exact"/>
        <w:ind w:firstLine="420" w:firstLineChars="2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六</w:t>
      </w:r>
      <w:r>
        <w:rPr>
          <w:rFonts w:hint="eastAsia" w:ascii="宋体" w:hAnsi="宋体" w:eastAsia="宋体" w:cs="宋体"/>
          <w:color w:val="auto"/>
          <w:sz w:val="21"/>
          <w:szCs w:val="21"/>
          <w:highlight w:val="none"/>
        </w:rPr>
        <w:t>、我公司承诺（若代理服务费由中标单位支付）：如在本项目中标，我公司在</w:t>
      </w:r>
      <w:r>
        <w:rPr>
          <w:rFonts w:hint="eastAsia" w:ascii="宋体" w:hAnsi="宋体" w:cs="宋体"/>
          <w:color w:val="auto"/>
          <w:sz w:val="21"/>
          <w:szCs w:val="21"/>
          <w:highlight w:val="none"/>
          <w:lang w:val="en-US" w:eastAsia="zh-CN"/>
        </w:rPr>
        <w:t>成交</w:t>
      </w:r>
      <w:r>
        <w:rPr>
          <w:rFonts w:hint="eastAsia" w:ascii="宋体" w:hAnsi="宋体" w:eastAsia="宋体" w:cs="宋体"/>
          <w:color w:val="auto"/>
          <w:sz w:val="21"/>
          <w:szCs w:val="21"/>
          <w:highlight w:val="none"/>
        </w:rPr>
        <w:t>公告发布之日起5个工作日内按采购文件约定支付代理服务费。</w:t>
      </w:r>
    </w:p>
    <w:p w14:paraId="17EA88B6">
      <w:pPr>
        <w:keepNext w:val="0"/>
        <w:keepLines w:val="0"/>
        <w:pageBreakBefore w:val="0"/>
        <w:kinsoku/>
        <w:overflowPunct/>
        <w:topLinePunct w:val="0"/>
        <w:bidi w:val="0"/>
        <w:snapToGrid w:val="0"/>
        <w:spacing w:before="156" w:beforeLines="50" w:after="50"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cs="宋体"/>
          <w:color w:val="auto"/>
          <w:sz w:val="21"/>
          <w:szCs w:val="21"/>
          <w:highlight w:val="none"/>
          <w:lang w:val="en-US" w:eastAsia="zh-CN"/>
        </w:rPr>
        <w:t>七、</w:t>
      </w:r>
      <w:r>
        <w:rPr>
          <w:rFonts w:hint="eastAsia" w:ascii="宋体" w:hAnsi="宋体" w:eastAsia="宋体" w:cs="宋体"/>
          <w:color w:val="auto"/>
          <w:sz w:val="21"/>
          <w:szCs w:val="21"/>
          <w:highlight w:val="none"/>
        </w:rPr>
        <w:t>以上事项如有虚假或隐瞒，我</w:t>
      </w:r>
      <w:r>
        <w:rPr>
          <w:rFonts w:hint="eastAsia" w:ascii="宋体" w:hAnsi="宋体" w:eastAsia="宋体" w:cs="宋体"/>
          <w:color w:val="auto"/>
          <w:kern w:val="0"/>
          <w:sz w:val="21"/>
          <w:szCs w:val="21"/>
          <w:highlight w:val="none"/>
          <w:lang w:val="zh-CN"/>
        </w:rPr>
        <w:t>公司</w:t>
      </w:r>
      <w:r>
        <w:rPr>
          <w:rFonts w:hint="eastAsia" w:ascii="宋体" w:hAnsi="宋体" w:eastAsia="宋体" w:cs="宋体"/>
          <w:color w:val="auto"/>
          <w:sz w:val="21"/>
          <w:szCs w:val="21"/>
          <w:highlight w:val="none"/>
        </w:rPr>
        <w:t>愿意承担一切后果，并不再寻求任何旨在减轻或免除法律责任的辩解。</w:t>
      </w:r>
    </w:p>
    <w:p w14:paraId="5BD0937C">
      <w:pPr>
        <w:keepNext w:val="0"/>
        <w:keepLines w:val="0"/>
        <w:pageBreakBefore w:val="0"/>
        <w:kinsoku/>
        <w:overflowPunct/>
        <w:topLinePunct w:val="0"/>
        <w:bidi w:val="0"/>
        <w:adjustRightInd w:val="0"/>
        <w:snapToGrid w:val="0"/>
        <w:spacing w:line="360" w:lineRule="auto"/>
        <w:ind w:firstLine="480"/>
        <w:outlineLvl w:val="9"/>
        <w:rPr>
          <w:rFonts w:hint="eastAsia" w:ascii="宋体" w:hAnsi="宋体" w:eastAsia="宋体" w:cs="宋体"/>
          <w:color w:val="auto"/>
          <w:kern w:val="0"/>
          <w:sz w:val="21"/>
          <w:szCs w:val="21"/>
          <w:highlight w:val="none"/>
        </w:rPr>
      </w:pPr>
    </w:p>
    <w:p w14:paraId="31D1AEEB">
      <w:pPr>
        <w:keepNext w:val="0"/>
        <w:keepLines w:val="0"/>
        <w:pageBreakBefore w:val="0"/>
        <w:kinsoku/>
        <w:overflowPunct/>
        <w:topLinePunct w:val="0"/>
        <w:bidi w:val="0"/>
        <w:adjustRightInd w:val="0"/>
        <w:snapToGrid w:val="0"/>
        <w:spacing w:line="360" w:lineRule="auto"/>
        <w:ind w:firstLine="4095" w:firstLineChars="1950"/>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供应商名称(公章)：</w:t>
      </w:r>
    </w:p>
    <w:p w14:paraId="7DB83AA0">
      <w:pPr>
        <w:keepNext w:val="0"/>
        <w:keepLines w:val="0"/>
        <w:pageBreakBefore w:val="0"/>
        <w:kinsoku/>
        <w:overflowPunct/>
        <w:topLinePunct w:val="0"/>
        <w:bidi w:val="0"/>
        <w:adjustRightInd w:val="0"/>
        <w:snapToGrid w:val="0"/>
        <w:spacing w:line="360" w:lineRule="auto"/>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法定代表人或授权委托</w:t>
      </w:r>
      <w:r>
        <w:rPr>
          <w:rFonts w:hint="eastAsia" w:ascii="宋体" w:hAnsi="宋体" w:eastAsia="宋体" w:cs="宋体"/>
          <w:color w:val="auto"/>
          <w:kern w:val="0"/>
          <w:sz w:val="21"/>
          <w:szCs w:val="21"/>
          <w:highlight w:val="none"/>
          <w:lang w:val="en-US" w:eastAsia="zh-CN"/>
        </w:rPr>
        <w:t>代理</w:t>
      </w:r>
      <w:r>
        <w:rPr>
          <w:rFonts w:hint="eastAsia" w:ascii="宋体" w:hAnsi="宋体" w:eastAsia="宋体" w:cs="宋体"/>
          <w:color w:val="auto"/>
          <w:kern w:val="0"/>
          <w:sz w:val="21"/>
          <w:szCs w:val="21"/>
          <w:highlight w:val="none"/>
          <w:lang w:val="zh-CN"/>
        </w:rPr>
        <w:t>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0"/>
          <w:sz w:val="21"/>
          <w:szCs w:val="21"/>
          <w:highlight w:val="none"/>
          <w:lang w:val="zh-CN"/>
        </w:rPr>
        <w:t>：</w:t>
      </w:r>
    </w:p>
    <w:p w14:paraId="6277C830">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1"/>
          <w:szCs w:val="21"/>
          <w:highlight w:val="none"/>
          <w:lang w:val="zh-CN"/>
        </w:rPr>
      </w:pPr>
      <w:r>
        <w:rPr>
          <w:rFonts w:hint="eastAsia" w:ascii="宋体" w:hAnsi="宋体" w:eastAsia="宋体" w:cs="宋体"/>
          <w:color w:val="auto"/>
          <w:kern w:val="0"/>
          <w:sz w:val="21"/>
          <w:szCs w:val="21"/>
          <w:highlight w:val="none"/>
          <w:lang w:val="zh-CN"/>
        </w:rPr>
        <w:t xml:space="preserve">                             日期：年  月   日</w:t>
      </w:r>
    </w:p>
    <w:p w14:paraId="0C0F33E8">
      <w:pPr>
        <w:keepNext w:val="0"/>
        <w:keepLines w:val="0"/>
        <w:pageBreakBefore w:val="0"/>
        <w:kinsoku/>
        <w:overflowPunct/>
        <w:topLinePunct w:val="0"/>
        <w:bidi w:val="0"/>
        <w:adjustRightInd w:val="0"/>
        <w:snapToGrid w:val="0"/>
        <w:spacing w:line="360" w:lineRule="auto"/>
        <w:ind w:right="480"/>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附件3</w:t>
      </w:r>
    </w:p>
    <w:p w14:paraId="06CCE3F0">
      <w:pPr>
        <w:keepNext w:val="0"/>
        <w:keepLines w:val="0"/>
        <w:pageBreakBefore w:val="0"/>
        <w:kinsoku/>
        <w:overflowPunct/>
        <w:topLinePunct w:val="0"/>
        <w:bidi w:val="0"/>
        <w:spacing w:line="360" w:lineRule="auto"/>
        <w:ind w:firstLine="321" w:firstLineChars="100"/>
        <w:jc w:val="center"/>
        <w:outlineLvl w:val="9"/>
        <w:rPr>
          <w:rFonts w:hint="eastAsia" w:ascii="宋体" w:hAnsi="宋体" w:eastAsia="宋体" w:cs="宋体"/>
          <w:b/>
          <w:color w:val="auto"/>
          <w:sz w:val="32"/>
          <w:szCs w:val="32"/>
          <w:highlight w:val="none"/>
          <w:u w:val="single"/>
        </w:rPr>
      </w:pPr>
      <w:r>
        <w:rPr>
          <w:rFonts w:hint="eastAsia" w:ascii="宋体" w:hAnsi="宋体" w:eastAsia="宋体" w:cs="宋体"/>
          <w:b/>
          <w:color w:val="auto"/>
          <w:sz w:val="32"/>
          <w:szCs w:val="32"/>
          <w:highlight w:val="none"/>
        </w:rPr>
        <w:t>授权委托书</w:t>
      </w:r>
    </w:p>
    <w:p w14:paraId="1FF82FC3">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hAnsi="宋体" w:cs="宋体"/>
          <w:b w:val="0"/>
          <w:bCs/>
          <w:color w:val="auto"/>
          <w:sz w:val="21"/>
          <w:szCs w:val="21"/>
          <w:highlight w:val="none"/>
          <w:u w:val="single"/>
          <w:lang w:eastAsia="zh-CN"/>
        </w:rPr>
        <w:t>台州市第一中学</w:t>
      </w:r>
      <w:r>
        <w:rPr>
          <w:rFonts w:hint="eastAsia" w:ascii="宋体" w:hAnsi="宋体" w:eastAsia="宋体" w:cs="宋体"/>
          <w:b w:val="0"/>
          <w:bCs/>
          <w:color w:val="auto"/>
          <w:sz w:val="21"/>
          <w:szCs w:val="21"/>
          <w:highlight w:val="none"/>
          <w:u w:val="single"/>
        </w:rPr>
        <w:t>、</w:t>
      </w:r>
      <w:r>
        <w:rPr>
          <w:rFonts w:hint="eastAsia" w:ascii="宋体" w:hAnsi="宋体" w:eastAsia="宋体" w:cs="宋体"/>
          <w:b w:val="0"/>
          <w:bCs/>
          <w:color w:val="auto"/>
          <w:sz w:val="21"/>
          <w:szCs w:val="21"/>
          <w:highlight w:val="none"/>
          <w:u w:val="single"/>
          <w:lang w:eastAsia="zh-CN"/>
        </w:rPr>
        <w:t>浙江汇永工程咨询有限公司</w:t>
      </w:r>
      <w:r>
        <w:rPr>
          <w:rFonts w:hint="eastAsia" w:ascii="宋体" w:hAnsi="宋体" w:eastAsia="宋体" w:cs="宋体"/>
          <w:b w:val="0"/>
          <w:bCs/>
          <w:color w:val="auto"/>
          <w:sz w:val="21"/>
          <w:szCs w:val="21"/>
          <w:highlight w:val="none"/>
          <w:u w:val="single"/>
        </w:rPr>
        <w:t>：</w:t>
      </w:r>
    </w:p>
    <w:p w14:paraId="3069DA6B">
      <w:pPr>
        <w:pStyle w:val="11"/>
        <w:keepNext w:val="0"/>
        <w:keepLines w:val="0"/>
        <w:pageBreakBefore w:val="0"/>
        <w:kinsoku/>
        <w:overflowPunct/>
        <w:topLinePunct w:val="0"/>
        <w:bidi w:val="0"/>
        <w:spacing w:line="360" w:lineRule="auto"/>
        <w:ind w:left="240" w:hanging="210" w:hangingChars="1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u w:val="single"/>
        </w:rPr>
        <w:t xml:space="preserve">  （供应商全称）  </w:t>
      </w:r>
      <w:r>
        <w:rPr>
          <w:rFonts w:hint="eastAsia" w:ascii="宋体" w:hAnsi="宋体" w:eastAsia="宋体" w:cs="宋体"/>
          <w:color w:val="auto"/>
          <w:sz w:val="21"/>
          <w:szCs w:val="21"/>
          <w:highlight w:val="none"/>
        </w:rPr>
        <w:t>法定代表人（或营业执照中单位负责人）</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u w:val="single"/>
        </w:rPr>
        <w:t xml:space="preserve">（法定代表人或营业执照中单位负责人姓名） </w:t>
      </w:r>
      <w:r>
        <w:rPr>
          <w:rFonts w:hint="eastAsia" w:ascii="宋体" w:hAnsi="宋体" w:eastAsia="宋体" w:cs="宋体"/>
          <w:color w:val="auto"/>
          <w:sz w:val="21"/>
          <w:szCs w:val="21"/>
          <w:highlight w:val="none"/>
        </w:rPr>
        <w:t>授权</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lang w:val="en-US" w:eastAsia="zh-CN"/>
        </w:rPr>
        <w:t>授权</w:t>
      </w:r>
      <w:r>
        <w:rPr>
          <w:rFonts w:hint="eastAsia" w:ascii="宋体" w:hAnsi="宋体" w:eastAsia="宋体" w:cs="宋体"/>
          <w:color w:val="auto"/>
          <w:sz w:val="21"/>
          <w:szCs w:val="21"/>
          <w:highlight w:val="none"/>
          <w:u w:val="single"/>
        </w:rPr>
        <w:t xml:space="preserve">代表姓名） </w:t>
      </w:r>
      <w:r>
        <w:rPr>
          <w:rFonts w:hint="eastAsia" w:ascii="宋体" w:hAnsi="宋体" w:eastAsia="宋体" w:cs="宋体"/>
          <w:color w:val="auto"/>
          <w:sz w:val="21"/>
          <w:szCs w:val="21"/>
          <w:highlight w:val="none"/>
        </w:rPr>
        <w:t>为</w:t>
      </w: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，参加贵单位组织的</w:t>
      </w:r>
      <w:r>
        <w:rPr>
          <w:rFonts w:hint="eastAsia" w:hAnsi="宋体" w:cs="宋体"/>
          <w:color w:val="auto"/>
          <w:sz w:val="21"/>
          <w:szCs w:val="21"/>
          <w:highlight w:val="none"/>
          <w:u w:val="single"/>
          <w:lang w:eastAsia="zh-CN"/>
        </w:rPr>
        <w:t>拔尖人才早期培养及化学竞赛项目</w:t>
      </w:r>
      <w:r>
        <w:rPr>
          <w:rFonts w:hint="eastAsia" w:ascii="宋体" w:hAnsi="宋体" w:eastAsia="宋体" w:cs="宋体"/>
          <w:color w:val="auto"/>
          <w:sz w:val="21"/>
          <w:szCs w:val="21"/>
          <w:highlight w:val="none"/>
          <w:u w:val="single"/>
        </w:rPr>
        <w:t>（编号为</w:t>
      </w:r>
      <w:r>
        <w:rPr>
          <w:rFonts w:hint="eastAsia" w:hAnsi="宋体" w:cs="宋体"/>
          <w:color w:val="auto"/>
          <w:sz w:val="21"/>
          <w:szCs w:val="21"/>
          <w:highlight w:val="none"/>
          <w:u w:val="single"/>
          <w:lang w:eastAsia="zh-CN"/>
        </w:rPr>
        <w:t>zjhy2025-tz03</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rPr>
        <w:t>的采购活动，并代表我方全权办理针对上述项目的磋商、签约等具体事务和签署相关文件。我方对</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事项负全部责任。</w:t>
      </w:r>
    </w:p>
    <w:p w14:paraId="23EC62C1">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在撤销授权的书面通知以前，本授权书一直有效。</w:t>
      </w: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在授权委托书有效期内签署的所有文件不因授权的撤销而失效。</w:t>
      </w:r>
    </w:p>
    <w:p w14:paraId="221C773A">
      <w:pPr>
        <w:pStyle w:val="11"/>
        <w:keepNext w:val="0"/>
        <w:keepLines w:val="0"/>
        <w:pageBreakBefore w:val="0"/>
        <w:kinsoku/>
        <w:overflowPunct/>
        <w:topLinePunct w:val="0"/>
        <w:bidi w:val="0"/>
        <w:spacing w:line="360" w:lineRule="auto"/>
        <w:ind w:left="139" w:leftChars="66"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授权委托代理人</w:t>
      </w:r>
      <w:r>
        <w:rPr>
          <w:rFonts w:hint="eastAsia" w:ascii="宋体" w:hAnsi="宋体" w:eastAsia="宋体" w:cs="宋体"/>
          <w:color w:val="auto"/>
          <w:sz w:val="21"/>
          <w:szCs w:val="21"/>
          <w:highlight w:val="none"/>
        </w:rPr>
        <w:t>无转委托权，特此委托。</w:t>
      </w:r>
    </w:p>
    <w:p w14:paraId="2AD96B63">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69220D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法定代表人</w:t>
      </w:r>
      <w:r>
        <w:rPr>
          <w:rFonts w:hint="eastAsia" w:ascii="宋体" w:hAnsi="宋体" w:eastAsia="宋体" w:cs="宋体"/>
          <w:color w:val="auto"/>
          <w:sz w:val="21"/>
          <w:szCs w:val="21"/>
          <w:highlight w:val="none"/>
          <w:lang w:eastAsia="zh-CN"/>
        </w:rPr>
        <w:t>签字</w:t>
      </w:r>
      <w:r>
        <w:rPr>
          <w:rFonts w:hint="eastAsia" w:ascii="宋体" w:hAnsi="宋体" w:eastAsia="宋体" w:cs="宋体"/>
          <w:color w:val="auto"/>
          <w:sz w:val="21"/>
          <w:szCs w:val="21"/>
          <w:highlight w:val="none"/>
        </w:rPr>
        <w:t>或盖章：</w:t>
      </w:r>
    </w:p>
    <w:p w14:paraId="2F157CC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供应商全称（公章）：                              </w:t>
      </w:r>
    </w:p>
    <w:p w14:paraId="6967AEA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日期：</w:t>
      </w:r>
    </w:p>
    <w:p w14:paraId="2B2D2B2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51FF6AB4">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附：</w:t>
      </w: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723A2C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1656B8C6">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p w14:paraId="0F7B419C">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法定代表身份证正、反面复印件粘贴处</w:t>
            </w:r>
          </w:p>
        </w:tc>
      </w:tr>
    </w:tbl>
    <w:p w14:paraId="25897BC6">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法定代表人姓名：                                 </w:t>
      </w:r>
    </w:p>
    <w:p w14:paraId="4D73BE02">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506E044B">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6FA506C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51531668">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66BF8D8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p>
    <w:tbl>
      <w:tblPr>
        <w:tblStyle w:val="22"/>
        <w:tblpPr w:leftFromText="180" w:rightFromText="180" w:vertAnchor="text" w:tblpX="4209" w:tblpY="32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14:paraId="3020C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14:paraId="65ADC3B6">
            <w:pPr>
              <w:keepNext w:val="0"/>
              <w:keepLines w:val="0"/>
              <w:pageBreakBefore w:val="0"/>
              <w:kinsoku/>
              <w:overflowPunct/>
              <w:topLinePunct w:val="0"/>
              <w:bidi w:val="0"/>
              <w:spacing w:line="360" w:lineRule="auto"/>
              <w:ind w:firstLine="361" w:firstLineChars="150"/>
              <w:outlineLvl w:val="9"/>
              <w:rPr>
                <w:rFonts w:hint="eastAsia" w:ascii="宋体" w:hAnsi="宋体" w:eastAsia="宋体" w:cs="宋体"/>
                <w:b/>
                <w:color w:val="auto"/>
                <w:sz w:val="24"/>
                <w:highlight w:val="none"/>
                <w:lang w:val="en-US" w:eastAsia="zh-CN"/>
              </w:rPr>
            </w:pPr>
          </w:p>
          <w:p w14:paraId="45EDABD1">
            <w:pPr>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4"/>
                <w:highlight w:val="none"/>
                <w:lang w:val="en-US" w:eastAsia="zh-CN"/>
              </w:rPr>
              <w:t>授权委托代理人身份证正、反面复印件粘贴处</w:t>
            </w:r>
          </w:p>
        </w:tc>
      </w:tr>
    </w:tbl>
    <w:p w14:paraId="12AAC88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授权委托代理人</w:t>
      </w:r>
      <w:r>
        <w:rPr>
          <w:rFonts w:hint="eastAsia" w:ascii="宋体" w:hAnsi="宋体" w:eastAsia="宋体" w:cs="宋体"/>
          <w:color w:val="auto"/>
          <w:sz w:val="21"/>
          <w:szCs w:val="21"/>
          <w:highlight w:val="none"/>
        </w:rPr>
        <w:t xml:space="preserve">姓名：       </w:t>
      </w:r>
    </w:p>
    <w:p w14:paraId="74064085">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职务：                           </w:t>
      </w:r>
    </w:p>
    <w:p w14:paraId="61F8AC1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传真：</w:t>
      </w:r>
    </w:p>
    <w:p w14:paraId="40F64F4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电话：</w:t>
      </w:r>
    </w:p>
    <w:p w14:paraId="1E56869A">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详细通讯地址：</w:t>
      </w:r>
    </w:p>
    <w:p w14:paraId="69900D6C">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邮政编码：</w:t>
      </w:r>
    </w:p>
    <w:p w14:paraId="3F8E632E">
      <w:pPr>
        <w:keepNext w:val="0"/>
        <w:keepLines w:val="0"/>
        <w:pageBreakBefore w:val="0"/>
        <w:kinsoku/>
        <w:overflowPunct/>
        <w:topLinePunct w:val="0"/>
        <w:bidi w:val="0"/>
        <w:spacing w:line="400" w:lineRule="exact"/>
        <w:outlineLvl w:val="9"/>
        <w:rPr>
          <w:rFonts w:hint="eastAsia" w:ascii="宋体" w:hAnsi="宋体" w:eastAsia="宋体" w:cs="宋体"/>
          <w:bCs/>
          <w:color w:val="auto"/>
          <w:sz w:val="30"/>
          <w:szCs w:val="30"/>
          <w:highlight w:val="none"/>
          <w:lang w:val="en-US" w:eastAsia="zh-CN"/>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4</w:t>
      </w:r>
    </w:p>
    <w:p w14:paraId="0DF2487B">
      <w:pPr>
        <w:keepNext w:val="0"/>
        <w:keepLines w:val="0"/>
        <w:pageBreakBefore w:val="0"/>
        <w:kinsoku/>
        <w:overflowPunct/>
        <w:topLinePunct w:val="0"/>
        <w:bidi w:val="0"/>
        <w:spacing w:line="400" w:lineRule="exact"/>
        <w:jc w:val="center"/>
        <w:outlineLvl w:val="9"/>
        <w:rPr>
          <w:rFonts w:hint="eastAsia" w:ascii="宋体" w:hAnsi="宋体" w:eastAsia="宋体" w:cs="宋体"/>
          <w:b/>
          <w:bCs/>
          <w:snapToGrid w:val="0"/>
          <w:color w:val="auto"/>
          <w:sz w:val="28"/>
          <w:szCs w:val="28"/>
          <w:highlight w:val="none"/>
        </w:rPr>
      </w:pPr>
      <w:r>
        <w:rPr>
          <w:rFonts w:hint="eastAsia" w:ascii="宋体" w:hAnsi="宋体" w:eastAsia="宋体" w:cs="宋体"/>
          <w:b/>
          <w:bCs/>
          <w:snapToGrid w:val="0"/>
          <w:color w:val="auto"/>
          <w:sz w:val="28"/>
          <w:szCs w:val="28"/>
          <w:highlight w:val="none"/>
        </w:rPr>
        <w:t>中小企业声明函</w:t>
      </w:r>
    </w:p>
    <w:p w14:paraId="0FA953F4">
      <w:pPr>
        <w:pStyle w:val="8"/>
        <w:keepNext w:val="0"/>
        <w:keepLines w:val="0"/>
        <w:pageBreakBefore w:val="0"/>
        <w:kinsoku/>
        <w:overflowPunct/>
        <w:topLinePunct w:val="0"/>
        <w:bidi w:val="0"/>
        <w:spacing w:before="5"/>
        <w:outlineLvl w:val="9"/>
        <w:rPr>
          <w:rFonts w:hint="eastAsia" w:ascii="宋体" w:hAnsi="宋体" w:eastAsia="宋体" w:cs="宋体"/>
          <w:b/>
          <w:color w:val="auto"/>
          <w:sz w:val="18"/>
          <w:szCs w:val="18"/>
          <w:highlight w:val="none"/>
        </w:rPr>
      </w:pPr>
    </w:p>
    <w:p w14:paraId="7490BE7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kern w:val="2"/>
          <w:sz w:val="21"/>
          <w:szCs w:val="21"/>
          <w:highlight w:val="none"/>
          <w:lang w:val="zh-CN" w:eastAsia="zh-CN" w:bidi="ar-SA"/>
        </w:rPr>
      </w:pPr>
      <w:r>
        <w:rPr>
          <w:rFonts w:hint="eastAsia" w:ascii="宋体" w:hAnsi="宋体" w:eastAsia="宋体" w:cs="宋体"/>
          <w:color w:val="auto"/>
          <w:kern w:val="2"/>
          <w:sz w:val="21"/>
          <w:szCs w:val="21"/>
          <w:highlight w:val="none"/>
          <w:lang w:val="zh-CN" w:eastAsia="zh-CN" w:bidi="ar-SA"/>
        </w:rPr>
        <w:t>本公司（联合体）郑重声明，根据《政府采购促进中小企业发展管理办法》（财库﹝2020﹞46号）的规定，本公司（联合体）参加</w:t>
      </w:r>
      <w:r>
        <w:rPr>
          <w:rFonts w:hint="eastAsia" w:ascii="宋体" w:hAnsi="宋体" w:eastAsia="宋体" w:cs="宋体"/>
          <w:i w:val="0"/>
          <w:iCs/>
          <w:color w:val="auto"/>
          <w:sz w:val="21"/>
          <w:szCs w:val="21"/>
          <w:highlight w:val="none"/>
          <w:u w:val="single"/>
        </w:rPr>
        <w:t>（单位名称）</w:t>
      </w:r>
      <w:r>
        <w:rPr>
          <w:rFonts w:hint="eastAsia" w:ascii="宋体" w:hAnsi="宋体" w:eastAsia="宋体" w:cs="宋体"/>
          <w:color w:val="auto"/>
          <w:sz w:val="21"/>
          <w:szCs w:val="21"/>
          <w:highlight w:val="none"/>
        </w:rPr>
        <w:t>的</w:t>
      </w:r>
      <w:r>
        <w:rPr>
          <w:rFonts w:hint="eastAsia" w:ascii="宋体" w:hAnsi="宋体" w:eastAsia="宋体" w:cs="宋体"/>
          <w:i w:val="0"/>
          <w:iCs/>
          <w:color w:val="auto"/>
          <w:sz w:val="21"/>
          <w:szCs w:val="21"/>
          <w:highlight w:val="none"/>
          <w:u w:val="single"/>
        </w:rPr>
        <w:t>（项目名称）</w:t>
      </w:r>
      <w:r>
        <w:rPr>
          <w:rFonts w:hint="eastAsia" w:ascii="宋体" w:hAnsi="宋体" w:eastAsia="宋体" w:cs="宋体"/>
          <w:color w:val="auto"/>
          <w:sz w:val="21"/>
          <w:szCs w:val="21"/>
          <w:highlight w:val="none"/>
        </w:rPr>
        <w:t>采购活动，</w:t>
      </w:r>
      <w:r>
        <w:rPr>
          <w:rFonts w:hint="eastAsia" w:ascii="宋体" w:hAnsi="宋体" w:eastAsia="宋体" w:cs="宋体"/>
          <w:color w:val="auto"/>
          <w:kern w:val="2"/>
          <w:sz w:val="21"/>
          <w:szCs w:val="21"/>
          <w:highlight w:val="none"/>
          <w:lang w:val="zh-CN" w:eastAsia="zh-CN" w:bidi="ar-SA"/>
        </w:rPr>
        <w:t>服务全部由符合政策要求的中小企业承接。相关企业（含联合体中的中小企业、签订分包意向协议的中小企业）的具体情况如下：</w:t>
      </w:r>
    </w:p>
    <w:p w14:paraId="119110D5">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一、</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u w:val="single"/>
        </w:rPr>
        <w:tab/>
      </w:r>
      <w:r>
        <w:rPr>
          <w:rFonts w:hint="eastAsia" w:ascii="宋体" w:hAnsi="宋体" w:eastAsia="宋体" w:cs="宋体"/>
          <w:color w:val="auto"/>
          <w:sz w:val="21"/>
          <w:szCs w:val="21"/>
          <w:highlight w:val="none"/>
        </w:rPr>
        <w:t>万元</w:t>
      </w:r>
      <w:r>
        <w:rPr>
          <w:rFonts w:hint="eastAsia" w:ascii="宋体" w:hAnsi="宋体" w:eastAsia="宋体" w:cs="宋体"/>
          <w:color w:val="auto"/>
          <w:sz w:val="21"/>
          <w:szCs w:val="21"/>
          <w:highlight w:val="none"/>
          <w:vertAlign w:val="superscript"/>
        </w:rPr>
        <w:t>1</w:t>
      </w:r>
      <w:r>
        <w:rPr>
          <w:rFonts w:hint="eastAsia" w:ascii="宋体" w:hAnsi="宋体" w:eastAsia="宋体" w:cs="宋体"/>
          <w:color w:val="auto"/>
          <w:sz w:val="21"/>
          <w:szCs w:val="21"/>
          <w:highlight w:val="none"/>
        </w:rPr>
        <w:t>，属于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C7D28A9">
      <w:pPr>
        <w:pStyle w:val="8"/>
        <w:keepNext w:val="0"/>
        <w:keepLines w:val="0"/>
        <w:pageBreakBefore w:val="0"/>
        <w:kinsoku/>
        <w:overflowPunct/>
        <w:topLinePunct w:val="0"/>
        <w:autoSpaceDE w:val="0"/>
        <w:autoSpaceDN w:val="0"/>
        <w:bidi w:val="0"/>
        <w:adjustRightInd/>
        <w:spacing w:line="360" w:lineRule="auto"/>
        <w:ind w:right="-54" w:firstLine="402" w:firstLineChars="200"/>
        <w:jc w:val="both"/>
        <w:textAlignment w:val="auto"/>
        <w:outlineLvl w:val="9"/>
        <w:rPr>
          <w:rFonts w:hint="eastAsia" w:ascii="宋体" w:hAnsi="宋体" w:eastAsia="宋体" w:cs="宋体"/>
          <w:i w:val="0"/>
          <w:iCs/>
          <w:color w:val="auto"/>
          <w:w w:val="99"/>
          <w:sz w:val="21"/>
          <w:szCs w:val="21"/>
          <w:highlight w:val="none"/>
        </w:rPr>
      </w:pPr>
      <w:r>
        <w:rPr>
          <w:rFonts w:hint="eastAsia" w:ascii="宋体" w:hAnsi="宋体" w:eastAsia="宋体" w:cs="宋体"/>
          <w:iCs/>
          <w:color w:val="auto"/>
          <w:w w:val="96"/>
          <w:sz w:val="21"/>
          <w:szCs w:val="21"/>
          <w:highlight w:val="none"/>
          <w:lang w:val="en-US" w:eastAsia="zh-CN"/>
        </w:rPr>
        <w:t>二、</w:t>
      </w:r>
      <w:r>
        <w:rPr>
          <w:rFonts w:hint="eastAsia" w:ascii="宋体" w:hAnsi="宋体" w:eastAsia="宋体" w:cs="宋体"/>
          <w:i w:val="0"/>
          <w:iCs/>
          <w:color w:val="auto"/>
          <w:w w:val="96"/>
          <w:sz w:val="21"/>
          <w:szCs w:val="21"/>
          <w:highlight w:val="none"/>
          <w:u w:val="single"/>
        </w:rPr>
        <w:t>（标的名称）</w:t>
      </w:r>
      <w:r>
        <w:rPr>
          <w:rFonts w:hint="eastAsia" w:ascii="宋体" w:hAnsi="宋体" w:eastAsia="宋体" w:cs="宋体"/>
          <w:color w:val="auto"/>
          <w:w w:val="99"/>
          <w:sz w:val="21"/>
          <w:szCs w:val="21"/>
          <w:highlight w:val="none"/>
        </w:rPr>
        <w:t>，属于</w:t>
      </w:r>
      <w:r>
        <w:rPr>
          <w:rFonts w:hint="eastAsia" w:ascii="宋体" w:hAnsi="宋体" w:eastAsia="宋体" w:cs="宋体"/>
          <w:i w:val="0"/>
          <w:iCs/>
          <w:color w:val="auto"/>
          <w:w w:val="96"/>
          <w:sz w:val="21"/>
          <w:szCs w:val="21"/>
          <w:highlight w:val="none"/>
        </w:rPr>
        <w:t>（</w:t>
      </w:r>
      <w:r>
        <w:rPr>
          <w:rFonts w:hint="eastAsia" w:ascii="宋体" w:hAnsi="宋体" w:eastAsia="宋体" w:cs="宋体"/>
          <w:i w:val="0"/>
          <w:iCs/>
          <w:color w:val="auto"/>
          <w:w w:val="96"/>
          <w:sz w:val="21"/>
          <w:szCs w:val="21"/>
          <w:highlight w:val="none"/>
          <w:u w:val="single"/>
        </w:rPr>
        <w:t>采购文件中明确的所属行业）</w:t>
      </w:r>
      <w:r>
        <w:rPr>
          <w:rFonts w:hint="eastAsia" w:ascii="宋体" w:hAnsi="宋体" w:eastAsia="宋体" w:cs="宋体"/>
          <w:color w:val="auto"/>
          <w:w w:val="99"/>
          <w:sz w:val="21"/>
          <w:szCs w:val="21"/>
          <w:highlight w:val="none"/>
        </w:rPr>
        <w:t>；承建（承接）企业为</w:t>
      </w:r>
      <w:r>
        <w:rPr>
          <w:rFonts w:hint="eastAsia" w:ascii="宋体" w:hAnsi="宋体" w:eastAsia="宋体" w:cs="宋体"/>
          <w:i w:val="0"/>
          <w:iCs/>
          <w:color w:val="auto"/>
          <w:w w:val="96"/>
          <w:sz w:val="21"/>
          <w:szCs w:val="21"/>
          <w:highlight w:val="none"/>
          <w:u w:val="single"/>
        </w:rPr>
        <w:t>（企业名称）</w:t>
      </w:r>
      <w:r>
        <w:rPr>
          <w:rFonts w:hint="eastAsia" w:ascii="宋体" w:hAnsi="宋体" w:eastAsia="宋体" w:cs="宋体"/>
          <w:color w:val="auto"/>
          <w:w w:val="99"/>
          <w:sz w:val="21"/>
          <w:szCs w:val="21"/>
          <w:highlight w:val="none"/>
        </w:rPr>
        <w:t>，从业人员</w:t>
      </w:r>
      <w:r>
        <w:rPr>
          <w:rFonts w:hint="eastAsia" w:ascii="宋体" w:hAnsi="宋体" w:eastAsia="宋体" w:cs="宋体"/>
          <w:color w:val="auto"/>
          <w:w w:val="99"/>
          <w:sz w:val="21"/>
          <w:szCs w:val="21"/>
          <w:highlight w:val="none"/>
          <w:u w:val="single"/>
        </w:rPr>
        <w:t xml:space="preserve">  </w:t>
      </w:r>
      <w:r>
        <w:rPr>
          <w:rFonts w:hint="eastAsia" w:ascii="宋体" w:hAnsi="宋体" w:eastAsia="宋体" w:cs="宋体"/>
          <w:color w:val="auto"/>
          <w:w w:val="99"/>
          <w:sz w:val="21"/>
          <w:szCs w:val="21"/>
          <w:highlight w:val="none"/>
        </w:rPr>
        <w:t>人，营业</w:t>
      </w:r>
      <w:r>
        <w:rPr>
          <w:rFonts w:hint="eastAsia" w:ascii="宋体" w:hAnsi="宋体" w:eastAsia="宋体" w:cs="宋体"/>
          <w:color w:val="auto"/>
          <w:sz w:val="21"/>
          <w:szCs w:val="21"/>
          <w:highlight w:val="none"/>
        </w:rPr>
        <w:t>收入为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万元，资产总额为</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万元，属于</w:t>
      </w:r>
      <w:r>
        <w:rPr>
          <w:rFonts w:hint="eastAsia" w:ascii="宋体" w:hAnsi="宋体" w:eastAsia="宋体" w:cs="宋体"/>
          <w:i w:val="0"/>
          <w:iCs/>
          <w:color w:val="auto"/>
          <w:sz w:val="21"/>
          <w:szCs w:val="21"/>
          <w:highlight w:val="none"/>
          <w:u w:val="single"/>
        </w:rPr>
        <w:t>（中型企业、</w:t>
      </w:r>
      <w:r>
        <w:rPr>
          <w:rFonts w:hint="eastAsia" w:ascii="宋体" w:hAnsi="宋体" w:eastAsia="宋体" w:cs="宋体"/>
          <w:i w:val="0"/>
          <w:iCs/>
          <w:color w:val="auto"/>
          <w:w w:val="96"/>
          <w:sz w:val="21"/>
          <w:szCs w:val="21"/>
          <w:highlight w:val="none"/>
          <w:u w:val="single"/>
        </w:rPr>
        <w:t>小型企业、微型企业）</w:t>
      </w:r>
      <w:r>
        <w:rPr>
          <w:rFonts w:hint="eastAsia" w:ascii="宋体" w:hAnsi="宋体" w:eastAsia="宋体" w:cs="宋体"/>
          <w:i w:val="0"/>
          <w:iCs/>
          <w:color w:val="auto"/>
          <w:w w:val="99"/>
          <w:sz w:val="21"/>
          <w:szCs w:val="21"/>
          <w:highlight w:val="none"/>
        </w:rPr>
        <w:t>；</w:t>
      </w:r>
    </w:p>
    <w:p w14:paraId="7ECDCBDF">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p w14:paraId="7C807A68">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以上企业，不属于大企业的分支机构，不存在控股股东为大企业的情形，也不存在与大企业的负责人为同一人的情形。</w:t>
      </w:r>
    </w:p>
    <w:p w14:paraId="44686071">
      <w:pPr>
        <w:pStyle w:val="8"/>
        <w:keepNext w:val="0"/>
        <w:keepLines w:val="0"/>
        <w:pageBreakBefore w:val="0"/>
        <w:kinsoku/>
        <w:overflowPunct/>
        <w:topLinePunct w:val="0"/>
        <w:autoSpaceDE w:val="0"/>
        <w:autoSpaceDN w:val="0"/>
        <w:bidi w:val="0"/>
        <w:adjustRightInd/>
        <w:spacing w:line="360" w:lineRule="auto"/>
        <w:ind w:right="-54"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本企业对上述声明内容的真实性负责。如有虚假，将依法承担相应责任。</w:t>
      </w:r>
    </w:p>
    <w:p w14:paraId="0DE3A168">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3CD9BF4F">
      <w:pPr>
        <w:pStyle w:val="8"/>
        <w:keepNext w:val="0"/>
        <w:keepLines w:val="0"/>
        <w:pageBreakBefore w:val="0"/>
        <w:kinsoku/>
        <w:overflowPunct/>
        <w:topLinePunct w:val="0"/>
        <w:autoSpaceDE w:val="0"/>
        <w:autoSpaceDN w:val="0"/>
        <w:bidi w:val="0"/>
        <w:adjustRightInd/>
        <w:spacing w:before="29" w:line="360" w:lineRule="auto"/>
        <w:ind w:left="4060" w:right="-54"/>
        <w:textAlignment w:val="auto"/>
        <w:outlineLvl w:val="9"/>
        <w:rPr>
          <w:rFonts w:hint="eastAsia" w:ascii="宋体" w:hAnsi="宋体" w:eastAsia="宋体" w:cs="宋体"/>
          <w:color w:val="auto"/>
          <w:w w:val="99"/>
          <w:sz w:val="21"/>
          <w:szCs w:val="21"/>
          <w:highlight w:val="none"/>
        </w:rPr>
      </w:pPr>
    </w:p>
    <w:p w14:paraId="1A947375">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企业名称（盖章）：</w:t>
      </w:r>
    </w:p>
    <w:p w14:paraId="4ADDEAB8">
      <w:pPr>
        <w:pStyle w:val="8"/>
        <w:keepNext w:val="0"/>
        <w:keepLines w:val="0"/>
        <w:pageBreakBefore w:val="0"/>
        <w:kinsoku/>
        <w:overflowPunct/>
        <w:topLinePunct w:val="0"/>
        <w:autoSpaceDE w:val="0"/>
        <w:autoSpaceDN w:val="0"/>
        <w:bidi w:val="0"/>
        <w:adjustRightInd/>
        <w:spacing w:before="29" w:line="360" w:lineRule="auto"/>
        <w:ind w:right="-54" w:firstLine="3990" w:firstLineChars="1900"/>
        <w:textAlignment w:val="auto"/>
        <w:outlineLvl w:val="9"/>
        <w:rPr>
          <w:rFonts w:hint="eastAsia" w:ascii="宋体" w:hAnsi="宋体" w:eastAsia="宋体" w:cs="宋体"/>
          <w:color w:val="auto"/>
          <w:kern w:val="0"/>
          <w:szCs w:val="21"/>
          <w:highlight w:val="none"/>
        </w:rPr>
      </w:pPr>
      <w:r>
        <w:rPr>
          <w:rFonts w:hint="eastAsia" w:ascii="宋体" w:hAnsi="宋体" w:eastAsia="宋体" w:cs="宋体"/>
          <w:color w:val="auto"/>
          <w:sz w:val="21"/>
          <w:szCs w:val="21"/>
          <w:highlight w:val="none"/>
        </w:rPr>
        <w:t>日期：</w:t>
      </w:r>
    </w:p>
    <w:p w14:paraId="7EBE53E4">
      <w:pPr>
        <w:pStyle w:val="11"/>
        <w:keepNext w:val="0"/>
        <w:keepLines w:val="0"/>
        <w:pageBreakBefore w:val="0"/>
        <w:kinsoku/>
        <w:overflowPunct/>
        <w:topLinePunct w:val="0"/>
        <w:bidi w:val="0"/>
        <w:spacing w:line="360" w:lineRule="auto"/>
        <w:outlineLvl w:val="9"/>
        <w:rPr>
          <w:rFonts w:hint="eastAsia" w:ascii="宋体" w:hAnsi="宋体" w:eastAsia="宋体" w:cs="宋体"/>
          <w:b/>
          <w:color w:val="auto"/>
          <w:highlight w:val="none"/>
        </w:rPr>
      </w:pPr>
      <w:r>
        <w:rPr>
          <w:rFonts w:hint="eastAsia" w:ascii="宋体" w:hAnsi="宋体" w:eastAsia="宋体" w:cs="宋体"/>
          <w:color w:val="auto"/>
          <w:szCs w:val="21"/>
          <w:highlight w:val="none"/>
        </w:rPr>
        <w:t>注：1</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从业人员、营业收入、资产总额填报上一年度数据，无上一年度数据的新成立企业可不填报。</w:t>
      </w:r>
    </w:p>
    <w:p w14:paraId="53F92EB2">
      <w:pPr>
        <w:pStyle w:val="50"/>
        <w:keepNext w:val="0"/>
        <w:keepLines w:val="0"/>
        <w:pageBreakBefore w:val="0"/>
        <w:numPr>
          <w:ilvl w:val="0"/>
          <w:numId w:val="0"/>
        </w:numPr>
        <w:kinsoku/>
        <w:overflowPunct/>
        <w:topLinePunct w:val="0"/>
        <w:bidi w:val="0"/>
        <w:spacing w:line="360" w:lineRule="auto"/>
        <w:ind w:left="403" w:leftChars="0"/>
        <w:jc w:val="both"/>
        <w:outlineLvl w:val="9"/>
        <w:rPr>
          <w:rFonts w:hint="eastAsia" w:ascii="宋体" w:hAnsi="宋体" w:eastAsia="宋体" w:cs="宋体"/>
          <w:color w:val="auto"/>
          <w:spacing w:val="20"/>
          <w:kern w:val="0"/>
          <w:szCs w:val="21"/>
          <w:highlight w:val="none"/>
        </w:rPr>
      </w:pPr>
      <w:r>
        <w:rPr>
          <w:rFonts w:hint="eastAsia" w:ascii="宋体" w:hAnsi="宋体" w:eastAsia="宋体" w:cs="宋体"/>
          <w:color w:val="auto"/>
          <w:kern w:val="2"/>
          <w:sz w:val="21"/>
          <w:szCs w:val="21"/>
          <w:highlight w:val="none"/>
          <w:lang w:val="en-US" w:eastAsia="zh-CN" w:bidi="ar-SA"/>
        </w:rPr>
        <w:t>2、</w:t>
      </w:r>
      <w:r>
        <w:rPr>
          <w:rFonts w:hint="eastAsia" w:ascii="宋体" w:hAnsi="宋体" w:eastAsia="宋体" w:cs="宋体"/>
          <w:color w:val="auto"/>
          <w:spacing w:val="20"/>
          <w:kern w:val="0"/>
          <w:szCs w:val="21"/>
          <w:highlight w:val="none"/>
        </w:rPr>
        <w:t>投标人按各自参加投标的对应标包分别编制、分别成册、分别提交。</w:t>
      </w:r>
    </w:p>
    <w:p w14:paraId="4AB3954A">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73A7DEDF">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p>
    <w:p w14:paraId="149FD9A8">
      <w:pPr>
        <w:pStyle w:val="11"/>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lang w:val="en-GB"/>
        </w:rPr>
      </w:pPr>
      <w:r>
        <w:rPr>
          <w:rFonts w:hint="eastAsia" w:ascii="宋体" w:hAnsi="宋体" w:eastAsia="宋体" w:cs="宋体"/>
          <w:b/>
          <w:color w:val="auto"/>
          <w:sz w:val="32"/>
          <w:szCs w:val="32"/>
          <w:highlight w:val="none"/>
          <w:lang w:val="en-GB"/>
        </w:rPr>
        <w:t>残疾人福利性单位声明函</w:t>
      </w:r>
    </w:p>
    <w:p w14:paraId="42CEC23F">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本单位郑重声明，根据《财政部民政部中国残疾人联合会关于促进残疾人就业政府采购政策的通知》（财库〔2017〕 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14:paraId="2A9560A4">
      <w:pPr>
        <w:keepNext w:val="0"/>
        <w:keepLines w:val="0"/>
        <w:pageBreakBefore w:val="0"/>
        <w:kinsoku/>
        <w:overflowPunct/>
        <w:topLinePunct w:val="0"/>
        <w:bidi w:val="0"/>
        <w:spacing w:line="360" w:lineRule="auto"/>
        <w:ind w:firstLine="444" w:firstLineChars="200"/>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本单位对上述声明的真实性负责。如有虚假，将依法承担相应责任。</w:t>
      </w:r>
    </w:p>
    <w:p w14:paraId="65D7BBA7">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p>
    <w:p w14:paraId="4B7638C8">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pacing w:val="6"/>
          <w:sz w:val="21"/>
          <w:szCs w:val="21"/>
          <w:highlight w:val="none"/>
        </w:rPr>
      </w:pPr>
      <w:r>
        <w:rPr>
          <w:rFonts w:hint="eastAsia" w:ascii="宋体" w:hAnsi="宋体" w:cs="宋体"/>
          <w:color w:val="auto"/>
          <w:spacing w:val="6"/>
          <w:sz w:val="21"/>
          <w:szCs w:val="21"/>
          <w:highlight w:val="none"/>
          <w:lang w:val="en-US" w:eastAsia="zh-CN"/>
        </w:rPr>
        <w:t xml:space="preserve"> </w:t>
      </w:r>
      <w:r>
        <w:rPr>
          <w:rFonts w:hint="eastAsia" w:ascii="宋体" w:hAnsi="宋体" w:eastAsia="宋体" w:cs="宋体"/>
          <w:color w:val="auto"/>
          <w:spacing w:val="6"/>
          <w:sz w:val="21"/>
          <w:szCs w:val="21"/>
          <w:highlight w:val="none"/>
        </w:rPr>
        <w:t>磋商供应商名称（盖章）：</w:t>
      </w:r>
    </w:p>
    <w:p w14:paraId="73E93114">
      <w:pPr>
        <w:keepNext w:val="0"/>
        <w:keepLines w:val="0"/>
        <w:pageBreakBefore w:val="0"/>
        <w:tabs>
          <w:tab w:val="left" w:pos="4860"/>
        </w:tabs>
        <w:kinsoku/>
        <w:overflowPunct/>
        <w:topLinePunct w:val="0"/>
        <w:bidi w:val="0"/>
        <w:spacing w:line="360" w:lineRule="auto"/>
        <w:ind w:right="1560" w:firstLine="420" w:firstLineChars="20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法定代表人（</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kern w:val="2"/>
          <w:sz w:val="21"/>
          <w:szCs w:val="21"/>
          <w:highlight w:val="none"/>
          <w:lang w:val="en-US" w:eastAsia="zh-CN" w:bidi="ar-SA"/>
        </w:rPr>
        <w:t>）：</w:t>
      </w:r>
    </w:p>
    <w:p w14:paraId="5FF64EE1">
      <w:pPr>
        <w:keepNext w:val="0"/>
        <w:keepLines w:val="0"/>
        <w:pageBreakBefore w:val="0"/>
        <w:tabs>
          <w:tab w:val="left" w:pos="4860"/>
        </w:tabs>
        <w:kinsoku/>
        <w:overflowPunct/>
        <w:topLinePunct w:val="0"/>
        <w:bidi w:val="0"/>
        <w:spacing w:line="360" w:lineRule="auto"/>
        <w:ind w:right="1560" w:firstLine="444" w:firstLineChars="200"/>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pacing w:val="6"/>
          <w:sz w:val="21"/>
          <w:szCs w:val="21"/>
          <w:highlight w:val="none"/>
        </w:rPr>
        <w:t>日期：</w:t>
      </w:r>
    </w:p>
    <w:p w14:paraId="542C0C75">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8386A01">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09BC031E">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E602E97">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4AFD80C9">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08E975E">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3522E5C7">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60FCB8B">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233BD5BB">
      <w:pPr>
        <w:pStyle w:val="50"/>
        <w:keepNext w:val="0"/>
        <w:keepLines w:val="0"/>
        <w:pageBreakBefore w:val="0"/>
        <w:kinsoku/>
        <w:overflowPunct/>
        <w:topLinePunct w:val="0"/>
        <w:bidi w:val="0"/>
        <w:spacing w:line="360" w:lineRule="auto"/>
        <w:outlineLvl w:val="9"/>
        <w:rPr>
          <w:rFonts w:hint="eastAsia" w:ascii="宋体" w:hAnsi="宋体" w:eastAsia="宋体" w:cs="宋体"/>
          <w:b/>
          <w:color w:val="auto"/>
          <w:sz w:val="28"/>
          <w:szCs w:val="28"/>
          <w:highlight w:val="none"/>
        </w:rPr>
      </w:pPr>
    </w:p>
    <w:p w14:paraId="613D9652">
      <w:pPr>
        <w:pStyle w:val="8"/>
        <w:jc w:val="both"/>
        <w:rPr>
          <w:rFonts w:hint="eastAsia" w:ascii="宋体" w:hAnsi="宋体" w:eastAsia="宋体" w:cs="宋体"/>
          <w:color w:val="auto"/>
          <w:highlight w:val="none"/>
        </w:rPr>
      </w:pPr>
    </w:p>
    <w:p w14:paraId="56D69176">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pgNumType w:fmt="decimal"/>
          <w:cols w:space="425" w:num="1"/>
          <w:docGrid w:type="lines" w:linePitch="312" w:charSpace="0"/>
        </w:sectPr>
      </w:pPr>
    </w:p>
    <w:p w14:paraId="4BB683F3">
      <w:pPr>
        <w:pStyle w:val="55"/>
        <w:widowControl w:val="0"/>
        <w:snapToGrid w:val="0"/>
        <w:spacing w:line="360" w:lineRule="auto"/>
        <w:jc w:val="center"/>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kern w:val="2"/>
          <w:sz w:val="32"/>
          <w:szCs w:val="32"/>
          <w:highlight w:val="none"/>
          <w:lang w:val="en-US" w:eastAsia="zh-CN" w:bidi="ar-SA"/>
        </w:rPr>
        <w:t>政府采购活动现场确认声明书</w:t>
      </w:r>
    </w:p>
    <w:p w14:paraId="6DA22E50">
      <w:pPr>
        <w:pStyle w:val="55"/>
        <w:widowControl w:val="0"/>
        <w:snapToGrid w:val="0"/>
        <w:spacing w:line="360" w:lineRule="auto"/>
        <w:jc w:val="both"/>
        <w:rPr>
          <w:rFonts w:hint="eastAsia" w:ascii="宋体" w:hAnsi="宋体" w:eastAsia="宋体" w:cs="宋体"/>
          <w:b/>
          <w:color w:val="auto"/>
          <w:sz w:val="21"/>
          <w:szCs w:val="21"/>
          <w:highlight w:val="none"/>
        </w:rPr>
      </w:pP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u w:val="single"/>
          <w:lang w:eastAsia="zh-CN"/>
        </w:rPr>
        <w:t>浙江汇永工程咨询有限公司</w:t>
      </w:r>
      <w:r>
        <w:rPr>
          <w:rFonts w:hint="eastAsia" w:ascii="宋体" w:hAnsi="宋体" w:eastAsia="宋体" w:cs="宋体"/>
          <w:color w:val="auto"/>
          <w:kern w:val="0"/>
          <w:sz w:val="21"/>
          <w:szCs w:val="21"/>
          <w:highlight w:val="none"/>
        </w:rPr>
        <w:t>：</w:t>
      </w:r>
    </w:p>
    <w:p w14:paraId="6060F5C6">
      <w:pPr>
        <w:pStyle w:val="55"/>
        <w:widowControl w:val="0"/>
        <w:snapToGrid w:val="0"/>
        <w:spacing w:line="360" w:lineRule="auto"/>
        <w:ind w:firstLine="444" w:firstLineChars="200"/>
        <w:jc w:val="left"/>
        <w:rPr>
          <w:rFonts w:hint="eastAsia" w:ascii="宋体" w:hAnsi="宋体" w:eastAsia="宋体" w:cs="宋体"/>
          <w:color w:val="auto"/>
          <w:spacing w:val="6"/>
          <w:sz w:val="21"/>
          <w:szCs w:val="21"/>
          <w:highlight w:val="none"/>
        </w:rPr>
      </w:pPr>
      <w:r>
        <w:rPr>
          <w:rFonts w:hint="eastAsia" w:ascii="宋体" w:hAnsi="宋体" w:eastAsia="宋体" w:cs="宋体"/>
          <w:color w:val="auto"/>
          <w:spacing w:val="6"/>
          <w:sz w:val="21"/>
          <w:szCs w:val="21"/>
          <w:highlight w:val="none"/>
        </w:rPr>
        <w:t>本人经由</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（供应商全称）</w:t>
      </w:r>
      <w:r>
        <w:rPr>
          <w:rFonts w:hint="eastAsia" w:ascii="宋体" w:hAnsi="宋体" w:eastAsia="宋体" w:cs="宋体"/>
          <w:color w:val="auto"/>
          <w:sz w:val="21"/>
          <w:szCs w:val="21"/>
          <w:highlight w:val="none"/>
          <w:u w:val="single"/>
          <w:lang w:val="en-US" w:eastAsia="zh-CN"/>
        </w:rPr>
        <w:t xml:space="preserve">   </w:t>
      </w:r>
      <w:r>
        <w:rPr>
          <w:rFonts w:hint="eastAsia" w:ascii="宋体" w:hAnsi="宋体" w:eastAsia="宋体" w:cs="宋体"/>
          <w:color w:val="auto"/>
          <w:spacing w:val="6"/>
          <w:sz w:val="21"/>
          <w:szCs w:val="21"/>
          <w:highlight w:val="none"/>
        </w:rPr>
        <w:t>负责人</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w:t>
      </w:r>
      <w:r>
        <w:rPr>
          <w:rFonts w:hint="eastAsia" w:ascii="宋体" w:hAnsi="宋体" w:eastAsia="宋体" w:cs="宋体"/>
          <w:color w:val="auto"/>
          <w:sz w:val="21"/>
          <w:szCs w:val="21"/>
          <w:highlight w:val="none"/>
          <w:u w:val="single"/>
          <w:lang w:val="en-US" w:eastAsia="zh-CN"/>
        </w:rPr>
        <w:t>法定代表人</w:t>
      </w:r>
      <w:r>
        <w:rPr>
          <w:rFonts w:hint="eastAsia" w:ascii="宋体" w:hAnsi="宋体" w:eastAsia="宋体" w:cs="宋体"/>
          <w:color w:val="auto"/>
          <w:sz w:val="21"/>
          <w:szCs w:val="21"/>
          <w:highlight w:val="none"/>
          <w:u w:val="single"/>
        </w:rPr>
        <w:t>姓名）</w:t>
      </w:r>
      <w:r>
        <w:rPr>
          <w:rFonts w:hint="eastAsia" w:ascii="宋体" w:hAnsi="宋体" w:eastAsia="宋体" w:cs="宋体"/>
          <w:color w:val="auto"/>
          <w:kern w:val="0"/>
          <w:sz w:val="21"/>
          <w:szCs w:val="21"/>
          <w:highlight w:val="none"/>
          <w:u w:val="single"/>
          <w:lang w:val="en-US" w:eastAsia="zh-CN"/>
        </w:rPr>
        <w:t xml:space="preserve">   </w:t>
      </w:r>
      <w:r>
        <w:rPr>
          <w:rFonts w:hint="eastAsia" w:ascii="宋体" w:hAnsi="宋体" w:eastAsia="宋体" w:cs="宋体"/>
          <w:color w:val="auto"/>
          <w:sz w:val="21"/>
          <w:szCs w:val="21"/>
          <w:highlight w:val="none"/>
          <w:u w:val="none"/>
          <w:lang w:eastAsia="zh-CN"/>
        </w:rPr>
        <w:t>合</w:t>
      </w:r>
      <w:r>
        <w:rPr>
          <w:rFonts w:hint="eastAsia" w:ascii="宋体" w:hAnsi="宋体" w:eastAsia="宋体" w:cs="宋体"/>
          <w:color w:val="auto"/>
          <w:spacing w:val="6"/>
          <w:sz w:val="21"/>
          <w:szCs w:val="21"/>
          <w:highlight w:val="none"/>
        </w:rPr>
        <w:t>法授权参加</w:t>
      </w:r>
      <w:r>
        <w:rPr>
          <w:rFonts w:hint="eastAsia" w:hAnsi="宋体" w:cs="宋体"/>
          <w:color w:val="auto"/>
          <w:kern w:val="0"/>
          <w:sz w:val="21"/>
          <w:szCs w:val="21"/>
          <w:highlight w:val="none"/>
          <w:u w:val="single"/>
          <w:lang w:eastAsia="zh-CN"/>
        </w:rPr>
        <w:t>拔尖人才早期培养及化学竞赛项目</w:t>
      </w:r>
      <w:r>
        <w:rPr>
          <w:rFonts w:hint="eastAsia" w:ascii="宋体" w:hAnsi="宋体" w:eastAsia="宋体" w:cs="宋体"/>
          <w:color w:val="auto"/>
          <w:spacing w:val="6"/>
          <w:sz w:val="21"/>
          <w:szCs w:val="21"/>
          <w:highlight w:val="none"/>
        </w:rPr>
        <w:t>（编号：</w:t>
      </w:r>
      <w:r>
        <w:rPr>
          <w:rFonts w:hint="eastAsia" w:hAnsi="宋体" w:cs="宋体"/>
          <w:color w:val="auto"/>
          <w:sz w:val="21"/>
          <w:szCs w:val="21"/>
          <w:highlight w:val="none"/>
          <w:u w:val="single"/>
          <w:lang w:val="en-US" w:eastAsia="zh-CN"/>
        </w:rPr>
        <w:t>zjhy2025-tz03</w:t>
      </w:r>
      <w:r>
        <w:rPr>
          <w:rFonts w:hint="eastAsia" w:ascii="宋体" w:hAnsi="宋体" w:eastAsia="宋体" w:cs="宋体"/>
          <w:color w:val="auto"/>
          <w:spacing w:val="6"/>
          <w:sz w:val="21"/>
          <w:szCs w:val="21"/>
          <w:highlight w:val="none"/>
        </w:rPr>
        <w:t xml:space="preserve">）政府采购活动，经与本单位法人代表（负责人）联系确认，现就有关公平竞争事项郑重声明如下： </w:t>
      </w:r>
    </w:p>
    <w:p w14:paraId="1032DB27">
      <w:pPr>
        <w:pStyle w:val="52"/>
        <w:widowControl/>
        <w:tabs>
          <w:tab w:val="left" w:pos="630"/>
        </w:tabs>
        <w:snapToGrid w:val="0"/>
        <w:spacing w:line="360" w:lineRule="auto"/>
        <w:ind w:left="210"/>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一、本单位与采购人之间 </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不存在利害关系 □存在下列利害关系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505A4BFD">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A.投资关系    B.行政隶属关系    C.业务指导关系</w:t>
      </w:r>
    </w:p>
    <w:p w14:paraId="5D5ED902">
      <w:pPr>
        <w:pStyle w:val="52"/>
        <w:widowControl/>
        <w:snapToGrid w:val="0"/>
        <w:spacing w:line="360" w:lineRule="auto"/>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D.其他可能</w:t>
      </w:r>
      <w:r>
        <w:rPr>
          <w:rFonts w:hint="eastAsia" w:ascii="宋体" w:hAnsi="宋体" w:eastAsia="宋体" w:cs="宋体"/>
          <w:color w:val="auto"/>
          <w:sz w:val="21"/>
          <w:szCs w:val="21"/>
          <w:highlight w:val="none"/>
        </w:rPr>
        <w:t>影响采购公正的</w:t>
      </w:r>
      <w:r>
        <w:rPr>
          <w:rFonts w:hint="eastAsia" w:ascii="宋体" w:hAnsi="宋体" w:eastAsia="宋体" w:cs="宋体"/>
          <w:color w:val="auto"/>
          <w:kern w:val="0"/>
          <w:sz w:val="21"/>
          <w:szCs w:val="21"/>
          <w:highlight w:val="none"/>
        </w:rPr>
        <w:t>利害关系</w:t>
      </w:r>
      <w:r>
        <w:rPr>
          <w:rFonts w:hint="eastAsia" w:ascii="宋体" w:hAnsi="宋体" w:eastAsia="宋体" w:cs="宋体"/>
          <w:color w:val="auto"/>
          <w:kern w:val="0"/>
          <w:sz w:val="21"/>
          <w:szCs w:val="21"/>
          <w:highlight w:val="none"/>
          <w:u w:val="single"/>
        </w:rPr>
        <w:t xml:space="preserve">（如有，请如实说明）                 </w:t>
      </w:r>
      <w:r>
        <w:rPr>
          <w:rFonts w:hint="eastAsia" w:ascii="宋体" w:hAnsi="宋体" w:eastAsia="宋体" w:cs="宋体"/>
          <w:color w:val="auto"/>
          <w:kern w:val="0"/>
          <w:sz w:val="21"/>
          <w:szCs w:val="21"/>
          <w:highlight w:val="none"/>
        </w:rPr>
        <w:t>。</w:t>
      </w:r>
    </w:p>
    <w:p w14:paraId="5F14D75A">
      <w:pPr>
        <w:pStyle w:val="52"/>
        <w:widowControl/>
        <w:snapToGrid w:val="0"/>
        <w:spacing w:line="360" w:lineRule="auto"/>
        <w:ind w:firstLine="222" w:firstLineChars="100"/>
        <w:rPr>
          <w:rFonts w:hint="eastAsia" w:ascii="宋体" w:hAnsi="宋体" w:eastAsia="宋体" w:cs="宋体"/>
          <w:color w:val="auto"/>
          <w:kern w:val="0"/>
          <w:sz w:val="21"/>
          <w:szCs w:val="21"/>
          <w:highlight w:val="none"/>
        </w:rPr>
      </w:pPr>
      <w:r>
        <w:rPr>
          <w:rFonts w:hint="eastAsia" w:ascii="宋体" w:hAnsi="宋体" w:eastAsia="宋体" w:cs="宋体"/>
          <w:color w:val="auto"/>
          <w:spacing w:val="6"/>
          <w:sz w:val="21"/>
          <w:szCs w:val="21"/>
          <w:highlight w:val="none"/>
        </w:rPr>
        <w:t>二、</w:t>
      </w:r>
      <w:r>
        <w:rPr>
          <w:rFonts w:hint="eastAsia" w:ascii="宋体" w:hAnsi="宋体" w:eastAsia="宋体" w:cs="宋体"/>
          <w:color w:val="auto"/>
          <w:kern w:val="0"/>
          <w:sz w:val="21"/>
          <w:szCs w:val="21"/>
          <w:highlight w:val="none"/>
        </w:rPr>
        <w:t>现已清楚知道参加本项目采购活动的其他所有供应商名称，本单位</w:t>
      </w:r>
      <w:r>
        <w:rPr>
          <w:rFonts w:hint="eastAsia" w:ascii="宋体" w:hAnsi="宋体" w:eastAsia="宋体" w:cs="宋体"/>
          <w:color w:val="auto"/>
          <w:sz w:val="21"/>
          <w:szCs w:val="21"/>
          <w:highlight w:val="none"/>
        </w:rPr>
        <w:sym w:font="Wingdings" w:char="00FE"/>
      </w:r>
      <w:r>
        <w:rPr>
          <w:rFonts w:hint="eastAsia" w:ascii="宋体" w:hAnsi="宋体" w:eastAsia="宋体" w:cs="宋体"/>
          <w:color w:val="auto"/>
          <w:kern w:val="0"/>
          <w:sz w:val="21"/>
          <w:szCs w:val="21"/>
          <w:highlight w:val="none"/>
        </w:rPr>
        <w:t>与其他所有供应商之间均不存在利害关系 □与</w:t>
      </w:r>
      <w:r>
        <w:rPr>
          <w:rFonts w:hint="eastAsia" w:ascii="宋体" w:hAnsi="宋体" w:eastAsia="宋体" w:cs="宋体"/>
          <w:color w:val="auto"/>
          <w:kern w:val="0"/>
          <w:sz w:val="21"/>
          <w:szCs w:val="21"/>
          <w:highlight w:val="none"/>
          <w:u w:val="single"/>
        </w:rPr>
        <w:t xml:space="preserve">           （供应商名称）</w:t>
      </w:r>
      <w:r>
        <w:rPr>
          <w:rFonts w:hint="eastAsia" w:ascii="宋体" w:hAnsi="宋体" w:eastAsia="宋体" w:cs="宋体"/>
          <w:color w:val="auto"/>
          <w:kern w:val="0"/>
          <w:sz w:val="21"/>
          <w:szCs w:val="21"/>
          <w:highlight w:val="none"/>
        </w:rPr>
        <w:t>之间存在下列利害关系</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w:t>
      </w:r>
    </w:p>
    <w:p w14:paraId="7C551C2E">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A.法定代表人或负责人或实际控制人是同一人</w:t>
      </w:r>
    </w:p>
    <w:p w14:paraId="3A9A77F5">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B.法定代表人或负责人或实际控制人是夫妻关系</w:t>
      </w:r>
    </w:p>
    <w:p w14:paraId="3F9EEC19">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C.法定代表人或负责人或实际控制人是直系血亲关系</w:t>
      </w:r>
    </w:p>
    <w:p w14:paraId="1F85829F">
      <w:pPr>
        <w:pStyle w:val="55"/>
        <w:widowControl w:val="0"/>
        <w:snapToGrid w:val="0"/>
        <w:spacing w:line="360" w:lineRule="auto"/>
        <w:jc w:val="both"/>
        <w:rPr>
          <w:rFonts w:hint="eastAsia" w:ascii="宋体" w:hAnsi="宋体" w:eastAsia="宋体" w:cs="宋体"/>
          <w:color w:val="auto"/>
          <w:spacing w:val="6"/>
          <w:sz w:val="21"/>
          <w:szCs w:val="21"/>
          <w:highlight w:val="none"/>
        </w:rPr>
      </w:pPr>
      <w:r>
        <w:rPr>
          <w:rFonts w:hint="eastAsia" w:ascii="宋体" w:hAnsi="宋体" w:eastAsia="宋体" w:cs="宋体"/>
          <w:color w:val="auto"/>
          <w:kern w:val="0"/>
          <w:sz w:val="21"/>
          <w:szCs w:val="21"/>
          <w:highlight w:val="none"/>
        </w:rPr>
        <w:t xml:space="preserve">  D.法定代表人或负责人或实际控制人存在三代以内旁系血亲关系</w:t>
      </w:r>
    </w:p>
    <w:p w14:paraId="5ECE6EDA">
      <w:pPr>
        <w:pStyle w:val="55"/>
        <w:widowControl w:val="0"/>
        <w:snapToGrid w:val="0"/>
        <w:spacing w:line="360" w:lineRule="auto"/>
        <w:jc w:val="both"/>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E.法定代表人或负责人或实际控制人存在近姻亲关系</w:t>
      </w:r>
    </w:p>
    <w:p w14:paraId="77120F2D">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F.法定代表人或负责人或实际控制人存在股份控制或实际控制关系</w:t>
      </w:r>
    </w:p>
    <w:p w14:paraId="5CD6421D">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 xml:space="preserve">  G.存在共同直接或间接投资设立子公司、联营企业和合营企业情况</w:t>
      </w:r>
    </w:p>
    <w:p w14:paraId="244D6F1D">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kern w:val="0"/>
          <w:sz w:val="21"/>
          <w:szCs w:val="21"/>
          <w:highlight w:val="none"/>
        </w:rPr>
        <w:t xml:space="preserve">  H.存在分级代理或代销关系、同一生产制造商关系、</w:t>
      </w:r>
      <w:r>
        <w:rPr>
          <w:rFonts w:hint="eastAsia" w:ascii="宋体" w:hAnsi="宋体" w:eastAsia="宋体" w:cs="宋体"/>
          <w:color w:val="auto"/>
          <w:sz w:val="21"/>
          <w:szCs w:val="21"/>
          <w:highlight w:val="none"/>
        </w:rPr>
        <w:t>管理关系、重要业务（占主营业务收入50%以上）或重要财务往来关系（如融资）等其他实质性控制关系</w:t>
      </w:r>
    </w:p>
    <w:p w14:paraId="67F58F98">
      <w:pPr>
        <w:pStyle w:val="55"/>
        <w:keepNext w:val="0"/>
        <w:keepLines w:val="0"/>
        <w:pageBreakBefore w:val="0"/>
        <w:widowControl w:val="0"/>
        <w:kinsoku/>
        <w:wordWrap/>
        <w:overflowPunct/>
        <w:topLinePunct w:val="0"/>
        <w:autoSpaceDE/>
        <w:autoSpaceDN/>
        <w:bidi w:val="0"/>
        <w:adjustRightInd w:val="0"/>
        <w:snapToGrid w:val="0"/>
        <w:spacing w:line="360" w:lineRule="auto"/>
        <w:jc w:val="both"/>
        <w:textAlignment w:val="auto"/>
        <w:outlineLvl w:val="9"/>
        <w:rPr>
          <w:rFonts w:hint="eastAsia" w:ascii="宋体" w:hAnsi="宋体" w:eastAsia="宋体" w:cs="宋体"/>
          <w:color w:val="auto"/>
          <w:spacing w:val="6"/>
          <w:sz w:val="21"/>
          <w:szCs w:val="21"/>
          <w:highlight w:val="none"/>
        </w:rPr>
      </w:pPr>
      <w:r>
        <w:rPr>
          <w:rFonts w:hint="eastAsia" w:ascii="宋体" w:hAnsi="宋体" w:eastAsia="宋体" w:cs="宋体"/>
          <w:color w:val="auto"/>
          <w:sz w:val="21"/>
          <w:szCs w:val="21"/>
          <w:highlight w:val="none"/>
        </w:rPr>
        <w:t xml:space="preserve">    I</w:t>
      </w:r>
      <w:r>
        <w:rPr>
          <w:rFonts w:hint="eastAsia" w:ascii="宋体" w:hAnsi="宋体" w:eastAsia="宋体" w:cs="宋体"/>
          <w:color w:val="auto"/>
          <w:kern w:val="0"/>
          <w:sz w:val="21"/>
          <w:szCs w:val="21"/>
          <w:highlight w:val="none"/>
        </w:rPr>
        <w:t>.</w:t>
      </w:r>
      <w:r>
        <w:rPr>
          <w:rFonts w:hint="eastAsia" w:ascii="宋体" w:hAnsi="宋体" w:eastAsia="宋体" w:cs="宋体"/>
          <w:color w:val="auto"/>
          <w:sz w:val="21"/>
          <w:szCs w:val="21"/>
          <w:highlight w:val="none"/>
        </w:rPr>
        <w:t>其他利害关系情况</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kern w:val="0"/>
          <w:sz w:val="21"/>
          <w:szCs w:val="21"/>
          <w:highlight w:val="none"/>
        </w:rPr>
        <w:t>。</w:t>
      </w:r>
    </w:p>
    <w:p w14:paraId="6707382C">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sz w:val="21"/>
          <w:szCs w:val="21"/>
          <w:highlight w:val="none"/>
        </w:rPr>
        <w:t>三、现已清楚知道并</w:t>
      </w:r>
      <w:r>
        <w:rPr>
          <w:rFonts w:hint="eastAsia" w:ascii="宋体" w:hAnsi="宋体" w:eastAsia="宋体" w:cs="宋体"/>
          <w:color w:val="auto"/>
          <w:kern w:val="0"/>
          <w:sz w:val="21"/>
          <w:szCs w:val="21"/>
          <w:highlight w:val="none"/>
        </w:rPr>
        <w:t>严格遵守政府采购法律法规和现场纪律。</w:t>
      </w:r>
    </w:p>
    <w:p w14:paraId="42F11571">
      <w:pPr>
        <w:pStyle w:val="52"/>
        <w:keepNext w:val="0"/>
        <w:keepLines w:val="0"/>
        <w:pageBreakBefore w:val="0"/>
        <w:widowControl/>
        <w:kinsoku/>
        <w:wordWrap/>
        <w:overflowPunct/>
        <w:topLinePunct w:val="0"/>
        <w:autoSpaceDE/>
        <w:autoSpaceDN/>
        <w:bidi w:val="0"/>
        <w:adjustRightInd w:val="0"/>
        <w:snapToGrid w:val="0"/>
        <w:spacing w:line="360" w:lineRule="auto"/>
        <w:ind w:left="36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四、我发现</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供应商之间存在或可能存在上述第二条第</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rPr>
        <w:t xml:space="preserve"> </w:t>
      </w:r>
      <w:r>
        <w:rPr>
          <w:rFonts w:hint="eastAsia" w:ascii="宋体" w:hAnsi="宋体" w:eastAsia="宋体" w:cs="宋体"/>
          <w:b/>
          <w:bCs/>
          <w:color w:val="auto"/>
          <w:kern w:val="0"/>
          <w:sz w:val="21"/>
          <w:szCs w:val="21"/>
          <w:highlight w:val="none"/>
          <w:u w:val="single"/>
          <w:lang w:val="en-US" w:eastAsia="zh-CN"/>
        </w:rPr>
        <w:t>/</w:t>
      </w:r>
      <w:r>
        <w:rPr>
          <w:rFonts w:hint="eastAsia" w:ascii="宋体" w:hAnsi="宋体" w:eastAsia="宋体" w:cs="宋体"/>
          <w:color w:val="auto"/>
          <w:kern w:val="0"/>
          <w:sz w:val="21"/>
          <w:szCs w:val="21"/>
          <w:highlight w:val="none"/>
          <w:u w:val="single"/>
        </w:rPr>
        <w:t xml:space="preserve">  </w:t>
      </w:r>
      <w:r>
        <w:rPr>
          <w:rFonts w:hint="eastAsia" w:ascii="宋体" w:hAnsi="宋体" w:eastAsia="宋体" w:cs="宋体"/>
          <w:color w:val="auto"/>
          <w:kern w:val="0"/>
          <w:sz w:val="21"/>
          <w:szCs w:val="21"/>
          <w:highlight w:val="none"/>
        </w:rPr>
        <w:t>项利害关系。</w:t>
      </w:r>
    </w:p>
    <w:p w14:paraId="721DBA9B">
      <w:pPr>
        <w:pStyle w:val="52"/>
        <w:keepNext w:val="0"/>
        <w:keepLines w:val="0"/>
        <w:pageBreakBefore w:val="0"/>
        <w:widowControl/>
        <w:kinsoku/>
        <w:wordWrap/>
        <w:overflowPunct/>
        <w:topLinePunct w:val="0"/>
        <w:autoSpaceDE/>
        <w:autoSpaceDN/>
        <w:bidi w:val="0"/>
        <w:adjustRightInd w:val="0"/>
        <w:snapToGrid w:val="0"/>
        <w:spacing w:line="360" w:lineRule="auto"/>
        <w:ind w:left="210"/>
        <w:textAlignment w:val="auto"/>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五、本单位若有违反诚信投标、采购法律法规等行为，愿意按照</w:t>
      </w:r>
      <w:r>
        <w:rPr>
          <w:rFonts w:hint="eastAsia" w:hAnsi="宋体" w:cs="宋体"/>
          <w:color w:val="auto"/>
          <w:kern w:val="0"/>
          <w:sz w:val="21"/>
          <w:szCs w:val="21"/>
          <w:highlight w:val="none"/>
          <w:lang w:eastAsia="zh-CN"/>
        </w:rPr>
        <w:t>采购文件</w:t>
      </w:r>
      <w:r>
        <w:rPr>
          <w:rFonts w:hint="eastAsia" w:ascii="宋体" w:hAnsi="宋体" w:eastAsia="宋体" w:cs="宋体"/>
          <w:color w:val="auto"/>
          <w:kern w:val="0"/>
          <w:sz w:val="21"/>
          <w:szCs w:val="21"/>
          <w:highlight w:val="none"/>
        </w:rPr>
        <w:t>规定接受投标担保的处理。如已中标，自动放弃中标资格；给招标人造成损失的，依法承担赔偿责任。</w:t>
      </w:r>
    </w:p>
    <w:p w14:paraId="66709FDD">
      <w:pPr>
        <w:pStyle w:val="55"/>
        <w:keepNext w:val="0"/>
        <w:keepLines w:val="0"/>
        <w:pageBreakBefore w:val="0"/>
        <w:widowControl w:val="0"/>
        <w:kinsoku/>
        <w:wordWrap/>
        <w:overflowPunct/>
        <w:topLinePunct w:val="0"/>
        <w:autoSpaceDE/>
        <w:autoSpaceDN/>
        <w:bidi w:val="0"/>
        <w:adjustRightInd w:val="0"/>
        <w:snapToGrid w:val="0"/>
        <w:spacing w:line="360" w:lineRule="auto"/>
        <w:ind w:firstLine="420" w:firstLineChars="2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B606A82">
      <w:pPr>
        <w:pStyle w:val="55"/>
        <w:keepNext w:val="0"/>
        <w:keepLines w:val="0"/>
        <w:pageBreakBefore w:val="0"/>
        <w:widowControl w:val="0"/>
        <w:kinsoku/>
        <w:wordWrap/>
        <w:overflowPunct/>
        <w:topLinePunct w:val="0"/>
        <w:autoSpaceDE/>
        <w:autoSpaceDN/>
        <w:bidi w:val="0"/>
        <w:adjustRightInd w:val="0"/>
        <w:snapToGrid w:val="0"/>
        <w:spacing w:line="360" w:lineRule="auto"/>
        <w:ind w:firstLine="3570" w:firstLineChars="1700"/>
        <w:jc w:val="both"/>
        <w:textAlignment w:val="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（供应商代表</w:t>
      </w:r>
      <w:r>
        <w:rPr>
          <w:rFonts w:hint="eastAsia" w:ascii="宋体" w:hAnsi="宋体" w:eastAsia="宋体" w:cs="宋体"/>
          <w:color w:val="auto"/>
          <w:sz w:val="21"/>
          <w:szCs w:val="21"/>
          <w:highlight w:val="none"/>
          <w:lang w:eastAsia="zh-CN"/>
        </w:rPr>
        <w:t>签字或盖章</w:t>
      </w:r>
      <w:r>
        <w:rPr>
          <w:rFonts w:hint="eastAsia" w:ascii="宋体" w:hAnsi="宋体" w:eastAsia="宋体" w:cs="宋体"/>
          <w:color w:val="auto"/>
          <w:sz w:val="21"/>
          <w:szCs w:val="21"/>
          <w:highlight w:val="none"/>
        </w:rPr>
        <w:t>）</w:t>
      </w:r>
    </w:p>
    <w:p w14:paraId="6338C996">
      <w:pPr>
        <w:pStyle w:val="55"/>
        <w:widowControl w:val="0"/>
        <w:snapToGrid w:val="0"/>
        <w:spacing w:line="360" w:lineRule="auto"/>
        <w:ind w:firstLine="420" w:firstLineChars="200"/>
        <w:jc w:val="both"/>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 xml:space="preserve"> </w:t>
      </w:r>
      <w:r>
        <w:rPr>
          <w:rFonts w:hint="eastAsia" w:ascii="宋体" w:hAnsi="宋体" w:eastAsia="宋体" w:cs="宋体"/>
          <w:color w:val="auto"/>
          <w:sz w:val="21"/>
          <w:szCs w:val="21"/>
          <w:highlight w:val="none"/>
          <w:lang w:val="en-US" w:eastAsia="zh-CN"/>
        </w:rPr>
        <w:t xml:space="preserve">   </w:t>
      </w:r>
      <w:r>
        <w:rPr>
          <w:rFonts w:hint="eastAsia"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年</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月</w:t>
      </w:r>
      <w:r>
        <w:rPr>
          <w:rFonts w:hint="eastAsia" w:ascii="宋体" w:hAnsi="宋体" w:eastAsia="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lang w:eastAsia="zh-CN"/>
        </w:rPr>
        <w:t>日</w:t>
      </w:r>
    </w:p>
    <w:p w14:paraId="200609F3">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C9B1CB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0936DC7">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F03F4D">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cs="宋体"/>
          <w:b/>
          <w:color w:val="auto"/>
          <w:kern w:val="0"/>
          <w:sz w:val="28"/>
          <w:szCs w:val="28"/>
          <w:highlight w:val="none"/>
          <w:lang w:val="en-US" w:eastAsia="zh-CN"/>
        </w:rPr>
        <w:t>5</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58446509">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2AE064BC">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318E075D">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4DE1C684">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27FBDD0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7282C19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5231D1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63DCF33">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12EA3604">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46CDCC89">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5057E55D">
      <w:pPr>
        <w:spacing w:after="100" w:afterAutospacing="1" w:line="360" w:lineRule="auto"/>
        <w:ind w:right="-108"/>
        <w:jc w:val="center"/>
        <w:rPr>
          <w:rFonts w:hint="eastAsia" w:ascii="宋体" w:hAnsi="宋体" w:eastAsia="宋体" w:cs="宋体"/>
          <w:b/>
          <w:color w:val="auto"/>
          <w:spacing w:val="40"/>
          <w:sz w:val="28"/>
          <w:szCs w:val="28"/>
          <w:highlight w:val="none"/>
        </w:rPr>
      </w:pPr>
      <w:r>
        <w:rPr>
          <w:rFonts w:hint="eastAsia" w:ascii="宋体" w:hAnsi="宋体" w:eastAsia="宋体" w:cs="宋体"/>
          <w:b/>
          <w:color w:val="auto"/>
          <w:spacing w:val="40"/>
          <w:sz w:val="28"/>
          <w:szCs w:val="28"/>
          <w:highlight w:val="none"/>
          <w:lang w:val="zh-CN"/>
        </w:rPr>
        <w:t>（商务与技术文件</w:t>
      </w:r>
      <w:r>
        <w:rPr>
          <w:rFonts w:hint="eastAsia" w:ascii="宋体" w:hAnsi="宋体" w:eastAsia="宋体" w:cs="宋体"/>
          <w:b/>
          <w:color w:val="auto"/>
          <w:spacing w:val="40"/>
          <w:sz w:val="28"/>
          <w:szCs w:val="28"/>
          <w:highlight w:val="none"/>
        </w:rPr>
        <w:t>）</w:t>
      </w:r>
    </w:p>
    <w:p w14:paraId="5804DE7D">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5DB55491">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04984F70">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53F272D4">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78741BCA">
      <w:pPr>
        <w:keepNext w:val="0"/>
        <w:keepLines w:val="0"/>
        <w:pageBreakBefore w:val="0"/>
        <w:kinsoku/>
        <w:overflowPunct/>
        <w:topLinePunct w:val="0"/>
        <w:bidi w:val="0"/>
        <w:snapToGrid w:val="0"/>
        <w:spacing w:before="0" w:after="0" w:line="360" w:lineRule="auto"/>
        <w:ind w:firstLine="422" w:firstLineChars="200"/>
        <w:outlineLvl w:val="9"/>
        <w:rPr>
          <w:rFonts w:hint="eastAsia" w:ascii="宋体" w:hAnsi="宋体" w:eastAsia="宋体" w:cs="宋体"/>
          <w:b/>
          <w:bCs/>
          <w:color w:val="auto"/>
          <w:sz w:val="21"/>
          <w:szCs w:val="21"/>
          <w:highlight w:val="none"/>
          <w:lang w:val="zh-CN"/>
        </w:rPr>
      </w:pPr>
    </w:p>
    <w:p w14:paraId="1E12136B">
      <w:pPr>
        <w:keepNext w:val="0"/>
        <w:keepLines w:val="0"/>
        <w:pageBreakBefore w:val="0"/>
        <w:widowControl w:val="0"/>
        <w:kinsoku/>
        <w:wordWrap/>
        <w:overflowPunct/>
        <w:topLinePunct w:val="0"/>
        <w:autoSpaceDE/>
        <w:autoSpaceDN/>
        <w:bidi w:val="0"/>
        <w:adjustRightInd/>
        <w:snapToGrid w:val="0"/>
        <w:spacing w:before="0" w:after="0" w:line="360" w:lineRule="auto"/>
        <w:jc w:val="center"/>
        <w:textAlignment w:val="auto"/>
        <w:outlineLvl w:val="1"/>
        <w:rPr>
          <w:rFonts w:hint="eastAsia" w:ascii="宋体" w:hAnsi="宋体" w:eastAsia="宋体" w:cs="宋体"/>
          <w:b/>
          <w:bCs/>
          <w:color w:val="auto"/>
          <w:sz w:val="32"/>
          <w:szCs w:val="32"/>
          <w:highlight w:val="none"/>
          <w:lang w:eastAsia="zh-CN"/>
        </w:rPr>
      </w:pPr>
      <w:r>
        <w:rPr>
          <w:rFonts w:hint="eastAsia" w:ascii="宋体" w:hAnsi="宋体" w:eastAsia="宋体" w:cs="宋体"/>
          <w:b/>
          <w:bCs/>
          <w:color w:val="auto"/>
          <w:sz w:val="32"/>
          <w:szCs w:val="32"/>
          <w:highlight w:val="none"/>
          <w:lang w:val="zh-CN"/>
        </w:rPr>
        <w:t>商务与技术文件</w:t>
      </w:r>
      <w:r>
        <w:rPr>
          <w:rFonts w:hint="eastAsia" w:ascii="宋体" w:hAnsi="宋体" w:eastAsia="宋体" w:cs="宋体"/>
          <w:b/>
          <w:bCs/>
          <w:color w:val="auto"/>
          <w:sz w:val="32"/>
          <w:szCs w:val="32"/>
          <w:highlight w:val="none"/>
        </w:rPr>
        <w:t>目录</w:t>
      </w:r>
    </w:p>
    <w:p w14:paraId="5535D089">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zh-CN" w:eastAsia="zh-CN"/>
        </w:rPr>
        <w:t>第</w:t>
      </w:r>
      <w:r>
        <w:rPr>
          <w:rFonts w:hint="eastAsia" w:ascii="宋体" w:hAnsi="宋体" w:eastAsia="宋体" w:cs="宋体"/>
          <w:b/>
          <w:bCs w:val="0"/>
          <w:color w:val="auto"/>
          <w:sz w:val="24"/>
          <w:highlight w:val="none"/>
          <w:lang w:val="en-US" w:eastAsia="zh-CN"/>
        </w:rPr>
        <w:t>一</w:t>
      </w:r>
      <w:r>
        <w:rPr>
          <w:rFonts w:hint="eastAsia" w:ascii="宋体" w:hAnsi="宋体" w:eastAsia="宋体" w:cs="宋体"/>
          <w:b/>
          <w:bCs w:val="0"/>
          <w:color w:val="auto"/>
          <w:sz w:val="24"/>
          <w:highlight w:val="none"/>
          <w:lang w:val="zh-CN" w:eastAsia="zh-CN"/>
        </w:rPr>
        <w:t>部分：</w:t>
      </w:r>
      <w:r>
        <w:rPr>
          <w:rFonts w:hint="eastAsia" w:ascii="宋体" w:hAnsi="宋体" w:eastAsia="宋体" w:cs="宋体"/>
          <w:b/>
          <w:bCs w:val="0"/>
          <w:color w:val="auto"/>
          <w:sz w:val="24"/>
          <w:highlight w:val="none"/>
          <w:lang w:val="en-US" w:eastAsia="zh-CN"/>
        </w:rPr>
        <w:t>评标索引</w:t>
      </w:r>
    </w:p>
    <w:p w14:paraId="5250058C">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评标索引：自评表（附件</w:t>
      </w:r>
      <w:r>
        <w:rPr>
          <w:rFonts w:hint="eastAsia" w:ascii="宋体" w:hAnsi="宋体" w:cs="宋体"/>
          <w:bCs/>
          <w:color w:val="auto"/>
          <w:sz w:val="24"/>
          <w:highlight w:val="none"/>
          <w:lang w:val="en-US" w:eastAsia="zh-CN"/>
        </w:rPr>
        <w:t>6</w:t>
      </w:r>
      <w:r>
        <w:rPr>
          <w:rFonts w:hint="eastAsia" w:ascii="宋体" w:hAnsi="宋体" w:eastAsia="宋体" w:cs="宋体"/>
          <w:bCs/>
          <w:color w:val="auto"/>
          <w:sz w:val="24"/>
          <w:highlight w:val="none"/>
          <w:lang w:val="en-US" w:eastAsia="zh-CN"/>
        </w:rPr>
        <w:t>）</w:t>
      </w:r>
    </w:p>
    <w:p w14:paraId="426C9334">
      <w:pPr>
        <w:keepNext w:val="0"/>
        <w:keepLines w:val="0"/>
        <w:pageBreakBefore w:val="0"/>
        <w:kinsoku/>
        <w:wordWrap/>
        <w:overflowPunct/>
        <w:topLinePunct w:val="0"/>
        <w:bidi w:val="0"/>
        <w:snapToGrid w:val="0"/>
        <w:spacing w:line="360" w:lineRule="auto"/>
        <w:ind w:firstLine="482" w:firstLineChars="200"/>
        <w:outlineLvl w:val="9"/>
        <w:rPr>
          <w:rFonts w:hint="eastAsia" w:ascii="宋体" w:hAnsi="宋体" w:eastAsia="宋体" w:cs="宋体"/>
          <w:b/>
          <w:bCs w:val="0"/>
          <w:color w:val="auto"/>
          <w:sz w:val="24"/>
          <w:highlight w:val="none"/>
          <w:lang w:val="en-US" w:eastAsia="zh-CN"/>
        </w:rPr>
      </w:pPr>
      <w:r>
        <w:rPr>
          <w:rFonts w:hint="eastAsia" w:ascii="宋体" w:hAnsi="宋体" w:eastAsia="宋体" w:cs="宋体"/>
          <w:b/>
          <w:bCs w:val="0"/>
          <w:color w:val="auto"/>
          <w:sz w:val="24"/>
          <w:highlight w:val="none"/>
          <w:lang w:val="en-US" w:eastAsia="zh-CN"/>
        </w:rPr>
        <w:t>第二部分 ：</w:t>
      </w:r>
      <w:r>
        <w:rPr>
          <w:rFonts w:hint="eastAsia" w:ascii="宋体" w:hAnsi="宋体" w:eastAsia="宋体" w:cs="宋体"/>
          <w:b/>
          <w:bCs w:val="0"/>
          <w:color w:val="auto"/>
          <w:sz w:val="24"/>
          <w:highlight w:val="none"/>
          <w:lang w:val="zh-CN" w:eastAsia="zh-CN"/>
        </w:rPr>
        <w:t>商务与技术</w:t>
      </w:r>
      <w:r>
        <w:rPr>
          <w:rFonts w:hint="eastAsia" w:ascii="宋体" w:hAnsi="宋体" w:eastAsia="宋体" w:cs="宋体"/>
          <w:b/>
          <w:bCs w:val="0"/>
          <w:color w:val="auto"/>
          <w:sz w:val="24"/>
          <w:highlight w:val="none"/>
          <w:lang w:val="en-US" w:eastAsia="zh-CN"/>
        </w:rPr>
        <w:t>部分</w:t>
      </w:r>
    </w:p>
    <w:p w14:paraId="66C7AB6D">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1、供应商基本情况表（附件</w:t>
      </w:r>
      <w:r>
        <w:rPr>
          <w:rFonts w:hint="eastAsia" w:ascii="宋体" w:hAnsi="宋体" w:cs="宋体"/>
          <w:bCs/>
          <w:color w:val="auto"/>
          <w:sz w:val="24"/>
          <w:highlight w:val="none"/>
          <w:lang w:val="en-US" w:eastAsia="zh-CN"/>
        </w:rPr>
        <w:t>7</w:t>
      </w:r>
      <w:r>
        <w:rPr>
          <w:rFonts w:hint="eastAsia" w:ascii="宋体" w:hAnsi="宋体" w:eastAsia="宋体" w:cs="宋体"/>
          <w:bCs/>
          <w:color w:val="auto"/>
          <w:sz w:val="24"/>
          <w:highlight w:val="none"/>
          <w:lang w:val="en-US" w:eastAsia="zh-CN"/>
        </w:rPr>
        <w:t>）</w:t>
      </w:r>
    </w:p>
    <w:p w14:paraId="086A37B1">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 xml:space="preserve">2、项目组织实施方案； </w:t>
      </w:r>
    </w:p>
    <w:p w14:paraId="766C158B">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3、项目实施人员一览表（附件</w:t>
      </w:r>
      <w:r>
        <w:rPr>
          <w:rFonts w:hint="eastAsia" w:ascii="宋体" w:hAnsi="宋体" w:cs="宋体"/>
          <w:bCs/>
          <w:color w:val="auto"/>
          <w:sz w:val="24"/>
          <w:highlight w:val="none"/>
          <w:lang w:val="en-US" w:eastAsia="zh-CN"/>
        </w:rPr>
        <w:t>8</w:t>
      </w:r>
      <w:r>
        <w:rPr>
          <w:rFonts w:hint="eastAsia" w:ascii="宋体" w:hAnsi="宋体" w:eastAsia="宋体" w:cs="宋体"/>
          <w:bCs/>
          <w:color w:val="auto"/>
          <w:sz w:val="24"/>
          <w:highlight w:val="none"/>
          <w:lang w:val="en-US" w:eastAsia="zh-CN"/>
        </w:rPr>
        <w:t>）；</w:t>
      </w:r>
    </w:p>
    <w:p w14:paraId="77BD9AD4">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4、项目负责人资格情况表(附件</w:t>
      </w:r>
      <w:r>
        <w:rPr>
          <w:rFonts w:hint="eastAsia" w:ascii="宋体" w:hAnsi="宋体" w:cs="宋体"/>
          <w:bCs/>
          <w:color w:val="auto"/>
          <w:sz w:val="24"/>
          <w:highlight w:val="none"/>
          <w:lang w:val="en-US" w:eastAsia="zh-CN"/>
        </w:rPr>
        <w:t>9</w:t>
      </w:r>
      <w:r>
        <w:rPr>
          <w:rFonts w:hint="eastAsia" w:ascii="宋体" w:hAnsi="宋体" w:eastAsia="宋体" w:cs="宋体"/>
          <w:bCs/>
          <w:color w:val="auto"/>
          <w:sz w:val="24"/>
          <w:highlight w:val="none"/>
          <w:lang w:val="en-US" w:eastAsia="zh-CN"/>
        </w:rPr>
        <w:t>)；</w:t>
      </w:r>
    </w:p>
    <w:p w14:paraId="7D2E810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5、商务及技术响应表（附件</w:t>
      </w:r>
      <w:r>
        <w:rPr>
          <w:rFonts w:hint="eastAsia" w:ascii="宋体" w:hAnsi="宋体" w:cs="宋体"/>
          <w:bCs/>
          <w:color w:val="auto"/>
          <w:sz w:val="24"/>
          <w:highlight w:val="none"/>
          <w:lang w:val="en-US" w:eastAsia="zh-CN"/>
        </w:rPr>
        <w:t>10</w:t>
      </w:r>
      <w:r>
        <w:rPr>
          <w:rFonts w:hint="eastAsia" w:ascii="宋体" w:hAnsi="宋体" w:eastAsia="宋体" w:cs="宋体"/>
          <w:bCs/>
          <w:color w:val="auto"/>
          <w:sz w:val="24"/>
          <w:highlight w:val="none"/>
          <w:lang w:val="en-US" w:eastAsia="zh-CN"/>
        </w:rPr>
        <w:t>）</w:t>
      </w:r>
    </w:p>
    <w:p w14:paraId="59BD718A">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6、企业证书一览表（附件1</w:t>
      </w:r>
      <w:r>
        <w:rPr>
          <w:rFonts w:hint="eastAsia" w:ascii="宋体" w:hAnsi="宋体" w:cs="宋体"/>
          <w:bCs/>
          <w:color w:val="auto"/>
          <w:sz w:val="24"/>
          <w:highlight w:val="none"/>
          <w:lang w:val="en-US" w:eastAsia="zh-CN"/>
        </w:rPr>
        <w:t>1</w:t>
      </w:r>
      <w:r>
        <w:rPr>
          <w:rFonts w:hint="eastAsia" w:ascii="宋体" w:hAnsi="宋体" w:eastAsia="宋体" w:cs="宋体"/>
          <w:bCs/>
          <w:color w:val="auto"/>
          <w:sz w:val="24"/>
          <w:highlight w:val="none"/>
          <w:lang w:val="en-US" w:eastAsia="zh-CN"/>
        </w:rPr>
        <w:t>）；</w:t>
      </w:r>
    </w:p>
    <w:p w14:paraId="7CCBE410">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7、类似项目实施情况一览表（附件1</w:t>
      </w:r>
      <w:r>
        <w:rPr>
          <w:rFonts w:hint="eastAsia" w:ascii="宋体" w:hAnsi="宋体" w:cs="宋体"/>
          <w:bCs/>
          <w:color w:val="auto"/>
          <w:sz w:val="24"/>
          <w:highlight w:val="none"/>
          <w:lang w:val="en-US" w:eastAsia="zh-CN"/>
        </w:rPr>
        <w:t>2</w:t>
      </w:r>
      <w:r>
        <w:rPr>
          <w:rFonts w:hint="eastAsia" w:ascii="宋体" w:hAnsi="宋体" w:eastAsia="宋体" w:cs="宋体"/>
          <w:bCs/>
          <w:color w:val="auto"/>
          <w:sz w:val="24"/>
          <w:highlight w:val="none"/>
          <w:lang w:val="en-US" w:eastAsia="zh-CN"/>
        </w:rPr>
        <w:t>）</w:t>
      </w:r>
    </w:p>
    <w:p w14:paraId="72246249">
      <w:pPr>
        <w:keepNext w:val="0"/>
        <w:keepLines w:val="0"/>
        <w:pageBreakBefore w:val="0"/>
        <w:kinsoku/>
        <w:wordWrap/>
        <w:overflowPunct/>
        <w:topLinePunct w:val="0"/>
        <w:bidi w:val="0"/>
        <w:snapToGrid w:val="0"/>
        <w:spacing w:line="360" w:lineRule="auto"/>
        <w:ind w:firstLine="480" w:firstLineChars="200"/>
        <w:outlineLvl w:val="9"/>
        <w:rPr>
          <w:rFonts w:hint="eastAsia" w:ascii="宋体" w:hAnsi="宋体" w:eastAsia="宋体" w:cs="宋体"/>
          <w:bCs/>
          <w:color w:val="auto"/>
          <w:sz w:val="24"/>
          <w:highlight w:val="none"/>
          <w:lang w:val="en-US" w:eastAsia="zh-CN"/>
        </w:rPr>
      </w:pPr>
      <w:r>
        <w:rPr>
          <w:rFonts w:hint="eastAsia" w:ascii="宋体" w:hAnsi="宋体" w:eastAsia="宋体" w:cs="宋体"/>
          <w:bCs/>
          <w:color w:val="auto"/>
          <w:sz w:val="24"/>
          <w:highlight w:val="none"/>
          <w:lang w:val="en-US" w:eastAsia="zh-CN"/>
        </w:rPr>
        <w:t>8、售后服务措施及承诺（可视情选用附件1</w:t>
      </w:r>
      <w:r>
        <w:rPr>
          <w:rFonts w:hint="eastAsia" w:ascii="宋体" w:hAnsi="宋体" w:cs="宋体"/>
          <w:bCs/>
          <w:color w:val="auto"/>
          <w:sz w:val="24"/>
          <w:highlight w:val="none"/>
          <w:lang w:val="en-US" w:eastAsia="zh-CN"/>
        </w:rPr>
        <w:t>3</w:t>
      </w:r>
      <w:r>
        <w:rPr>
          <w:rFonts w:hint="eastAsia" w:ascii="宋体" w:hAnsi="宋体" w:eastAsia="宋体" w:cs="宋体"/>
          <w:bCs/>
          <w:color w:val="auto"/>
          <w:sz w:val="24"/>
          <w:highlight w:val="none"/>
          <w:lang w:val="en-US" w:eastAsia="zh-CN"/>
        </w:rPr>
        <w:t>）；</w:t>
      </w:r>
    </w:p>
    <w:p w14:paraId="7B849000">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30E965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626C97C">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DB04ADE">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19254C0F">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BACEF21">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471F6B8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A237B68">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DD115E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547EA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6BC6D485">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pPr>
    </w:p>
    <w:p w14:paraId="38E17B01">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000E93A">
      <w:pPr>
        <w:pStyle w:val="40"/>
        <w:keepNext w:val="0"/>
        <w:keepLines w:val="0"/>
        <w:pageBreakBefore w:val="0"/>
        <w:shd w:val="clear" w:color="auto" w:fill="FFFFFF"/>
        <w:kinsoku/>
        <w:overflowPunct/>
        <w:topLinePunct w:val="0"/>
        <w:bidi w:val="0"/>
        <w:spacing w:before="0" w:beforeAutospacing="0" w:after="0" w:afterAutospacing="0" w:line="240" w:lineRule="auto"/>
        <w:outlineLvl w:val="9"/>
        <w:rPr>
          <w:rFonts w:hint="eastAsia" w:ascii="宋体" w:hAnsi="宋体" w:eastAsia="宋体" w:cs="宋体"/>
          <w:b/>
          <w:color w:val="auto"/>
          <w:sz w:val="28"/>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6</w:t>
      </w:r>
    </w:p>
    <w:p w14:paraId="23C21574">
      <w:pPr>
        <w:keepNext w:val="0"/>
        <w:keepLines w:val="0"/>
        <w:pageBreakBefore w:val="0"/>
        <w:kinsoku/>
        <w:overflowPunct/>
        <w:topLinePunct w:val="0"/>
        <w:bidi w:val="0"/>
        <w:spacing w:line="300" w:lineRule="exact"/>
        <w:ind w:firstLine="422" w:firstLineChars="200"/>
        <w:jc w:val="center"/>
        <w:outlineLvl w:val="9"/>
        <w:rPr>
          <w:rFonts w:hint="eastAsia" w:ascii="宋体" w:hAnsi="宋体" w:eastAsia="宋体" w:cs="宋体"/>
          <w:b/>
          <w:color w:val="auto"/>
          <w:szCs w:val="21"/>
          <w:highlight w:val="none"/>
        </w:rPr>
      </w:pPr>
      <w:r>
        <w:rPr>
          <w:rFonts w:hint="eastAsia" w:ascii="宋体" w:hAnsi="宋体" w:eastAsia="宋体" w:cs="宋体"/>
          <w:b/>
          <w:color w:val="auto"/>
          <w:szCs w:val="21"/>
          <w:highlight w:val="none"/>
          <w:lang w:val="en-US" w:eastAsia="zh-CN"/>
        </w:rPr>
        <w:t>评标索引：自评表</w:t>
      </w:r>
    </w:p>
    <w:tbl>
      <w:tblPr>
        <w:tblStyle w:val="22"/>
        <w:tblW w:w="111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3"/>
        <w:gridCol w:w="1080"/>
        <w:gridCol w:w="7050"/>
        <w:gridCol w:w="578"/>
        <w:gridCol w:w="643"/>
        <w:gridCol w:w="742"/>
      </w:tblGrid>
      <w:tr w14:paraId="619917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 w:hRule="atLeast"/>
          <w:jc w:val="center"/>
        </w:trPr>
        <w:tc>
          <w:tcPr>
            <w:tcW w:w="2133" w:type="dxa"/>
            <w:gridSpan w:val="2"/>
            <w:vAlign w:val="center"/>
          </w:tcPr>
          <w:p w14:paraId="6BAF55B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评标因素</w:t>
            </w:r>
          </w:p>
        </w:tc>
        <w:tc>
          <w:tcPr>
            <w:tcW w:w="7050" w:type="dxa"/>
            <w:vAlign w:val="center"/>
          </w:tcPr>
          <w:p w14:paraId="60147BC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评分标准</w:t>
            </w:r>
          </w:p>
        </w:tc>
        <w:tc>
          <w:tcPr>
            <w:tcW w:w="578" w:type="dxa"/>
            <w:vAlign w:val="center"/>
          </w:tcPr>
          <w:p w14:paraId="3783CAB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rPr>
            </w:pPr>
            <w:r>
              <w:rPr>
                <w:rFonts w:hint="eastAsia" w:asciiTheme="minorEastAsia" w:hAnsiTheme="minorEastAsia" w:eastAsiaTheme="minorEastAsia" w:cstheme="minorEastAsia"/>
                <w:b/>
                <w:bCs/>
                <w:color w:val="auto"/>
                <w:sz w:val="21"/>
                <w:szCs w:val="21"/>
                <w:highlight w:val="none"/>
              </w:rPr>
              <w:t>分值</w:t>
            </w:r>
          </w:p>
        </w:tc>
        <w:tc>
          <w:tcPr>
            <w:tcW w:w="643" w:type="dxa"/>
            <w:vAlign w:val="center"/>
          </w:tcPr>
          <w:p w14:paraId="15DB9D0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对应页码</w:t>
            </w:r>
          </w:p>
        </w:tc>
        <w:tc>
          <w:tcPr>
            <w:tcW w:w="742" w:type="dxa"/>
            <w:vAlign w:val="center"/>
          </w:tcPr>
          <w:p w14:paraId="3F2E342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bCs/>
                <w:color w:val="auto"/>
                <w:sz w:val="21"/>
                <w:szCs w:val="21"/>
                <w:highlight w:val="none"/>
                <w:lang w:val="en-US" w:eastAsia="zh-CN"/>
              </w:rPr>
            </w:pPr>
            <w:r>
              <w:rPr>
                <w:rFonts w:hint="eastAsia" w:asciiTheme="minorEastAsia" w:hAnsiTheme="minorEastAsia" w:eastAsiaTheme="minorEastAsia" w:cstheme="minorEastAsia"/>
                <w:b/>
                <w:bCs/>
                <w:color w:val="auto"/>
                <w:sz w:val="21"/>
                <w:szCs w:val="21"/>
                <w:highlight w:val="none"/>
                <w:lang w:val="en-US" w:eastAsia="zh-CN"/>
              </w:rPr>
              <w:t>自评分</w:t>
            </w:r>
          </w:p>
        </w:tc>
      </w:tr>
      <w:tr w14:paraId="20B71D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jc w:val="center"/>
        </w:trPr>
        <w:tc>
          <w:tcPr>
            <w:tcW w:w="1053" w:type="dxa"/>
            <w:vMerge w:val="restart"/>
            <w:vAlign w:val="center"/>
          </w:tcPr>
          <w:p w14:paraId="5EF2C0C8">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rPr>
            </w:pPr>
          </w:p>
          <w:p w14:paraId="186BC6E9">
            <w:pPr>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商务分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17分</w:t>
            </w:r>
            <w:r>
              <w:rPr>
                <w:rFonts w:hint="eastAsia" w:asciiTheme="minorEastAsia" w:hAnsiTheme="minorEastAsia" w:eastAsiaTheme="minorEastAsia" w:cstheme="minorEastAsia"/>
                <w:color w:val="auto"/>
                <w:sz w:val="21"/>
                <w:szCs w:val="21"/>
                <w:highlight w:val="none"/>
                <w:lang w:eastAsia="zh-CN"/>
              </w:rPr>
              <w:t>）</w:t>
            </w:r>
          </w:p>
        </w:tc>
        <w:tc>
          <w:tcPr>
            <w:tcW w:w="1080" w:type="dxa"/>
            <w:vAlign w:val="center"/>
          </w:tcPr>
          <w:p w14:paraId="5896B3C2">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授课教练团队</w:t>
            </w:r>
          </w:p>
        </w:tc>
        <w:tc>
          <w:tcPr>
            <w:tcW w:w="7050" w:type="dxa"/>
            <w:vAlign w:val="center"/>
          </w:tcPr>
          <w:p w14:paraId="225CB8A4">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b w:val="0"/>
                <w:bCs w:val="0"/>
                <w:color w:val="auto"/>
                <w:sz w:val="21"/>
                <w:szCs w:val="21"/>
                <w:highlight w:val="none"/>
                <w:lang w:val="en-US" w:eastAsia="zh-CN"/>
              </w:rPr>
              <w:t>拟投入本项目的</w:t>
            </w:r>
            <w:r>
              <w:rPr>
                <w:rFonts w:hint="eastAsia" w:ascii="宋体" w:hAnsi="宋体" w:cs="宋体"/>
                <w:b w:val="0"/>
                <w:bCs w:val="0"/>
                <w:color w:val="auto"/>
                <w:kern w:val="0"/>
                <w:szCs w:val="21"/>
                <w:highlight w:val="none"/>
              </w:rPr>
              <w:t>授课教练团队中</w:t>
            </w:r>
            <w:r>
              <w:rPr>
                <w:rFonts w:hint="eastAsia" w:ascii="宋体" w:hAnsi="宋体" w:cs="宋体"/>
                <w:b w:val="0"/>
                <w:bCs w:val="0"/>
                <w:color w:val="auto"/>
                <w:kern w:val="0"/>
                <w:szCs w:val="21"/>
                <w:highlight w:val="none"/>
                <w:lang w:eastAsia="zh-CN"/>
              </w:rPr>
              <w:t>，</w:t>
            </w:r>
            <w:r>
              <w:rPr>
                <w:rFonts w:hint="eastAsia" w:ascii="宋体" w:hAnsi="宋体" w:cs="宋体"/>
                <w:b w:val="0"/>
                <w:bCs w:val="0"/>
                <w:color w:val="auto"/>
                <w:kern w:val="0"/>
                <w:szCs w:val="21"/>
                <w:highlight w:val="none"/>
              </w:rPr>
              <w:t>通过学科竞赛保送</w:t>
            </w:r>
            <w:r>
              <w:rPr>
                <w:rFonts w:hint="eastAsia" w:ascii="宋体" w:hAnsi="宋体" w:cs="宋体"/>
                <w:b w:val="0"/>
                <w:bCs w:val="0"/>
                <w:color w:val="auto"/>
                <w:kern w:val="0"/>
                <w:szCs w:val="21"/>
                <w:highlight w:val="none"/>
                <w:lang w:val="en-US" w:eastAsia="zh-CN"/>
              </w:rPr>
              <w:t>方式</w:t>
            </w:r>
            <w:r>
              <w:rPr>
                <w:rFonts w:hint="eastAsia" w:ascii="宋体" w:hAnsi="宋体" w:cs="宋体"/>
                <w:b w:val="0"/>
                <w:bCs w:val="0"/>
                <w:color w:val="auto"/>
                <w:kern w:val="0"/>
                <w:szCs w:val="21"/>
                <w:highlight w:val="none"/>
              </w:rPr>
              <w:t>入读北京大学</w:t>
            </w:r>
            <w:r>
              <w:rPr>
                <w:rFonts w:hint="eastAsia" w:ascii="宋体" w:hAnsi="宋体" w:cs="宋体"/>
                <w:b w:val="0"/>
                <w:bCs w:val="0"/>
                <w:color w:val="auto"/>
                <w:kern w:val="0"/>
                <w:szCs w:val="21"/>
                <w:highlight w:val="none"/>
                <w:lang w:val="en-US" w:eastAsia="zh-CN"/>
              </w:rPr>
              <w:t>或</w:t>
            </w:r>
            <w:r>
              <w:rPr>
                <w:rFonts w:hint="eastAsia" w:ascii="宋体" w:hAnsi="宋体" w:cs="宋体"/>
                <w:b w:val="0"/>
                <w:bCs w:val="0"/>
                <w:color w:val="auto"/>
                <w:kern w:val="0"/>
                <w:szCs w:val="21"/>
                <w:highlight w:val="none"/>
              </w:rPr>
              <w:t>清华大学相关学科学习者</w:t>
            </w:r>
            <w:r>
              <w:rPr>
                <w:rFonts w:hint="eastAsia" w:ascii="宋体" w:hAnsi="宋体" w:cs="宋体"/>
                <w:b w:val="0"/>
                <w:bCs w:val="0"/>
                <w:color w:val="auto"/>
                <w:kern w:val="0"/>
                <w:szCs w:val="21"/>
                <w:highlight w:val="none"/>
                <w:lang w:val="en-US" w:eastAsia="zh-CN"/>
              </w:rPr>
              <w:t>的，每提供1人得2分，本项最高得10分。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相关证明材料扫描件并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78" w:type="dxa"/>
            <w:vAlign w:val="center"/>
          </w:tcPr>
          <w:p w14:paraId="59D93591">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宋体"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10</w:t>
            </w:r>
          </w:p>
        </w:tc>
        <w:tc>
          <w:tcPr>
            <w:tcW w:w="643" w:type="dxa"/>
            <w:vAlign w:val="center"/>
          </w:tcPr>
          <w:p w14:paraId="0D977189">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42" w:type="dxa"/>
            <w:vAlign w:val="center"/>
          </w:tcPr>
          <w:p w14:paraId="3244D28A">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0A6908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jc w:val="center"/>
        </w:trPr>
        <w:tc>
          <w:tcPr>
            <w:tcW w:w="1053" w:type="dxa"/>
            <w:vMerge w:val="continue"/>
            <w:vAlign w:val="center"/>
          </w:tcPr>
          <w:p w14:paraId="1AEA356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80" w:type="dxa"/>
            <w:vAlign w:val="center"/>
          </w:tcPr>
          <w:p w14:paraId="78820204">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Cs/>
                <w:color w:val="auto"/>
                <w:kern w:val="0"/>
                <w:sz w:val="21"/>
                <w:szCs w:val="21"/>
                <w:highlight w:val="none"/>
                <w:lang w:val="en-US" w:eastAsia="zh-CN"/>
              </w:rPr>
              <w:t>项目组成员</w:t>
            </w:r>
          </w:p>
        </w:tc>
        <w:tc>
          <w:tcPr>
            <w:tcW w:w="7050" w:type="dxa"/>
            <w:vAlign w:val="center"/>
          </w:tcPr>
          <w:p w14:paraId="771F584D">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color w:val="auto"/>
                <w:highlight w:val="none"/>
                <w:lang w:val="en-US" w:eastAsia="zh-CN"/>
              </w:rPr>
            </w:pPr>
            <w:r>
              <w:rPr>
                <w:rFonts w:hint="eastAsia" w:asciiTheme="minorEastAsia" w:hAnsiTheme="minorEastAsia" w:eastAsiaTheme="minorEastAsia" w:cstheme="minorEastAsia"/>
                <w:b w:val="0"/>
                <w:bCs w:val="0"/>
                <w:color w:val="auto"/>
                <w:sz w:val="21"/>
                <w:szCs w:val="21"/>
                <w:highlight w:val="none"/>
                <w:lang w:val="en-US" w:eastAsia="zh-CN"/>
              </w:rPr>
              <w:t>拟投入本项目的项目组成员（</w:t>
            </w:r>
            <w:r>
              <w:rPr>
                <w:rFonts w:hint="eastAsia" w:asciiTheme="minorEastAsia" w:hAnsiTheme="minorEastAsia" w:eastAsiaTheme="minorEastAsia" w:cstheme="minorEastAsia"/>
                <w:color w:val="auto"/>
                <w:sz w:val="21"/>
                <w:szCs w:val="21"/>
                <w:highlight w:val="none"/>
                <w:lang w:val="en-US" w:eastAsia="zh-CN"/>
              </w:rPr>
              <w:t>授课教练团队除外</w:t>
            </w:r>
            <w:r>
              <w:rPr>
                <w:rFonts w:hint="eastAsia" w:asciiTheme="minorEastAsia" w:hAnsiTheme="minorEastAsia" w:eastAsiaTheme="minorEastAsia" w:cstheme="minorEastAsia"/>
                <w:b w:val="0"/>
                <w:bCs w:val="0"/>
                <w:color w:val="auto"/>
                <w:sz w:val="21"/>
                <w:szCs w:val="21"/>
                <w:highlight w:val="none"/>
                <w:lang w:val="en-US" w:eastAsia="zh-CN"/>
              </w:rPr>
              <w:t>）中具有国家级奥林匹克数学或物理或化学学科竞赛证书的，每</w:t>
            </w:r>
            <w:r>
              <w:rPr>
                <w:rFonts w:hint="eastAsia" w:ascii="宋体" w:hAnsi="宋体" w:cs="宋体"/>
                <w:b w:val="0"/>
                <w:bCs w:val="0"/>
                <w:color w:val="auto"/>
                <w:kern w:val="0"/>
                <w:szCs w:val="21"/>
                <w:highlight w:val="none"/>
                <w:lang w:val="en-US" w:eastAsia="zh-CN"/>
              </w:rPr>
              <w:t>提供1</w:t>
            </w:r>
            <w:r>
              <w:rPr>
                <w:rFonts w:hint="eastAsia" w:asciiTheme="minorEastAsia" w:hAnsiTheme="minorEastAsia" w:eastAsiaTheme="minorEastAsia" w:cstheme="minorEastAsia"/>
                <w:b w:val="0"/>
                <w:bCs w:val="0"/>
                <w:color w:val="auto"/>
                <w:sz w:val="21"/>
                <w:szCs w:val="21"/>
                <w:highlight w:val="none"/>
                <w:lang w:val="en-US" w:eastAsia="zh-CN"/>
              </w:rPr>
              <w:t>人得2分，本项最高得6分。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相关证书扫描件并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78" w:type="dxa"/>
            <w:vAlign w:val="center"/>
          </w:tcPr>
          <w:p w14:paraId="587C86B5">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6</w:t>
            </w:r>
          </w:p>
        </w:tc>
        <w:tc>
          <w:tcPr>
            <w:tcW w:w="643" w:type="dxa"/>
            <w:vAlign w:val="center"/>
          </w:tcPr>
          <w:p w14:paraId="4716A4EA">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42" w:type="dxa"/>
            <w:vAlign w:val="center"/>
          </w:tcPr>
          <w:p w14:paraId="7B3A7830">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67DFB7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jc w:val="center"/>
        </w:trPr>
        <w:tc>
          <w:tcPr>
            <w:tcW w:w="1053" w:type="dxa"/>
            <w:vMerge w:val="continue"/>
            <w:vAlign w:val="center"/>
          </w:tcPr>
          <w:p w14:paraId="418833C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tc>
        <w:tc>
          <w:tcPr>
            <w:tcW w:w="1080" w:type="dxa"/>
            <w:vAlign w:val="center"/>
          </w:tcPr>
          <w:p w14:paraId="5825305F">
            <w:pPr>
              <w:keepNext w:val="0"/>
              <w:keepLines w:val="0"/>
              <w:pageBreakBefore w:val="0"/>
              <w:widowControl/>
              <w:kinsoku/>
              <w:wordWrap/>
              <w:overflowPunct/>
              <w:topLinePunct w:val="0"/>
              <w:autoSpaceDE/>
              <w:autoSpaceDN/>
              <w:bidi w:val="0"/>
              <w:adjustRightInd/>
              <w:snapToGrid/>
              <w:spacing w:line="240" w:lineRule="auto"/>
              <w:ind w:right="-103" w:rightChars="-49"/>
              <w:jc w:val="center"/>
              <w:textAlignment w:val="auto"/>
              <w:rPr>
                <w:rStyle w:val="56"/>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bCs/>
                <w:color w:val="auto"/>
                <w:kern w:val="0"/>
                <w:sz w:val="21"/>
                <w:szCs w:val="21"/>
                <w:highlight w:val="none"/>
                <w:lang w:val="en-US" w:eastAsia="zh-CN"/>
              </w:rPr>
              <w:t>承接经验</w:t>
            </w:r>
          </w:p>
        </w:tc>
        <w:tc>
          <w:tcPr>
            <w:tcW w:w="7050" w:type="dxa"/>
            <w:vAlign w:val="center"/>
          </w:tcPr>
          <w:p w14:paraId="4ECFAEA1">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投标人</w:t>
            </w:r>
            <w:r>
              <w:rPr>
                <w:rFonts w:hint="eastAsia" w:ascii="宋体" w:hAnsi="宋体" w:cs="宋体"/>
                <w:color w:val="auto"/>
                <w:highlight w:val="none"/>
              </w:rPr>
              <w:t>自20</w:t>
            </w:r>
            <w:r>
              <w:rPr>
                <w:rFonts w:hint="eastAsia" w:ascii="宋体" w:hAnsi="宋体" w:cs="宋体"/>
                <w:color w:val="auto"/>
                <w:highlight w:val="none"/>
                <w:lang w:val="en-US" w:eastAsia="zh-CN"/>
              </w:rPr>
              <w:t>22</w:t>
            </w:r>
            <w:r>
              <w:rPr>
                <w:rFonts w:hint="eastAsia" w:ascii="宋体" w:hAnsi="宋体" w:cs="宋体"/>
                <w:color w:val="auto"/>
                <w:highlight w:val="none"/>
              </w:rPr>
              <w:t>年1月1日</w:t>
            </w:r>
            <w:r>
              <w:rPr>
                <w:rFonts w:hint="eastAsia" w:ascii="宋体" w:hAnsi="宋体" w:eastAsia="宋体" w:cs="宋体"/>
                <w:color w:val="auto"/>
                <w:sz w:val="21"/>
                <w:szCs w:val="21"/>
                <w:highlight w:val="none"/>
                <w:lang w:val="en-US" w:eastAsia="zh-CN"/>
              </w:rPr>
              <w:t>以来</w:t>
            </w:r>
            <w:r>
              <w:rPr>
                <w:rFonts w:hint="eastAsia" w:ascii="宋体" w:hAnsi="宋体" w:eastAsia="宋体" w:cs="宋体"/>
                <w:b w:val="0"/>
                <w:bCs w:val="0"/>
                <w:color w:val="auto"/>
                <w:kern w:val="0"/>
                <w:sz w:val="21"/>
                <w:szCs w:val="21"/>
                <w:highlight w:val="none"/>
                <w:u w:val="none"/>
                <w:lang w:val="zh-CN"/>
              </w:rPr>
              <w:t>（以合同签订时间为准）</w:t>
            </w:r>
            <w:r>
              <w:rPr>
                <w:rFonts w:hint="eastAsia" w:ascii="宋体" w:hAnsi="宋体" w:cs="宋体"/>
                <w:b w:val="0"/>
                <w:bCs w:val="0"/>
                <w:color w:val="auto"/>
                <w:kern w:val="0"/>
                <w:sz w:val="21"/>
                <w:szCs w:val="21"/>
                <w:highlight w:val="none"/>
                <w:u w:val="none"/>
                <w:lang w:val="zh-CN"/>
              </w:rPr>
              <w:t>，</w:t>
            </w:r>
            <w:r>
              <w:rPr>
                <w:rFonts w:hint="eastAsia" w:asciiTheme="minorEastAsia" w:hAnsiTheme="minorEastAsia" w:eastAsiaTheme="minorEastAsia" w:cstheme="minorEastAsia"/>
                <w:color w:val="auto"/>
                <w:sz w:val="21"/>
                <w:szCs w:val="21"/>
                <w:highlight w:val="none"/>
                <w:lang w:val="en-US" w:eastAsia="zh-CN"/>
              </w:rPr>
              <w:t>承接过类似项目业绩的，每提供1个得0.5分。本项最高得1分。</w:t>
            </w:r>
            <w:r>
              <w:rPr>
                <w:rFonts w:hint="eastAsia" w:ascii="宋体" w:hAnsi="宋体" w:cs="宋体"/>
                <w:b/>
                <w:bCs/>
                <w:color w:val="auto"/>
                <w:kern w:val="0"/>
                <w:szCs w:val="21"/>
                <w:highlight w:val="none"/>
              </w:rPr>
              <w:t>（</w:t>
            </w:r>
            <w:r>
              <w:rPr>
                <w:rFonts w:hint="eastAsia" w:ascii="宋体" w:hAnsi="宋体" w:cs="宋体"/>
                <w:b/>
                <w:bCs/>
                <w:color w:val="auto"/>
                <w:kern w:val="0"/>
                <w:szCs w:val="21"/>
                <w:highlight w:val="none"/>
                <w:lang w:val="en-US" w:eastAsia="zh-CN"/>
              </w:rPr>
              <w:t>须</w:t>
            </w:r>
            <w:r>
              <w:rPr>
                <w:rFonts w:hint="eastAsia" w:ascii="宋体" w:hAnsi="宋体" w:cs="宋体"/>
                <w:b/>
                <w:bCs/>
                <w:color w:val="auto"/>
                <w:kern w:val="0"/>
                <w:szCs w:val="21"/>
                <w:highlight w:val="none"/>
              </w:rPr>
              <w:t>提供</w:t>
            </w:r>
            <w:r>
              <w:rPr>
                <w:rFonts w:hint="eastAsia" w:ascii="宋体" w:hAnsi="宋体" w:cs="宋体"/>
                <w:b/>
                <w:bCs/>
                <w:color w:val="auto"/>
                <w:kern w:val="0"/>
                <w:szCs w:val="21"/>
                <w:highlight w:val="none"/>
                <w:lang w:val="en-US" w:eastAsia="zh-CN"/>
              </w:rPr>
              <w:t>合同扫描</w:t>
            </w:r>
            <w:r>
              <w:rPr>
                <w:rFonts w:hint="eastAsia" w:ascii="宋体" w:hAnsi="宋体" w:cs="宋体"/>
                <w:b/>
                <w:bCs/>
                <w:color w:val="auto"/>
                <w:kern w:val="0"/>
                <w:szCs w:val="21"/>
                <w:highlight w:val="none"/>
              </w:rPr>
              <w:t>件</w:t>
            </w:r>
            <w:r>
              <w:rPr>
                <w:rFonts w:hint="eastAsia" w:ascii="宋体" w:hAnsi="宋体" w:cs="宋体"/>
                <w:b/>
                <w:bCs/>
                <w:color w:val="auto"/>
                <w:kern w:val="0"/>
                <w:szCs w:val="21"/>
                <w:highlight w:val="none"/>
                <w:lang w:val="en-US" w:eastAsia="zh-CN"/>
              </w:rPr>
              <w:t>并</w:t>
            </w:r>
            <w:r>
              <w:rPr>
                <w:rFonts w:hint="eastAsia" w:ascii="宋体" w:hAnsi="宋体" w:cs="宋体"/>
                <w:b/>
                <w:bCs/>
                <w:color w:val="auto"/>
                <w:kern w:val="0"/>
                <w:szCs w:val="21"/>
                <w:highlight w:val="none"/>
              </w:rPr>
              <w:t>加盖投标人公章</w:t>
            </w:r>
            <w:r>
              <w:rPr>
                <w:rFonts w:hint="eastAsia" w:ascii="宋体" w:hAnsi="宋体" w:cs="宋体"/>
                <w:b/>
                <w:bCs/>
                <w:color w:val="auto"/>
                <w:kern w:val="0"/>
                <w:szCs w:val="21"/>
                <w:highlight w:val="none"/>
                <w:lang w:val="en-US" w:eastAsia="zh-CN"/>
              </w:rPr>
              <w:t>编入投标文件中，未提供的不得分</w:t>
            </w:r>
            <w:r>
              <w:rPr>
                <w:rFonts w:hint="eastAsia" w:ascii="宋体" w:hAnsi="宋体" w:cs="宋体"/>
                <w:b/>
                <w:bCs/>
                <w:color w:val="auto"/>
                <w:kern w:val="0"/>
                <w:szCs w:val="21"/>
                <w:highlight w:val="none"/>
              </w:rPr>
              <w:t>）</w:t>
            </w:r>
          </w:p>
        </w:tc>
        <w:tc>
          <w:tcPr>
            <w:tcW w:w="578" w:type="dxa"/>
            <w:vAlign w:val="center"/>
          </w:tcPr>
          <w:p w14:paraId="4A3ABE2B">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kern w:val="2"/>
                <w:sz w:val="21"/>
                <w:szCs w:val="21"/>
                <w:highlight w:val="none"/>
                <w:lang w:val="en-US" w:eastAsia="zh-CN" w:bidi="ar-SA"/>
              </w:rPr>
              <w:t>1</w:t>
            </w:r>
          </w:p>
        </w:tc>
        <w:tc>
          <w:tcPr>
            <w:tcW w:w="643" w:type="dxa"/>
            <w:vAlign w:val="center"/>
          </w:tcPr>
          <w:p w14:paraId="16426F10">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c>
          <w:tcPr>
            <w:tcW w:w="742" w:type="dxa"/>
            <w:vAlign w:val="center"/>
          </w:tcPr>
          <w:p w14:paraId="0662E6CF">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p>
        </w:tc>
      </w:tr>
      <w:tr w14:paraId="4E26C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restart"/>
            <w:vAlign w:val="center"/>
          </w:tcPr>
          <w:p w14:paraId="4EDB1D99">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BE58EA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C45843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727B90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7D2E597">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52EA0B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43F44AB">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0CD8C18">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6E5A641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38187780">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71D3781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rPr>
            </w:pPr>
          </w:p>
          <w:p w14:paraId="5B0302BE">
            <w:pPr>
              <w:pStyle w:val="8"/>
              <w:keepNext w:val="0"/>
              <w:keepLines w:val="0"/>
              <w:pageBreakBefore w:val="0"/>
              <w:widowControl/>
              <w:kinsoku/>
              <w:wordWrap/>
              <w:overflowPunct/>
              <w:topLinePunct w:val="0"/>
              <w:autoSpaceDE/>
              <w:autoSpaceDN/>
              <w:bidi w:val="0"/>
              <w:adjustRightInd/>
              <w:snapToGrid/>
              <w:spacing w:line="240" w:lineRule="auto"/>
              <w:jc w:val="both"/>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技术分</w:t>
            </w:r>
            <w:r>
              <w:rPr>
                <w:rFonts w:hint="eastAsia" w:asciiTheme="minorEastAsia" w:hAnsiTheme="minorEastAsia" w:eastAsiaTheme="minorEastAsia" w:cstheme="minorEastAsia"/>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73分</w:t>
            </w:r>
            <w:r>
              <w:rPr>
                <w:rFonts w:hint="eastAsia" w:asciiTheme="minorEastAsia" w:hAnsiTheme="minorEastAsia" w:eastAsiaTheme="minorEastAsia" w:cstheme="minorEastAsia"/>
                <w:color w:val="auto"/>
                <w:sz w:val="21"/>
                <w:szCs w:val="21"/>
                <w:highlight w:val="none"/>
                <w:lang w:eastAsia="zh-CN"/>
              </w:rPr>
              <w:t>）</w:t>
            </w:r>
          </w:p>
          <w:p w14:paraId="3345C681">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（54分）</w:t>
            </w:r>
          </w:p>
        </w:tc>
        <w:tc>
          <w:tcPr>
            <w:tcW w:w="1080" w:type="dxa"/>
            <w:vAlign w:val="center"/>
          </w:tcPr>
          <w:p w14:paraId="1850EB73">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color w:val="auto"/>
                <w:szCs w:val="21"/>
                <w:highlight w:val="none"/>
              </w:rPr>
              <w:t>项目理解</w:t>
            </w:r>
          </w:p>
        </w:tc>
        <w:tc>
          <w:tcPr>
            <w:tcW w:w="7050" w:type="dxa"/>
            <w:vAlign w:val="center"/>
          </w:tcPr>
          <w:p w14:paraId="4E4C52E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zh-CN"/>
              </w:rPr>
            </w:pPr>
            <w:r>
              <w:rPr>
                <w:rFonts w:hint="eastAsia" w:ascii="Times New Roman" w:hAnsi="宋体" w:cs="宋体"/>
                <w:color w:val="auto"/>
                <w:sz w:val="21"/>
                <w:szCs w:val="21"/>
                <w:highlight w:val="none"/>
              </w:rPr>
              <w:t>根据投标人对</w:t>
            </w:r>
            <w:r>
              <w:rPr>
                <w:rFonts w:hint="eastAsia" w:ascii="Times New Roman" w:hAnsi="宋体" w:cs="宋体"/>
                <w:color w:val="auto"/>
                <w:sz w:val="21"/>
                <w:szCs w:val="21"/>
                <w:highlight w:val="none"/>
                <w:lang w:eastAsia="zh-CN"/>
              </w:rPr>
              <w:t>台州市第一</w:t>
            </w:r>
            <w:r>
              <w:rPr>
                <w:rFonts w:hint="eastAsia" w:ascii="Times New Roman" w:hAnsi="宋体" w:cs="宋体"/>
                <w:color w:val="auto"/>
                <w:sz w:val="21"/>
                <w:szCs w:val="21"/>
                <w:highlight w:val="none"/>
              </w:rPr>
              <w:t>中学</w:t>
            </w:r>
            <w:r>
              <w:rPr>
                <w:rFonts w:hint="eastAsia" w:ascii="Times New Roman" w:hAnsi="宋体" w:cs="宋体"/>
                <w:color w:val="auto"/>
                <w:sz w:val="21"/>
                <w:szCs w:val="21"/>
                <w:highlight w:val="none"/>
                <w:lang w:eastAsia="zh-CN"/>
              </w:rPr>
              <w:t>学科竞赛</w:t>
            </w:r>
            <w:r>
              <w:rPr>
                <w:rFonts w:hint="eastAsia" w:ascii="Times New Roman" w:hAnsi="宋体" w:cs="宋体"/>
                <w:color w:val="auto"/>
                <w:sz w:val="21"/>
                <w:szCs w:val="21"/>
                <w:highlight w:val="none"/>
              </w:rPr>
              <w:t>教学、</w:t>
            </w:r>
            <w:r>
              <w:rPr>
                <w:rFonts w:hint="eastAsia" w:hAnsi="宋体" w:cs="宋体"/>
                <w:color w:val="auto"/>
                <w:sz w:val="21"/>
                <w:szCs w:val="21"/>
                <w:highlight w:val="none"/>
                <w:lang w:val="en-US" w:eastAsia="zh-CN"/>
              </w:rPr>
              <w:t>拔尖人才早期</w:t>
            </w:r>
            <w:r>
              <w:rPr>
                <w:rFonts w:hint="eastAsia" w:ascii="Times New Roman" w:hAnsi="宋体" w:cs="宋体"/>
                <w:color w:val="auto"/>
                <w:sz w:val="21"/>
                <w:szCs w:val="21"/>
                <w:highlight w:val="none"/>
                <w:lang w:eastAsia="zh-CN"/>
              </w:rPr>
              <w:t>培养</w:t>
            </w:r>
            <w:r>
              <w:rPr>
                <w:rFonts w:hint="eastAsia" w:ascii="Times New Roman" w:hAnsi="宋体" w:cs="宋体"/>
                <w:color w:val="auto"/>
                <w:sz w:val="21"/>
                <w:szCs w:val="21"/>
                <w:highlight w:val="none"/>
              </w:rPr>
              <w:t>方式等方面情况的熟悉程度进行打分</w:t>
            </w:r>
            <w:r>
              <w:rPr>
                <w:rFonts w:hint="eastAsia" w:ascii="Times New Roman" w:hAnsi="宋体" w:cs="宋体"/>
                <w:color w:val="auto"/>
                <w:sz w:val="21"/>
                <w:szCs w:val="21"/>
                <w:highlight w:val="none"/>
                <w:lang w:val="zh-CN"/>
              </w:rPr>
              <w:t>。</w:t>
            </w:r>
          </w:p>
          <w:p w14:paraId="093BBF4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调查分析全面，符合实际</w:t>
            </w:r>
            <w:r>
              <w:rPr>
                <w:rFonts w:hint="eastAsia" w:asciiTheme="minorEastAsia" w:hAnsiTheme="minorEastAsia" w:eastAsiaTheme="minorEastAsia" w:cstheme="minorEastAsia"/>
                <w:color w:val="auto"/>
                <w:sz w:val="21"/>
                <w:szCs w:val="21"/>
                <w:highlight w:val="none"/>
              </w:rPr>
              <w:t>情况的得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BF9CB3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调查分析较全面，基本符合实际情况的得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0D86DF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调查分析简单的得1分；</w:t>
            </w:r>
          </w:p>
          <w:p w14:paraId="351F847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宋体" w:hAnsi="宋体" w:eastAsia="宋体" w:cs="新宋体"/>
                <w:b w:val="0"/>
                <w:color w:val="auto"/>
                <w:kern w:val="2"/>
                <w:sz w:val="21"/>
                <w:szCs w:val="21"/>
                <w:highlight w:val="none"/>
                <w:lang w:val="en-US" w:eastAsia="zh-CN" w:bidi="ar-SA"/>
              </w:rPr>
            </w:pPr>
            <w:r>
              <w:rPr>
                <w:rFonts w:hint="eastAsia" w:ascii="Times New Roman" w:hAnsi="宋体" w:cs="宋体"/>
                <w:color w:val="auto"/>
                <w:sz w:val="21"/>
                <w:szCs w:val="21"/>
                <w:highlight w:val="none"/>
              </w:rPr>
              <w:t>未提及此项</w:t>
            </w:r>
            <w:r>
              <w:rPr>
                <w:rFonts w:hint="eastAsia" w:ascii="华文仿宋" w:hAnsi="华文仿宋" w:eastAsia="宋体" w:cs="新宋体"/>
                <w:b w:val="0"/>
                <w:color w:val="auto"/>
                <w:sz w:val="21"/>
                <w:szCs w:val="20"/>
                <w:highlight w:val="none"/>
              </w:rPr>
              <w:t>不得分。</w:t>
            </w:r>
          </w:p>
        </w:tc>
        <w:tc>
          <w:tcPr>
            <w:tcW w:w="578" w:type="dxa"/>
            <w:vAlign w:val="center"/>
          </w:tcPr>
          <w:p w14:paraId="1AB77399">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rPr>
              <w:t>5</w:t>
            </w:r>
          </w:p>
        </w:tc>
        <w:tc>
          <w:tcPr>
            <w:tcW w:w="643" w:type="dxa"/>
            <w:vAlign w:val="center"/>
          </w:tcPr>
          <w:p w14:paraId="6DE297FF">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rPr>
            </w:pPr>
          </w:p>
        </w:tc>
        <w:tc>
          <w:tcPr>
            <w:tcW w:w="742" w:type="dxa"/>
            <w:vAlign w:val="center"/>
          </w:tcPr>
          <w:p w14:paraId="6A92A27D">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rPr>
            </w:pPr>
          </w:p>
        </w:tc>
      </w:tr>
      <w:tr w14:paraId="37947C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 w:hRule="atLeast"/>
          <w:jc w:val="center"/>
        </w:trPr>
        <w:tc>
          <w:tcPr>
            <w:tcW w:w="1053" w:type="dxa"/>
            <w:vMerge w:val="continue"/>
            <w:vAlign w:val="center"/>
          </w:tcPr>
          <w:p w14:paraId="13745845">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restart"/>
            <w:vAlign w:val="center"/>
          </w:tcPr>
          <w:p w14:paraId="6C1E175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sz w:val="21"/>
                <w:szCs w:val="21"/>
                <w:highlight w:val="none"/>
                <w:lang w:val="en-US" w:eastAsia="zh-CN"/>
              </w:rPr>
              <w:t>项目方案</w:t>
            </w:r>
          </w:p>
        </w:tc>
        <w:tc>
          <w:tcPr>
            <w:tcW w:w="7050" w:type="dxa"/>
            <w:vAlign w:val="center"/>
          </w:tcPr>
          <w:p w14:paraId="6DD6205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rPr>
            </w:pPr>
            <w:r>
              <w:rPr>
                <w:rFonts w:hint="eastAsia" w:ascii="Times New Roman" w:hAnsi="宋体" w:cs="宋体"/>
                <w:b/>
                <w:bCs/>
                <w:color w:val="auto"/>
                <w:sz w:val="21"/>
                <w:szCs w:val="21"/>
                <w:highlight w:val="none"/>
              </w:rPr>
              <w:t>项目总体方案：</w:t>
            </w:r>
            <w:r>
              <w:rPr>
                <w:rFonts w:hint="eastAsia" w:ascii="Times New Roman" w:hAnsi="宋体" w:cs="宋体"/>
                <w:color w:val="auto"/>
                <w:sz w:val="21"/>
                <w:szCs w:val="21"/>
                <w:highlight w:val="none"/>
              </w:rPr>
              <w:t>根据</w:t>
            </w:r>
            <w:r>
              <w:rPr>
                <w:rFonts w:hint="eastAsia" w:ascii="Times New Roman" w:hAnsi="宋体" w:cs="宋体"/>
                <w:color w:val="auto"/>
                <w:sz w:val="21"/>
                <w:szCs w:val="21"/>
                <w:highlight w:val="none"/>
                <w:lang w:val="en-US" w:eastAsia="zh-CN"/>
              </w:rPr>
              <w:t>投标人</w:t>
            </w:r>
            <w:r>
              <w:rPr>
                <w:rFonts w:hint="eastAsia" w:ascii="Times New Roman" w:hAnsi="宋体" w:cs="宋体"/>
                <w:color w:val="auto"/>
                <w:sz w:val="21"/>
                <w:szCs w:val="21"/>
                <w:highlight w:val="none"/>
              </w:rPr>
              <w:t>针对本服务项目总体方案的总体思路</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对本项目总体要求的理解</w:t>
            </w:r>
            <w:r>
              <w:rPr>
                <w:rFonts w:hint="eastAsia" w:ascii="Times New Roman" w:hAnsi="宋体" w:cs="宋体"/>
                <w:color w:val="auto"/>
                <w:sz w:val="21"/>
                <w:szCs w:val="21"/>
                <w:highlight w:val="none"/>
                <w:lang w:eastAsia="zh-CN"/>
              </w:rPr>
              <w:t>，</w:t>
            </w:r>
            <w:r>
              <w:rPr>
                <w:rFonts w:hint="eastAsia" w:ascii="Times New Roman" w:hAnsi="宋体" w:cs="宋体"/>
                <w:color w:val="auto"/>
                <w:sz w:val="21"/>
                <w:szCs w:val="21"/>
                <w:highlight w:val="none"/>
              </w:rPr>
              <w:t>项目总体实施方案是否结合地域特点等</w:t>
            </w:r>
            <w:r>
              <w:rPr>
                <w:rFonts w:hint="eastAsia" w:ascii="Times New Roman" w:hAnsi="宋体" w:cs="宋体"/>
                <w:color w:val="auto"/>
                <w:sz w:val="21"/>
                <w:szCs w:val="21"/>
                <w:highlight w:val="none"/>
                <w:lang w:val="en-US" w:eastAsia="zh-CN"/>
              </w:rPr>
              <w:t>进行</w:t>
            </w:r>
            <w:r>
              <w:rPr>
                <w:rFonts w:hint="eastAsia" w:ascii="Times New Roman" w:hAnsi="宋体" w:cs="宋体"/>
                <w:color w:val="auto"/>
                <w:sz w:val="21"/>
                <w:szCs w:val="21"/>
                <w:highlight w:val="none"/>
              </w:rPr>
              <w:t>打分。</w:t>
            </w:r>
          </w:p>
          <w:p w14:paraId="52A3977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asciiTheme="minorEastAsia" w:hAnsiTheme="minorEastAsia" w:eastAsiaTheme="minorEastAsia" w:cstheme="minorEastAsia"/>
                <w:color w:val="auto"/>
                <w:sz w:val="21"/>
                <w:szCs w:val="21"/>
                <w:highlight w:val="none"/>
              </w:rPr>
              <w:t>全面，思路明确，并有针对性的得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72D27349">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imes New Roman" w:hAnsi="宋体" w:cs="宋体"/>
                <w:color w:val="auto"/>
                <w:sz w:val="21"/>
                <w:szCs w:val="21"/>
                <w:highlight w:val="none"/>
              </w:rPr>
              <w:t>方案内容</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全面，思路</w:t>
            </w:r>
            <w:r>
              <w:rPr>
                <w:rFonts w:hint="eastAsia" w:hAnsi="宋体" w:cs="宋体"/>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明确，针对性</w:t>
            </w:r>
            <w:r>
              <w:rPr>
                <w:rFonts w:hint="eastAsia" w:asciiTheme="minorEastAsia" w:hAnsiTheme="minorEastAsia" w:eastAsiaTheme="minorEastAsia" w:cstheme="minorEastAsia"/>
                <w:color w:val="auto"/>
                <w:sz w:val="21"/>
                <w:szCs w:val="21"/>
                <w:highlight w:val="none"/>
                <w:lang w:val="en-US" w:eastAsia="zh-CN"/>
              </w:rPr>
              <w:t>比较强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3E54DB0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方案内容简单，内容不完整但基本能保障的得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04EAD67">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方案内容片面，不能保障项目服务质量的得1分；</w:t>
            </w:r>
          </w:p>
          <w:p w14:paraId="04D396E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cs="宋体"/>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60611778">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c>
          <w:tcPr>
            <w:tcW w:w="643" w:type="dxa"/>
            <w:vAlign w:val="center"/>
          </w:tcPr>
          <w:p w14:paraId="6AEDD995">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742" w:type="dxa"/>
            <w:vAlign w:val="center"/>
          </w:tcPr>
          <w:p w14:paraId="59B809C8">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r>
      <w:tr w14:paraId="348B7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continue"/>
            <w:vAlign w:val="center"/>
          </w:tcPr>
          <w:p w14:paraId="0C117690">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continue"/>
            <w:vAlign w:val="center"/>
          </w:tcPr>
          <w:p w14:paraId="34FFCFD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sz w:val="21"/>
                <w:szCs w:val="21"/>
                <w:highlight w:val="none"/>
                <w:lang w:val="en-US" w:eastAsia="zh-CN"/>
              </w:rPr>
            </w:pPr>
          </w:p>
        </w:tc>
        <w:tc>
          <w:tcPr>
            <w:tcW w:w="7050" w:type="dxa"/>
            <w:vAlign w:val="center"/>
          </w:tcPr>
          <w:p w14:paraId="28AA3F2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数学竞赛预备课程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78831C8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2ADC052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C146D2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775A4C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2989B0C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44D0B859">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r>
              <w:rPr>
                <w:rFonts w:hint="eastAsia" w:asciiTheme="minorEastAsia" w:hAnsiTheme="minorEastAsia" w:eastAsiaTheme="minorEastAsia" w:cstheme="minorEastAsia"/>
                <w:b w:val="0"/>
                <w:color w:val="auto"/>
                <w:kern w:val="2"/>
                <w:sz w:val="21"/>
                <w:szCs w:val="21"/>
                <w:highlight w:val="none"/>
                <w:lang w:val="en-US" w:eastAsia="zh-CN" w:bidi="ar-SA"/>
              </w:rPr>
              <w:t>7</w:t>
            </w:r>
          </w:p>
        </w:tc>
        <w:tc>
          <w:tcPr>
            <w:tcW w:w="643" w:type="dxa"/>
            <w:vAlign w:val="center"/>
          </w:tcPr>
          <w:p w14:paraId="3788DD5F">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c>
          <w:tcPr>
            <w:tcW w:w="742" w:type="dxa"/>
            <w:vAlign w:val="center"/>
          </w:tcPr>
          <w:p w14:paraId="7EE20B12">
            <w:pPr>
              <w:pStyle w:val="3"/>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color w:val="auto"/>
                <w:kern w:val="2"/>
                <w:sz w:val="21"/>
                <w:szCs w:val="21"/>
                <w:highlight w:val="none"/>
                <w:lang w:val="en-US" w:eastAsia="zh-CN" w:bidi="ar-SA"/>
              </w:rPr>
            </w:pPr>
          </w:p>
        </w:tc>
      </w:tr>
      <w:tr w14:paraId="067F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3" w:type="dxa"/>
            <w:vMerge w:val="continue"/>
            <w:vAlign w:val="center"/>
          </w:tcPr>
          <w:p w14:paraId="29C6AE50">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continue"/>
            <w:vAlign w:val="center"/>
          </w:tcPr>
          <w:p w14:paraId="218410BF">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default" w:ascii="宋体" w:hAnsi="宋体" w:eastAsia="宋体" w:cs="新宋体"/>
                <w:b w:val="0"/>
                <w:bCs w:val="0"/>
                <w:color w:val="auto"/>
                <w:kern w:val="2"/>
                <w:sz w:val="21"/>
                <w:szCs w:val="21"/>
                <w:highlight w:val="none"/>
                <w:lang w:val="en-US" w:eastAsia="zh-CN" w:bidi="ar-SA"/>
              </w:rPr>
            </w:pPr>
          </w:p>
        </w:tc>
        <w:tc>
          <w:tcPr>
            <w:tcW w:w="7050" w:type="dxa"/>
            <w:vAlign w:val="center"/>
          </w:tcPr>
          <w:p w14:paraId="7256586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物理竞赛预备课程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3B24E6A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137882C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72B1995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20D0C8A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18D30CF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1F30E852">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7F08BA06">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707BF4C4">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6EC4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continue"/>
            <w:vAlign w:val="center"/>
          </w:tcPr>
          <w:p w14:paraId="002DB62B">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continue"/>
            <w:vAlign w:val="center"/>
          </w:tcPr>
          <w:p w14:paraId="112565A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434D451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lang w:eastAsia="zh-CN"/>
              </w:rPr>
              <w:t>化学</w:t>
            </w:r>
            <w:r>
              <w:rPr>
                <w:rFonts w:hint="eastAsia" w:asciiTheme="minorEastAsia" w:hAnsiTheme="minorEastAsia" w:eastAsiaTheme="minorEastAsia" w:cstheme="minorEastAsia"/>
                <w:b/>
                <w:bCs/>
                <w:color w:val="auto"/>
                <w:sz w:val="21"/>
                <w:szCs w:val="21"/>
                <w:highlight w:val="none"/>
              </w:rPr>
              <w:t>竞赛课程</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2E125AE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3F8D232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CA59BC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C66CDC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618FCE3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54572C3B">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6F126AEC">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081185C9">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506531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continue"/>
            <w:vAlign w:val="center"/>
          </w:tcPr>
          <w:p w14:paraId="34FCF283">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continue"/>
            <w:vAlign w:val="center"/>
          </w:tcPr>
          <w:p w14:paraId="2721D78A">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3473E27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题课包</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6305FC0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50B888F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298A46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30F901B2">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0FE390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07C80A11">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272D0762">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2CE09939">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7A6C6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continue"/>
            <w:vAlign w:val="center"/>
          </w:tcPr>
          <w:p w14:paraId="680B167F">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continue"/>
            <w:vAlign w:val="center"/>
          </w:tcPr>
          <w:p w14:paraId="7FB2D5F2">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1DFA91AC">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集训营</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22A2351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46F18C9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ED8524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1E8C52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F59DD5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1C3426F3">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szCs w:val="21"/>
                <w:highlight w:val="none"/>
                <w:lang w:val="en-US" w:eastAsia="zh-CN"/>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51554BE0">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7D436FAE">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3C9F91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continue"/>
            <w:vAlign w:val="center"/>
          </w:tcPr>
          <w:p w14:paraId="10D990B2">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continue"/>
            <w:vAlign w:val="center"/>
          </w:tcPr>
          <w:p w14:paraId="2686FEA0">
            <w:pPr>
              <w:keepNext w:val="0"/>
              <w:keepLines w:val="0"/>
              <w:pageBreakBefore w:val="0"/>
              <w:widowControl/>
              <w:kinsoku/>
              <w:wordWrap/>
              <w:overflowPunct/>
              <w:topLinePunct w:val="0"/>
              <w:autoSpaceDE/>
              <w:autoSpaceDN/>
              <w:bidi w:val="0"/>
              <w:adjustRightInd/>
              <w:snapToGrid/>
              <w:spacing w:beforeAutospacing="0" w:afterAutospacing="0" w:line="240" w:lineRule="auto"/>
              <w:ind w:left="0" w:leftChars="0"/>
              <w:jc w:val="center"/>
              <w:textAlignment w:val="auto"/>
              <w:rPr>
                <w:rFonts w:hint="eastAsia" w:ascii="宋体" w:hAnsi="宋体" w:eastAsia="宋体" w:cs="新宋体"/>
                <w:b w:val="0"/>
                <w:bCs w:val="0"/>
                <w:color w:val="auto"/>
                <w:kern w:val="2"/>
                <w:sz w:val="21"/>
                <w:szCs w:val="21"/>
                <w:highlight w:val="none"/>
                <w:lang w:val="en-US" w:eastAsia="zh-CN" w:bidi="ar-SA"/>
              </w:rPr>
            </w:pPr>
          </w:p>
        </w:tc>
        <w:tc>
          <w:tcPr>
            <w:tcW w:w="7050" w:type="dxa"/>
            <w:vAlign w:val="center"/>
          </w:tcPr>
          <w:p w14:paraId="7052933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b/>
                <w:bCs/>
                <w:color w:val="auto"/>
                <w:sz w:val="21"/>
                <w:szCs w:val="21"/>
                <w:highlight w:val="none"/>
              </w:rPr>
              <w:t>其他增值项目</w:t>
            </w:r>
            <w:r>
              <w:rPr>
                <w:rFonts w:hint="eastAsia" w:asciiTheme="minorEastAsia" w:hAnsiTheme="minorEastAsia" w:eastAsiaTheme="minorEastAsia" w:cstheme="minorEastAsia"/>
                <w:b/>
                <w:bCs/>
                <w:color w:val="auto"/>
                <w:sz w:val="21"/>
                <w:szCs w:val="21"/>
                <w:highlight w:val="none"/>
                <w:lang w:val="en-US" w:eastAsia="zh-CN"/>
              </w:rPr>
              <w:t>服务方案</w:t>
            </w:r>
            <w:r>
              <w:rPr>
                <w:rFonts w:hint="eastAsia" w:asciiTheme="minorEastAsia" w:hAnsiTheme="minorEastAsia" w:eastAsiaTheme="minorEastAsia" w:cstheme="minorEastAsia"/>
                <w:b/>
                <w:bCs/>
                <w:color w:val="auto"/>
                <w:sz w:val="21"/>
                <w:szCs w:val="21"/>
                <w:highlight w:val="none"/>
                <w:lang w:eastAsia="zh-CN"/>
              </w:rPr>
              <w:t>：</w:t>
            </w:r>
            <w:r>
              <w:rPr>
                <w:rFonts w:hint="eastAsia" w:asciiTheme="minorEastAsia" w:hAnsiTheme="minorEastAsia" w:eastAsiaTheme="minorEastAsia" w:cstheme="minorEastAsia"/>
                <w:color w:val="auto"/>
                <w:sz w:val="21"/>
                <w:szCs w:val="21"/>
                <w:highlight w:val="none"/>
                <w:lang w:val="en-US" w:eastAsia="zh-CN"/>
              </w:rPr>
              <w:t>根据</w:t>
            </w:r>
            <w:r>
              <w:rPr>
                <w:rFonts w:hint="eastAsia" w:asciiTheme="minorEastAsia" w:hAnsiTheme="minorEastAsia" w:eastAsiaTheme="minorEastAsia" w:cstheme="minorEastAsia"/>
                <w:color w:val="auto"/>
                <w:sz w:val="21"/>
                <w:szCs w:val="21"/>
                <w:highlight w:val="none"/>
              </w:rPr>
              <w:t>投标人制定的</w:t>
            </w:r>
            <w:r>
              <w:rPr>
                <w:rFonts w:hint="eastAsia" w:asciiTheme="minorEastAsia" w:hAnsiTheme="minorEastAsia" w:eastAsiaTheme="minorEastAsia" w:cstheme="minorEastAsia"/>
                <w:color w:val="auto"/>
                <w:sz w:val="21"/>
                <w:szCs w:val="21"/>
                <w:highlight w:val="none"/>
                <w:lang w:val="en-US" w:eastAsia="zh-CN"/>
              </w:rPr>
              <w:t>服务方案</w:t>
            </w:r>
            <w:r>
              <w:rPr>
                <w:rFonts w:hint="eastAsia" w:asciiTheme="minorEastAsia" w:hAnsiTheme="minorEastAsia" w:eastAsiaTheme="minorEastAsia" w:cstheme="minorEastAsia"/>
                <w:color w:val="auto"/>
                <w:sz w:val="21"/>
                <w:szCs w:val="21"/>
                <w:highlight w:val="none"/>
              </w:rPr>
              <w:t>是否科学、合理、有效，根据</w:t>
            </w: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方案的可行性、科学性进行打分。</w:t>
            </w:r>
          </w:p>
          <w:p w14:paraId="78D7752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方案总体思路清晰、完整，上下工序衔接合理、切合实际，注重实效的得</w:t>
            </w:r>
            <w:r>
              <w:rPr>
                <w:rFonts w:hint="eastAsia" w:asciiTheme="minorEastAsia" w:hAnsiTheme="minorEastAsia" w:eastAsiaTheme="minorEastAsia" w:cstheme="minorEastAsia"/>
                <w:color w:val="auto"/>
                <w:sz w:val="21"/>
                <w:szCs w:val="21"/>
                <w:highlight w:val="none"/>
                <w:lang w:val="en-US" w:eastAsia="zh-CN"/>
              </w:rPr>
              <w:t>7</w:t>
            </w:r>
            <w:r>
              <w:rPr>
                <w:rFonts w:hint="eastAsia" w:asciiTheme="minorEastAsia" w:hAnsiTheme="minorEastAsia" w:eastAsiaTheme="minorEastAsia" w:cstheme="minorEastAsia"/>
                <w:color w:val="auto"/>
                <w:sz w:val="21"/>
                <w:szCs w:val="21"/>
                <w:highlight w:val="none"/>
              </w:rPr>
              <w:t>分；</w:t>
            </w:r>
          </w:p>
          <w:p w14:paraId="0441AA0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清晰、完整，上下工序衔接</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合理、</w:t>
            </w:r>
            <w:r>
              <w:rPr>
                <w:rFonts w:hint="eastAsia" w:asciiTheme="minorEastAsia" w:hAnsiTheme="minorEastAsia" w:eastAsiaTheme="minorEastAsia" w:cstheme="minorEastAsia"/>
                <w:color w:val="auto"/>
                <w:sz w:val="21"/>
                <w:szCs w:val="21"/>
                <w:highlight w:val="none"/>
                <w:lang w:val="en-US" w:eastAsia="zh-CN"/>
              </w:rPr>
              <w:t>基本符合</w:t>
            </w:r>
            <w:r>
              <w:rPr>
                <w:rFonts w:hint="eastAsia" w:asciiTheme="minorEastAsia" w:hAnsiTheme="minorEastAsia" w:eastAsiaTheme="minorEastAsia" w:cstheme="minorEastAsia"/>
                <w:color w:val="auto"/>
                <w:sz w:val="21"/>
                <w:szCs w:val="21"/>
                <w:highlight w:val="none"/>
              </w:rPr>
              <w:t>实际，</w:t>
            </w:r>
            <w:r>
              <w:rPr>
                <w:rFonts w:hint="eastAsia" w:asciiTheme="minorEastAsia" w:hAnsiTheme="minorEastAsia" w:eastAsiaTheme="minorEastAsia" w:cstheme="minorEastAsia"/>
                <w:color w:val="auto"/>
                <w:sz w:val="21"/>
                <w:szCs w:val="21"/>
                <w:highlight w:val="none"/>
                <w:lang w:val="en-US" w:eastAsia="zh-CN"/>
              </w:rPr>
              <w:t>比较</w:t>
            </w:r>
            <w:r>
              <w:rPr>
                <w:rFonts w:hint="eastAsia" w:asciiTheme="minorEastAsia" w:hAnsiTheme="minorEastAsia" w:eastAsiaTheme="minorEastAsia" w:cstheme="minorEastAsia"/>
                <w:color w:val="auto"/>
                <w:sz w:val="21"/>
                <w:szCs w:val="21"/>
                <w:highlight w:val="none"/>
              </w:rPr>
              <w:t>注重实效的得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17E997BB">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方案总体思路清晰、完整</w:t>
            </w:r>
            <w:r>
              <w:rPr>
                <w:rFonts w:hint="eastAsia" w:asciiTheme="minorEastAsia" w:hAnsiTheme="minorEastAsia" w:eastAsiaTheme="minorEastAsia" w:cstheme="minorEastAsia"/>
                <w:color w:val="auto"/>
                <w:sz w:val="21"/>
                <w:szCs w:val="21"/>
                <w:highlight w:val="none"/>
                <w:lang w:val="en-US" w:eastAsia="zh-CN"/>
              </w:rPr>
              <w:t>程度一般</w:t>
            </w:r>
            <w:r>
              <w:rPr>
                <w:rFonts w:hint="eastAsia" w:asciiTheme="minorEastAsia" w:hAnsiTheme="minorEastAsia" w:eastAsiaTheme="minorEastAsia" w:cstheme="minorEastAsia"/>
                <w:color w:val="auto"/>
                <w:sz w:val="21"/>
                <w:szCs w:val="21"/>
                <w:highlight w:val="none"/>
              </w:rPr>
              <w:t>，上下工序衔接不够合理，实效性不强的得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48E62EC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服务</w:t>
            </w:r>
            <w:r>
              <w:rPr>
                <w:rFonts w:hint="eastAsia" w:asciiTheme="minorEastAsia" w:hAnsiTheme="minorEastAsia" w:eastAsiaTheme="minorEastAsia" w:cstheme="minorEastAsia"/>
                <w:color w:val="auto"/>
                <w:sz w:val="21"/>
                <w:szCs w:val="21"/>
                <w:highlight w:val="none"/>
              </w:rPr>
              <w:t>方案</w:t>
            </w:r>
            <w:r>
              <w:rPr>
                <w:rFonts w:hint="eastAsia" w:asciiTheme="minorEastAsia" w:hAnsiTheme="minorEastAsia" w:eastAsiaTheme="minorEastAsia" w:cstheme="minorEastAsia"/>
                <w:color w:val="auto"/>
                <w:sz w:val="21"/>
                <w:szCs w:val="21"/>
                <w:highlight w:val="none"/>
                <w:lang w:val="en-US" w:eastAsia="zh-CN"/>
              </w:rPr>
              <w:t>简单</w:t>
            </w:r>
            <w:r>
              <w:rPr>
                <w:rFonts w:hint="eastAsia" w:asciiTheme="minorEastAsia" w:hAnsiTheme="minorEastAsia" w:eastAsiaTheme="minorEastAsia" w:cstheme="minorEastAsia"/>
                <w:color w:val="auto"/>
                <w:sz w:val="21"/>
                <w:szCs w:val="21"/>
                <w:highlight w:val="none"/>
              </w:rPr>
              <w:t>或有明显缺陷、</w:t>
            </w:r>
            <w:r>
              <w:rPr>
                <w:rFonts w:hint="eastAsia" w:asciiTheme="minorEastAsia" w:hAnsiTheme="minorEastAsia" w:eastAsiaTheme="minorEastAsia" w:cstheme="minorEastAsia"/>
                <w:color w:val="auto"/>
                <w:sz w:val="21"/>
                <w:szCs w:val="21"/>
                <w:highlight w:val="none"/>
                <w:lang w:val="en-US" w:eastAsia="zh-CN"/>
              </w:rPr>
              <w:t>完善性、合理性、实际性、</w:t>
            </w:r>
            <w:r>
              <w:rPr>
                <w:rFonts w:hint="eastAsia" w:asciiTheme="minorEastAsia" w:hAnsiTheme="minorEastAsia" w:eastAsiaTheme="minorEastAsia" w:cstheme="minorEastAsia"/>
                <w:color w:val="auto"/>
                <w:sz w:val="21"/>
                <w:szCs w:val="21"/>
                <w:highlight w:val="none"/>
              </w:rPr>
              <w:t>方案融合性、创新性、实效性</w:t>
            </w:r>
            <w:r>
              <w:rPr>
                <w:rFonts w:hint="eastAsia" w:asciiTheme="minorEastAsia" w:hAnsiTheme="minorEastAsia" w:eastAsiaTheme="minorEastAsia" w:cstheme="minorEastAsia"/>
                <w:color w:val="auto"/>
                <w:sz w:val="21"/>
                <w:szCs w:val="21"/>
                <w:highlight w:val="none"/>
                <w:lang w:val="en-US" w:eastAsia="zh-CN"/>
              </w:rPr>
              <w:t>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01655911">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imes New Roman" w:hAnsi="宋体" w:eastAsia="宋体" w:cs="宋体"/>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25C63D61">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default" w:asciiTheme="minorEastAsia" w:hAnsiTheme="minorEastAsia" w:eastAsiaTheme="minorEastAsia" w:cstheme="minorEastAsia"/>
                <w:color w:val="auto"/>
                <w:kern w:val="2"/>
                <w:sz w:val="21"/>
                <w:szCs w:val="21"/>
                <w:highlight w:val="none"/>
                <w:lang w:val="en-US" w:eastAsia="zh-CN" w:bidi="ar-SA"/>
              </w:rPr>
            </w:pPr>
            <w:r>
              <w:rPr>
                <w:rFonts w:hint="eastAsia" w:asciiTheme="minorEastAsia" w:hAnsiTheme="minorEastAsia" w:eastAsiaTheme="minorEastAsia" w:cstheme="minorEastAsia"/>
                <w:color w:val="auto"/>
                <w:szCs w:val="21"/>
                <w:highlight w:val="none"/>
                <w:lang w:val="en-US" w:eastAsia="zh-CN"/>
              </w:rPr>
              <w:t>7</w:t>
            </w:r>
          </w:p>
        </w:tc>
        <w:tc>
          <w:tcPr>
            <w:tcW w:w="643" w:type="dxa"/>
            <w:vAlign w:val="center"/>
          </w:tcPr>
          <w:p w14:paraId="55D2CC16">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c>
          <w:tcPr>
            <w:tcW w:w="742" w:type="dxa"/>
            <w:vAlign w:val="center"/>
          </w:tcPr>
          <w:p w14:paraId="3C551720">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Theme="minorEastAsia" w:hAnsiTheme="minorEastAsia" w:eastAsiaTheme="minorEastAsia" w:cstheme="minorEastAsia"/>
                <w:color w:val="auto"/>
                <w:szCs w:val="21"/>
                <w:highlight w:val="none"/>
                <w:lang w:val="en-US" w:eastAsia="zh-CN"/>
              </w:rPr>
            </w:pPr>
          </w:p>
        </w:tc>
      </w:tr>
      <w:tr w14:paraId="2280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jc w:val="center"/>
        </w:trPr>
        <w:tc>
          <w:tcPr>
            <w:tcW w:w="1053" w:type="dxa"/>
            <w:vMerge w:val="continue"/>
            <w:vAlign w:val="center"/>
          </w:tcPr>
          <w:p w14:paraId="7008611A">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Align w:val="center"/>
          </w:tcPr>
          <w:p w14:paraId="06460840">
            <w:pPr>
              <w:keepNext w:val="0"/>
              <w:keepLines w:val="0"/>
              <w:pageBreakBefore w:val="0"/>
              <w:widowControl/>
              <w:kinsoku/>
              <w:wordWrap/>
              <w:overflowPunct/>
              <w:topLinePunct w:val="0"/>
              <w:autoSpaceDE/>
              <w:autoSpaceDN/>
              <w:bidi w:val="0"/>
              <w:adjustRightInd/>
              <w:snapToGrid/>
              <w:jc w:val="center"/>
              <w:textAlignment w:val="auto"/>
              <w:rPr>
                <w:rFonts w:hint="default" w:ascii="宋体" w:hAnsi="宋体" w:eastAsia="宋体" w:cs="新宋体"/>
                <w:b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Cs w:val="21"/>
                <w:highlight w:val="none"/>
              </w:rPr>
              <w:t>合理化建议</w:t>
            </w:r>
          </w:p>
        </w:tc>
        <w:tc>
          <w:tcPr>
            <w:tcW w:w="7050" w:type="dxa"/>
            <w:vAlign w:val="center"/>
          </w:tcPr>
          <w:p w14:paraId="0EE18040">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w:t>
            </w:r>
            <w:r>
              <w:rPr>
                <w:rFonts w:hint="eastAsia" w:asciiTheme="minorEastAsia" w:hAnsiTheme="minorEastAsia" w:eastAsiaTheme="minorEastAsia" w:cstheme="minorEastAsia"/>
                <w:color w:val="auto"/>
                <w:sz w:val="21"/>
                <w:szCs w:val="21"/>
                <w:highlight w:val="none"/>
                <w:lang w:val="en-US" w:eastAsia="zh-CN"/>
              </w:rPr>
              <w:t>投标人</w:t>
            </w:r>
            <w:r>
              <w:rPr>
                <w:rFonts w:hint="eastAsia" w:asciiTheme="minorEastAsia" w:hAnsiTheme="minorEastAsia" w:eastAsiaTheme="minorEastAsia" w:cstheme="minorEastAsia"/>
                <w:color w:val="auto"/>
                <w:sz w:val="21"/>
                <w:szCs w:val="21"/>
                <w:highlight w:val="none"/>
              </w:rPr>
              <w:t>提供的合理化建议内容</w:t>
            </w:r>
            <w:r>
              <w:rPr>
                <w:rFonts w:hint="eastAsia" w:asciiTheme="minorEastAsia" w:hAnsiTheme="minorEastAsia" w:eastAsiaTheme="minorEastAsia" w:cstheme="minorEastAsia"/>
                <w:color w:val="auto"/>
                <w:sz w:val="21"/>
                <w:szCs w:val="21"/>
                <w:highlight w:val="none"/>
                <w:lang w:val="en-US" w:eastAsia="zh-CN"/>
              </w:rPr>
              <w:t>进行</w:t>
            </w:r>
            <w:r>
              <w:rPr>
                <w:rFonts w:hint="eastAsia" w:asciiTheme="minorEastAsia" w:hAnsiTheme="minorEastAsia" w:eastAsiaTheme="minorEastAsia" w:cstheme="minorEastAsia"/>
                <w:color w:val="auto"/>
                <w:sz w:val="21"/>
                <w:szCs w:val="21"/>
                <w:highlight w:val="none"/>
              </w:rPr>
              <w:t>打分。</w:t>
            </w:r>
          </w:p>
          <w:p w14:paraId="779E1E9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有针对性，对项目开展有帮助的得5分；</w:t>
            </w:r>
          </w:p>
          <w:p w14:paraId="37B7FD7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合理化建议内容</w:t>
            </w:r>
            <w:r>
              <w:rPr>
                <w:rFonts w:hint="eastAsia" w:asciiTheme="minorEastAsia" w:hAnsiTheme="minorEastAsia" w:eastAsiaTheme="minorEastAsia" w:cstheme="minorEastAsia"/>
                <w:color w:val="auto"/>
                <w:sz w:val="21"/>
                <w:szCs w:val="21"/>
                <w:highlight w:val="none"/>
                <w:lang w:val="en-US" w:eastAsia="zh-CN"/>
              </w:rPr>
              <w:t>针对性一般，对项目开展帮助程度一般的得3分；</w:t>
            </w:r>
          </w:p>
          <w:p w14:paraId="09F9D683">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lang w:val="en-US" w:eastAsia="zh-CN"/>
              </w:rPr>
              <w:t>合理化建议内容简单片面，缺乏针对性的</w:t>
            </w:r>
            <w:r>
              <w:rPr>
                <w:rFonts w:hint="eastAsia" w:asciiTheme="minorEastAsia" w:hAnsiTheme="minorEastAsia" w:eastAsiaTheme="minorEastAsia" w:cstheme="minorEastAsia"/>
                <w:color w:val="auto"/>
                <w:sz w:val="21"/>
                <w:szCs w:val="21"/>
                <w:highlight w:val="none"/>
              </w:rPr>
              <w:t>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4B51353">
            <w:pPr>
              <w:keepNext w:val="0"/>
              <w:keepLines w:val="0"/>
              <w:pageBreakBefore w:val="0"/>
              <w:widowControl/>
              <w:kinsoku/>
              <w:wordWrap/>
              <w:overflowPunct/>
              <w:topLinePunct w:val="0"/>
              <w:autoSpaceDE/>
              <w:autoSpaceDN/>
              <w:bidi w:val="0"/>
              <w:adjustRightInd/>
              <w:snapToGrid/>
              <w:spacing w:line="240" w:lineRule="auto"/>
              <w:textAlignment w:val="auto"/>
              <w:rPr>
                <w:rFonts w:hint="default"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589B4F51">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b w:val="0"/>
                <w:bCs/>
                <w:color w:val="auto"/>
                <w:sz w:val="21"/>
                <w:szCs w:val="21"/>
                <w:highlight w:val="none"/>
                <w:lang w:val="en-US" w:eastAsia="zh-CN"/>
              </w:rPr>
              <w:t>5</w:t>
            </w:r>
          </w:p>
        </w:tc>
        <w:tc>
          <w:tcPr>
            <w:tcW w:w="643" w:type="dxa"/>
            <w:vAlign w:val="center"/>
          </w:tcPr>
          <w:p w14:paraId="3D539FBA">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p>
        </w:tc>
        <w:tc>
          <w:tcPr>
            <w:tcW w:w="742" w:type="dxa"/>
            <w:vAlign w:val="center"/>
          </w:tcPr>
          <w:p w14:paraId="0A20AFED">
            <w:pPr>
              <w:keepNext w:val="0"/>
              <w:keepLines w:val="0"/>
              <w:pageBreakBefore w:val="0"/>
              <w:widowControl/>
              <w:tabs>
                <w:tab w:val="left" w:pos="780"/>
              </w:tabs>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color w:val="auto"/>
                <w:sz w:val="21"/>
                <w:szCs w:val="21"/>
                <w:highlight w:val="none"/>
                <w:lang w:val="en-US" w:eastAsia="zh-CN"/>
              </w:rPr>
            </w:pPr>
          </w:p>
        </w:tc>
      </w:tr>
      <w:tr w14:paraId="5EBB50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continue"/>
            <w:vAlign w:val="center"/>
          </w:tcPr>
          <w:p w14:paraId="2DD5C0FC">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restart"/>
            <w:vAlign w:val="center"/>
          </w:tcPr>
          <w:p w14:paraId="1AF88E3F">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rPr>
              <w:t>项目质量保证措施</w:t>
            </w:r>
          </w:p>
        </w:tc>
        <w:tc>
          <w:tcPr>
            <w:tcW w:w="7050" w:type="dxa"/>
            <w:vAlign w:val="center"/>
          </w:tcPr>
          <w:p w14:paraId="1B2238D4">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根据投标人对</w:t>
            </w:r>
            <w:r>
              <w:rPr>
                <w:rFonts w:hint="eastAsia" w:asciiTheme="minorEastAsia" w:hAnsiTheme="minorEastAsia" w:eastAsiaTheme="minorEastAsia" w:cstheme="minorEastAsia"/>
                <w:color w:val="auto"/>
                <w:sz w:val="21"/>
                <w:szCs w:val="21"/>
                <w:highlight w:val="none"/>
                <w:lang w:val="en-US" w:eastAsia="zh-CN"/>
              </w:rPr>
              <w:t>项目投入人员</w:t>
            </w:r>
            <w:r>
              <w:rPr>
                <w:rFonts w:hint="eastAsia" w:asciiTheme="minorEastAsia" w:hAnsiTheme="minorEastAsia" w:eastAsiaTheme="minorEastAsia" w:cstheme="minorEastAsia"/>
                <w:color w:val="auto"/>
                <w:sz w:val="21"/>
                <w:szCs w:val="21"/>
                <w:highlight w:val="none"/>
              </w:rPr>
              <w:t>监督、考核的措施是否全面、完整，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0246893E">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全面可行，能有效保障项目服务质量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4883C0E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基本全面可行，基本有效保障项目服务质量</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0C59717A">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监督考核的措施</w:t>
            </w:r>
            <w:r>
              <w:rPr>
                <w:rFonts w:hint="eastAsia" w:asciiTheme="minorEastAsia" w:hAnsiTheme="minorEastAsia" w:eastAsiaTheme="minorEastAsia" w:cstheme="minorEastAsia"/>
                <w:color w:val="auto"/>
                <w:sz w:val="21"/>
                <w:szCs w:val="21"/>
                <w:highlight w:val="none"/>
                <w:lang w:val="en-US" w:eastAsia="zh-CN"/>
              </w:rPr>
              <w:t>不甚可行，项目服务质量保障有所欠缺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47C176B5">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7568AEA5">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default" w:ascii="宋体" w:hAnsi="宋体" w:eastAsia="宋体" w:cs="新宋体"/>
                <w:b w:val="0"/>
                <w:bCs w:val="0"/>
                <w:color w:val="auto"/>
                <w:kern w:val="2"/>
                <w:sz w:val="21"/>
                <w:szCs w:val="21"/>
                <w:highlight w:val="none"/>
                <w:lang w:val="en-US" w:eastAsia="zh-CN" w:bidi="ar-SA"/>
              </w:rPr>
            </w:pPr>
            <w:r>
              <w:rPr>
                <w:rFonts w:hint="eastAsia" w:ascii="宋体" w:hAnsi="宋体" w:cs="新宋体"/>
                <w:b w:val="0"/>
                <w:bCs w:val="0"/>
                <w:color w:val="auto"/>
                <w:kern w:val="2"/>
                <w:sz w:val="21"/>
                <w:szCs w:val="21"/>
                <w:highlight w:val="none"/>
                <w:lang w:val="en-US" w:eastAsia="zh-CN" w:bidi="ar-SA"/>
              </w:rPr>
              <w:t>5</w:t>
            </w:r>
          </w:p>
        </w:tc>
        <w:tc>
          <w:tcPr>
            <w:tcW w:w="643" w:type="dxa"/>
            <w:vAlign w:val="center"/>
          </w:tcPr>
          <w:p w14:paraId="76121F4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c>
          <w:tcPr>
            <w:tcW w:w="742" w:type="dxa"/>
            <w:vAlign w:val="center"/>
          </w:tcPr>
          <w:p w14:paraId="4BC088CD">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cs="新宋体"/>
                <w:b w:val="0"/>
                <w:bCs w:val="0"/>
                <w:color w:val="auto"/>
                <w:kern w:val="2"/>
                <w:sz w:val="21"/>
                <w:szCs w:val="21"/>
                <w:highlight w:val="none"/>
                <w:lang w:val="en-US" w:eastAsia="zh-CN" w:bidi="ar-SA"/>
              </w:rPr>
            </w:pPr>
          </w:p>
        </w:tc>
      </w:tr>
      <w:tr w14:paraId="16661A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 w:hRule="atLeast"/>
          <w:jc w:val="center"/>
        </w:trPr>
        <w:tc>
          <w:tcPr>
            <w:tcW w:w="1053" w:type="dxa"/>
            <w:vMerge w:val="continue"/>
            <w:vAlign w:val="center"/>
          </w:tcPr>
          <w:p w14:paraId="12AE5013">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jc w:val="center"/>
              <w:textAlignment w:val="auto"/>
              <w:rPr>
                <w:rFonts w:hint="eastAsia" w:asciiTheme="minorEastAsia" w:hAnsiTheme="minorEastAsia" w:eastAsiaTheme="minorEastAsia" w:cstheme="minorEastAsia"/>
                <w:color w:val="auto"/>
                <w:sz w:val="21"/>
                <w:szCs w:val="21"/>
                <w:highlight w:val="none"/>
              </w:rPr>
            </w:pPr>
          </w:p>
        </w:tc>
        <w:tc>
          <w:tcPr>
            <w:tcW w:w="1080" w:type="dxa"/>
            <w:vMerge w:val="continue"/>
            <w:vAlign w:val="center"/>
          </w:tcPr>
          <w:p w14:paraId="17497586">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0"/>
                <w:sz w:val="21"/>
                <w:szCs w:val="21"/>
                <w:highlight w:val="none"/>
                <w:lang w:val="en-US" w:eastAsia="zh-CN" w:bidi="ar-SA"/>
              </w:rPr>
            </w:pPr>
          </w:p>
        </w:tc>
        <w:tc>
          <w:tcPr>
            <w:tcW w:w="7050" w:type="dxa"/>
            <w:vAlign w:val="center"/>
          </w:tcPr>
          <w:p w14:paraId="5E9F9C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根据投标人对项目实施的</w:t>
            </w:r>
            <w:r>
              <w:rPr>
                <w:rFonts w:hint="eastAsia" w:asciiTheme="minorEastAsia" w:hAnsiTheme="minorEastAsia" w:eastAsiaTheme="minorEastAsia" w:cstheme="minorEastAsia"/>
                <w:color w:val="auto"/>
                <w:sz w:val="21"/>
                <w:szCs w:val="21"/>
                <w:highlight w:val="none"/>
                <w:lang w:val="en-US" w:eastAsia="zh-CN"/>
              </w:rPr>
              <w:t>验收计划</w:t>
            </w:r>
            <w:r>
              <w:rPr>
                <w:rFonts w:hint="eastAsia" w:asciiTheme="minorEastAsia" w:hAnsiTheme="minorEastAsia" w:eastAsiaTheme="minorEastAsia" w:cstheme="minorEastAsia"/>
                <w:color w:val="auto"/>
                <w:sz w:val="21"/>
                <w:szCs w:val="21"/>
                <w:highlight w:val="none"/>
              </w:rPr>
              <w:t>是否全面、完整，</w:t>
            </w:r>
            <w:r>
              <w:rPr>
                <w:rFonts w:hint="eastAsia" w:asciiTheme="minorEastAsia" w:hAnsiTheme="minorEastAsia" w:eastAsiaTheme="minorEastAsia" w:cstheme="minorEastAsia"/>
                <w:color w:val="auto"/>
                <w:sz w:val="21"/>
                <w:szCs w:val="21"/>
                <w:highlight w:val="none"/>
                <w:lang w:val="zh-CN"/>
              </w:rPr>
              <w:t>是否具有科学性、可行性</w:t>
            </w:r>
            <w:r>
              <w:rPr>
                <w:rFonts w:hint="eastAsia" w:asciiTheme="minorEastAsia" w:hAnsiTheme="minorEastAsia" w:eastAsiaTheme="minorEastAsia" w:cstheme="minorEastAsia"/>
                <w:color w:val="auto"/>
                <w:sz w:val="21"/>
                <w:szCs w:val="21"/>
                <w:highlight w:val="none"/>
              </w:rPr>
              <w:t>进行</w:t>
            </w:r>
            <w:r>
              <w:rPr>
                <w:rFonts w:hint="eastAsia" w:asciiTheme="minorEastAsia" w:hAnsiTheme="minorEastAsia" w:eastAsiaTheme="minorEastAsia" w:cstheme="minorEastAsia"/>
                <w:color w:val="auto"/>
                <w:sz w:val="21"/>
                <w:szCs w:val="21"/>
                <w:highlight w:val="none"/>
                <w:lang w:val="en-US" w:eastAsia="zh-CN"/>
              </w:rPr>
              <w:t>打分。</w:t>
            </w:r>
          </w:p>
          <w:p w14:paraId="69887C2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验收计划全面，有效保障并有针对性的得</w:t>
            </w:r>
            <w:r>
              <w:rPr>
                <w:rFonts w:hint="eastAsia" w:asciiTheme="minorEastAsia" w:hAnsiTheme="minorEastAsia" w:eastAsiaTheme="minorEastAsia" w:cstheme="minorEastAsia"/>
                <w:color w:val="auto"/>
                <w:sz w:val="21"/>
                <w:szCs w:val="21"/>
                <w:highlight w:val="none"/>
                <w:lang w:val="en-US" w:eastAsia="zh-CN"/>
              </w:rPr>
              <w:t>4</w:t>
            </w:r>
            <w:r>
              <w:rPr>
                <w:rFonts w:hint="eastAsia" w:asciiTheme="minorEastAsia" w:hAnsiTheme="minorEastAsia" w:eastAsiaTheme="minorEastAsia" w:cstheme="minorEastAsia"/>
                <w:color w:val="auto"/>
                <w:sz w:val="21"/>
                <w:szCs w:val="21"/>
                <w:highlight w:val="none"/>
              </w:rPr>
              <w:t>分；</w:t>
            </w:r>
          </w:p>
          <w:p w14:paraId="4164BDB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eastAsia="zh-CN"/>
              </w:rPr>
            </w:pPr>
            <w:r>
              <w:rPr>
                <w:rFonts w:hint="eastAsia" w:asciiTheme="minorEastAsia" w:hAnsiTheme="minorEastAsia" w:eastAsiaTheme="minorEastAsia" w:cstheme="minorEastAsia"/>
                <w:color w:val="auto"/>
                <w:sz w:val="21"/>
                <w:szCs w:val="21"/>
                <w:highlight w:val="none"/>
              </w:rPr>
              <w:t>验收计划简单，基本有保障的得</w:t>
            </w:r>
            <w:r>
              <w:rPr>
                <w:rFonts w:hint="eastAsia" w:asciiTheme="minorEastAsia" w:hAnsiTheme="minorEastAsia" w:eastAsiaTheme="minorEastAsia" w:cstheme="minorEastAsia"/>
                <w:color w:val="auto"/>
                <w:sz w:val="21"/>
                <w:szCs w:val="21"/>
                <w:highlight w:val="none"/>
                <w:lang w:val="en-US" w:eastAsia="zh-CN"/>
              </w:rPr>
              <w:t>2</w:t>
            </w:r>
            <w:r>
              <w:rPr>
                <w:rFonts w:hint="eastAsia" w:asciiTheme="minorEastAsia" w:hAnsiTheme="minorEastAsia" w:eastAsiaTheme="minorEastAsia" w:cstheme="minorEastAsia"/>
                <w:color w:val="auto"/>
                <w:sz w:val="21"/>
                <w:szCs w:val="21"/>
                <w:highlight w:val="none"/>
              </w:rPr>
              <w:t>分</w:t>
            </w:r>
            <w:r>
              <w:rPr>
                <w:rFonts w:hint="eastAsia" w:asciiTheme="minorEastAsia" w:hAnsiTheme="minorEastAsia" w:eastAsiaTheme="minorEastAsia" w:cstheme="minorEastAsia"/>
                <w:color w:val="auto"/>
                <w:sz w:val="21"/>
                <w:szCs w:val="21"/>
                <w:highlight w:val="none"/>
                <w:lang w:eastAsia="zh-CN"/>
              </w:rPr>
              <w:t>；</w:t>
            </w:r>
          </w:p>
          <w:p w14:paraId="52C490A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lang w:val="en-US" w:eastAsia="zh-CN"/>
              </w:rPr>
              <w:t>验收计划仅简单提及的得1分；</w:t>
            </w:r>
          </w:p>
          <w:p w14:paraId="636170B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53E420FA">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sz w:val="21"/>
                <w:szCs w:val="21"/>
                <w:highlight w:val="none"/>
                <w:lang w:val="en-US" w:eastAsia="zh-CN"/>
              </w:rPr>
              <w:t>4</w:t>
            </w:r>
          </w:p>
        </w:tc>
        <w:tc>
          <w:tcPr>
            <w:tcW w:w="643" w:type="dxa"/>
            <w:vAlign w:val="center"/>
          </w:tcPr>
          <w:p w14:paraId="54761EF1">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c>
          <w:tcPr>
            <w:tcW w:w="742" w:type="dxa"/>
            <w:vAlign w:val="center"/>
          </w:tcPr>
          <w:p w14:paraId="54A6F27C">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color w:val="auto"/>
                <w:sz w:val="21"/>
                <w:szCs w:val="21"/>
                <w:highlight w:val="none"/>
                <w:lang w:val="en-US" w:eastAsia="zh-CN"/>
              </w:rPr>
            </w:pPr>
          </w:p>
        </w:tc>
      </w:tr>
      <w:tr w14:paraId="540AA3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3" w:hRule="atLeast"/>
          <w:jc w:val="center"/>
        </w:trPr>
        <w:tc>
          <w:tcPr>
            <w:tcW w:w="1053" w:type="dxa"/>
            <w:vMerge w:val="continue"/>
            <w:vAlign w:val="center"/>
          </w:tcPr>
          <w:p w14:paraId="64A783B7">
            <w:pPr>
              <w:pStyle w:val="9"/>
              <w:keepNext w:val="0"/>
              <w:keepLines w:val="0"/>
              <w:pageBreakBefore w:val="0"/>
              <w:widowControl/>
              <w:kinsoku/>
              <w:wordWrap/>
              <w:overflowPunct/>
              <w:topLinePunct w:val="0"/>
              <w:autoSpaceDE/>
              <w:autoSpaceDN/>
              <w:bidi w:val="0"/>
              <w:adjustRightInd/>
              <w:snapToGrid/>
              <w:spacing w:line="240" w:lineRule="auto"/>
              <w:ind w:left="5250" w:leftChars="0" w:firstLine="0" w:firstLineChars="0"/>
              <w:textAlignment w:val="auto"/>
              <w:rPr>
                <w:rFonts w:hint="eastAsia" w:asciiTheme="minorEastAsia" w:hAnsiTheme="minorEastAsia" w:eastAsiaTheme="minorEastAsia" w:cstheme="minorEastAsia"/>
                <w:color w:val="auto"/>
                <w:sz w:val="21"/>
                <w:szCs w:val="21"/>
                <w:highlight w:val="none"/>
              </w:rPr>
            </w:pPr>
          </w:p>
        </w:tc>
        <w:tc>
          <w:tcPr>
            <w:tcW w:w="1080" w:type="dxa"/>
            <w:vAlign w:val="center"/>
          </w:tcPr>
          <w:p w14:paraId="309421E3">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Theme="minorEastAsia" w:hAnsiTheme="minorEastAsia" w:eastAsiaTheme="minorEastAsia" w:cstheme="minorEastAsia"/>
                <w:color w:val="auto"/>
                <w:kern w:val="0"/>
                <w:sz w:val="21"/>
                <w:szCs w:val="21"/>
                <w:highlight w:val="none"/>
              </w:rPr>
              <w:t>售后服务</w:t>
            </w:r>
          </w:p>
        </w:tc>
        <w:tc>
          <w:tcPr>
            <w:tcW w:w="7050" w:type="dxa"/>
            <w:vAlign w:val="center"/>
          </w:tcPr>
          <w:p w14:paraId="7430FA8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根据投标人对本项目承诺的售后服务方案（包括后续技术支持、服务承诺及响应情况）进行打分。</w:t>
            </w:r>
          </w:p>
          <w:p w14:paraId="0D6E131D">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提供的优惠条件后续技术力量有利于项目实施、服务承诺切实有效的得</w:t>
            </w:r>
            <w:r>
              <w:rPr>
                <w:rFonts w:hint="eastAsia" w:asciiTheme="minorEastAsia" w:hAnsiTheme="minorEastAsia" w:eastAsiaTheme="minorEastAsia" w:cstheme="minorEastAsia"/>
                <w:color w:val="auto"/>
                <w:sz w:val="21"/>
                <w:szCs w:val="21"/>
                <w:highlight w:val="none"/>
                <w:lang w:val="en-US" w:eastAsia="zh-CN"/>
              </w:rPr>
              <w:t>5</w:t>
            </w:r>
            <w:r>
              <w:rPr>
                <w:rFonts w:hint="eastAsia" w:asciiTheme="minorEastAsia" w:hAnsiTheme="minorEastAsia" w:eastAsiaTheme="minorEastAsia" w:cstheme="minorEastAsia"/>
                <w:color w:val="auto"/>
                <w:sz w:val="21"/>
                <w:szCs w:val="21"/>
                <w:highlight w:val="none"/>
              </w:rPr>
              <w:t>分；</w:t>
            </w:r>
          </w:p>
          <w:p w14:paraId="7D801648">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提供的优惠条件后续技术力量</w:t>
            </w:r>
            <w:r>
              <w:rPr>
                <w:rFonts w:hint="eastAsia" w:asciiTheme="minorEastAsia" w:hAnsiTheme="minorEastAsia" w:eastAsiaTheme="minorEastAsia" w:cstheme="minorEastAsia"/>
                <w:color w:val="auto"/>
                <w:sz w:val="21"/>
                <w:szCs w:val="21"/>
                <w:highlight w:val="none"/>
                <w:lang w:val="en-US" w:eastAsia="zh-CN"/>
              </w:rPr>
              <w:t>基本保障</w:t>
            </w:r>
            <w:r>
              <w:rPr>
                <w:rFonts w:hint="eastAsia" w:asciiTheme="minorEastAsia" w:hAnsiTheme="minorEastAsia" w:eastAsiaTheme="minorEastAsia" w:cstheme="minorEastAsia"/>
                <w:color w:val="auto"/>
                <w:sz w:val="21"/>
                <w:szCs w:val="21"/>
                <w:highlight w:val="none"/>
              </w:rPr>
              <w:t>项目实施、服务承诺</w:t>
            </w:r>
            <w:r>
              <w:rPr>
                <w:rFonts w:hint="eastAsia" w:asciiTheme="minorEastAsia" w:hAnsiTheme="minorEastAsia" w:eastAsiaTheme="minorEastAsia" w:cstheme="minorEastAsia"/>
                <w:color w:val="auto"/>
                <w:sz w:val="21"/>
                <w:szCs w:val="21"/>
                <w:highlight w:val="none"/>
                <w:lang w:val="en-US" w:eastAsia="zh-CN"/>
              </w:rPr>
              <w:t>基本</w:t>
            </w:r>
            <w:r>
              <w:rPr>
                <w:rFonts w:hint="eastAsia" w:asciiTheme="minorEastAsia" w:hAnsiTheme="minorEastAsia" w:eastAsiaTheme="minorEastAsia" w:cstheme="minorEastAsia"/>
                <w:color w:val="auto"/>
                <w:sz w:val="21"/>
                <w:szCs w:val="21"/>
                <w:highlight w:val="none"/>
              </w:rPr>
              <w:t>切实有效的得</w:t>
            </w:r>
            <w:r>
              <w:rPr>
                <w:rFonts w:hint="eastAsia" w:asciiTheme="minorEastAsia" w:hAnsiTheme="minorEastAsia" w:eastAsiaTheme="minorEastAsia" w:cstheme="minorEastAsia"/>
                <w:color w:val="auto"/>
                <w:sz w:val="21"/>
                <w:szCs w:val="21"/>
                <w:highlight w:val="none"/>
                <w:lang w:val="en-US" w:eastAsia="zh-CN"/>
              </w:rPr>
              <w:t>3</w:t>
            </w:r>
            <w:r>
              <w:rPr>
                <w:rFonts w:hint="eastAsia" w:asciiTheme="minorEastAsia" w:hAnsiTheme="minorEastAsia" w:eastAsiaTheme="minorEastAsia" w:cstheme="minorEastAsia"/>
                <w:color w:val="auto"/>
                <w:sz w:val="21"/>
                <w:szCs w:val="21"/>
                <w:highlight w:val="none"/>
              </w:rPr>
              <w:t>分；</w:t>
            </w:r>
          </w:p>
          <w:p w14:paraId="15F687C6">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rPr>
            </w:pPr>
            <w:r>
              <w:rPr>
                <w:rFonts w:hint="eastAsia" w:asciiTheme="minorEastAsia" w:hAnsiTheme="minorEastAsia" w:eastAsiaTheme="minorEastAsia" w:cstheme="minorEastAsia"/>
                <w:color w:val="auto"/>
                <w:sz w:val="21"/>
                <w:szCs w:val="21"/>
                <w:highlight w:val="none"/>
              </w:rPr>
              <w:t>提供的服务承诺片面，项目实施</w:t>
            </w:r>
            <w:r>
              <w:rPr>
                <w:rFonts w:hint="eastAsia" w:asciiTheme="minorEastAsia" w:hAnsiTheme="minorEastAsia" w:eastAsiaTheme="minorEastAsia" w:cstheme="minorEastAsia"/>
                <w:color w:val="auto"/>
                <w:sz w:val="21"/>
                <w:szCs w:val="21"/>
                <w:highlight w:val="none"/>
                <w:lang w:val="en-US" w:eastAsia="zh-CN"/>
              </w:rPr>
              <w:t>保障有所欠缺</w:t>
            </w:r>
            <w:r>
              <w:rPr>
                <w:rFonts w:hint="eastAsia" w:asciiTheme="minorEastAsia" w:hAnsiTheme="minorEastAsia" w:eastAsiaTheme="minorEastAsia" w:cstheme="minorEastAsia"/>
                <w:color w:val="auto"/>
                <w:sz w:val="21"/>
                <w:szCs w:val="21"/>
                <w:highlight w:val="none"/>
              </w:rPr>
              <w:t>的得</w:t>
            </w:r>
            <w:r>
              <w:rPr>
                <w:rFonts w:hint="eastAsia" w:asciiTheme="minorEastAsia" w:hAnsiTheme="minorEastAsia" w:eastAsiaTheme="minorEastAsia" w:cstheme="minorEastAsia"/>
                <w:color w:val="auto"/>
                <w:sz w:val="21"/>
                <w:szCs w:val="21"/>
                <w:highlight w:val="none"/>
                <w:lang w:val="en-US" w:eastAsia="zh-CN"/>
              </w:rPr>
              <w:t>1</w:t>
            </w:r>
            <w:r>
              <w:rPr>
                <w:rFonts w:hint="eastAsia" w:asciiTheme="minorEastAsia" w:hAnsiTheme="minorEastAsia" w:eastAsiaTheme="minorEastAsia" w:cstheme="minorEastAsia"/>
                <w:color w:val="auto"/>
                <w:sz w:val="21"/>
                <w:szCs w:val="21"/>
                <w:highlight w:val="none"/>
              </w:rPr>
              <w:t>分；</w:t>
            </w:r>
          </w:p>
          <w:p w14:paraId="6C4CF2AF">
            <w:pPr>
              <w:keepNext w:val="0"/>
              <w:keepLines w:val="0"/>
              <w:pageBreakBefore w:val="0"/>
              <w:widowControl/>
              <w:kinsoku/>
              <w:wordWrap/>
              <w:overflowPunct/>
              <w:topLinePunct w:val="0"/>
              <w:autoSpaceDE/>
              <w:autoSpaceDN/>
              <w:bidi w:val="0"/>
              <w:adjustRightInd/>
              <w:snapToGrid/>
              <w:spacing w:line="240" w:lineRule="auto"/>
              <w:textAlignment w:val="auto"/>
              <w:rPr>
                <w:rFonts w:hint="eastAsia" w:asciiTheme="minorEastAsia" w:hAnsiTheme="minorEastAsia" w:eastAsiaTheme="minorEastAsia" w:cstheme="minorEastAsia"/>
                <w:color w:val="auto"/>
                <w:sz w:val="21"/>
                <w:szCs w:val="21"/>
                <w:highlight w:val="none"/>
                <w:lang w:val="en-US" w:eastAsia="zh-CN"/>
              </w:rPr>
            </w:pPr>
            <w:r>
              <w:rPr>
                <w:rFonts w:hint="eastAsia" w:asciiTheme="minorEastAsia" w:hAnsiTheme="minorEastAsia" w:eastAsiaTheme="minorEastAsia" w:cstheme="minorEastAsia"/>
                <w:color w:val="auto"/>
                <w:sz w:val="21"/>
                <w:szCs w:val="21"/>
                <w:highlight w:val="none"/>
              </w:rPr>
              <w:t>未提及此项不得分。</w:t>
            </w:r>
          </w:p>
        </w:tc>
        <w:tc>
          <w:tcPr>
            <w:tcW w:w="578" w:type="dxa"/>
            <w:vAlign w:val="center"/>
          </w:tcPr>
          <w:p w14:paraId="0FA6D06F">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eastAsia="宋体" w:cs="新宋体"/>
                <w:b w:val="0"/>
                <w:bCs w:val="0"/>
                <w:color w:val="auto"/>
                <w:kern w:val="2"/>
                <w:sz w:val="21"/>
                <w:szCs w:val="21"/>
                <w:highlight w:val="none"/>
                <w:lang w:val="en-US" w:eastAsia="zh-CN" w:bidi="ar-SA"/>
              </w:rPr>
            </w:pPr>
            <w:r>
              <w:rPr>
                <w:rFonts w:hint="eastAsia" w:ascii="宋体" w:hAnsi="宋体" w:cs="新宋体" w:eastAsiaTheme="minorEastAsia"/>
                <w:color w:val="auto"/>
                <w:szCs w:val="21"/>
                <w:highlight w:val="none"/>
                <w:lang w:val="en-US" w:eastAsia="zh-CN"/>
              </w:rPr>
              <w:t>5</w:t>
            </w:r>
          </w:p>
        </w:tc>
        <w:tc>
          <w:tcPr>
            <w:tcW w:w="643" w:type="dxa"/>
            <w:vAlign w:val="center"/>
          </w:tcPr>
          <w:p w14:paraId="27043330">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cs="新宋体" w:eastAsiaTheme="minorEastAsia"/>
                <w:color w:val="auto"/>
                <w:szCs w:val="21"/>
                <w:highlight w:val="none"/>
                <w:lang w:val="en-US" w:eastAsia="zh-CN"/>
              </w:rPr>
            </w:pPr>
          </w:p>
        </w:tc>
        <w:tc>
          <w:tcPr>
            <w:tcW w:w="742" w:type="dxa"/>
            <w:vAlign w:val="center"/>
          </w:tcPr>
          <w:p w14:paraId="3CFBEE97">
            <w:pPr>
              <w:keepNext w:val="0"/>
              <w:keepLines w:val="0"/>
              <w:pageBreakBefore w:val="0"/>
              <w:widowControl/>
              <w:tabs>
                <w:tab w:val="left" w:pos="780"/>
              </w:tabs>
              <w:kinsoku/>
              <w:wordWrap/>
              <w:overflowPunct/>
              <w:topLinePunct w:val="0"/>
              <w:autoSpaceDE/>
              <w:autoSpaceDN/>
              <w:bidi w:val="0"/>
              <w:adjustRightInd/>
              <w:snapToGrid/>
              <w:jc w:val="center"/>
              <w:textAlignment w:val="auto"/>
              <w:rPr>
                <w:rFonts w:hint="eastAsia" w:ascii="宋体" w:hAnsi="宋体" w:cs="新宋体" w:eastAsiaTheme="minorEastAsia"/>
                <w:color w:val="auto"/>
                <w:szCs w:val="21"/>
                <w:highlight w:val="none"/>
                <w:lang w:val="en-US" w:eastAsia="zh-CN"/>
              </w:rPr>
            </w:pPr>
          </w:p>
        </w:tc>
      </w:tr>
    </w:tbl>
    <w:p w14:paraId="7126021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3CF00AC0">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7</w:t>
      </w:r>
      <w:r>
        <w:rPr>
          <w:rFonts w:hint="eastAsia" w:ascii="宋体" w:hAnsi="宋体" w:eastAsia="宋体" w:cs="宋体"/>
          <w:b/>
          <w:color w:val="auto"/>
          <w:sz w:val="28"/>
          <w:highlight w:val="none"/>
        </w:rPr>
        <w:t xml:space="preserve">      </w:t>
      </w:r>
    </w:p>
    <w:p w14:paraId="20B9D16B">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
          <w:color w:val="auto"/>
          <w:kern w:val="2"/>
          <w:sz w:val="32"/>
          <w:szCs w:val="32"/>
          <w:highlight w:val="none"/>
          <w:lang w:val="en-US" w:eastAsia="zh-CN" w:bidi="ar-SA"/>
        </w:rPr>
      </w:pPr>
      <w:r>
        <w:rPr>
          <w:rFonts w:hint="eastAsia" w:ascii="宋体" w:hAnsi="宋体" w:eastAsia="宋体" w:cs="宋体"/>
          <w:b/>
          <w:color w:val="auto"/>
          <w:sz w:val="32"/>
          <w:szCs w:val="32"/>
          <w:highlight w:val="none"/>
        </w:rPr>
        <w:t xml:space="preserve"> </w:t>
      </w:r>
      <w:r>
        <w:rPr>
          <w:rFonts w:hint="eastAsia" w:ascii="宋体" w:hAnsi="宋体" w:eastAsia="宋体" w:cs="宋体"/>
          <w:b/>
          <w:color w:val="auto"/>
          <w:sz w:val="21"/>
          <w:szCs w:val="21"/>
          <w:highlight w:val="none"/>
        </w:rPr>
        <w:t xml:space="preserve"> </w:t>
      </w:r>
      <w:r>
        <w:rPr>
          <w:rFonts w:hint="eastAsia" w:ascii="宋体" w:hAnsi="宋体" w:eastAsia="宋体" w:cs="宋体"/>
          <w:b/>
          <w:color w:val="auto"/>
          <w:kern w:val="2"/>
          <w:sz w:val="32"/>
          <w:szCs w:val="32"/>
          <w:highlight w:val="none"/>
          <w:lang w:val="en-US" w:eastAsia="zh-CN" w:bidi="ar-SA"/>
        </w:rPr>
        <w:t>供应商基本情况表</w:t>
      </w:r>
    </w:p>
    <w:tbl>
      <w:tblPr>
        <w:tblStyle w:val="22"/>
        <w:tblW w:w="881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7"/>
        <w:gridCol w:w="669"/>
        <w:gridCol w:w="709"/>
        <w:gridCol w:w="286"/>
        <w:gridCol w:w="935"/>
        <w:gridCol w:w="112"/>
        <w:gridCol w:w="1093"/>
        <w:gridCol w:w="325"/>
        <w:gridCol w:w="1276"/>
        <w:gridCol w:w="400"/>
        <w:gridCol w:w="1218"/>
        <w:gridCol w:w="933"/>
      </w:tblGrid>
      <w:tr w14:paraId="0FA5E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857" w:type="dxa"/>
            <w:noWrap w:val="0"/>
            <w:vAlign w:val="top"/>
          </w:tcPr>
          <w:p w14:paraId="6F32290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企业名称</w:t>
            </w:r>
          </w:p>
        </w:tc>
        <w:tc>
          <w:tcPr>
            <w:tcW w:w="3804" w:type="dxa"/>
            <w:gridSpan w:val="6"/>
            <w:noWrap w:val="0"/>
            <w:vAlign w:val="top"/>
          </w:tcPr>
          <w:p w14:paraId="6733352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001" w:type="dxa"/>
            <w:gridSpan w:val="3"/>
            <w:noWrap w:val="0"/>
            <w:vAlign w:val="top"/>
          </w:tcPr>
          <w:p w14:paraId="707D7FA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lang w:eastAsia="zh-CN"/>
              </w:rPr>
              <w:t>法定代表人</w:t>
            </w:r>
            <w:r>
              <w:rPr>
                <w:rFonts w:hint="eastAsia" w:ascii="宋体" w:hAnsi="宋体" w:eastAsia="宋体" w:cs="宋体"/>
                <w:bCs/>
                <w:color w:val="auto"/>
                <w:spacing w:val="16"/>
                <w:sz w:val="21"/>
                <w:szCs w:val="21"/>
                <w:highlight w:val="none"/>
              </w:rPr>
              <w:t>代表</w:t>
            </w:r>
          </w:p>
        </w:tc>
        <w:tc>
          <w:tcPr>
            <w:tcW w:w="2151" w:type="dxa"/>
            <w:gridSpan w:val="2"/>
            <w:noWrap w:val="0"/>
            <w:vAlign w:val="top"/>
          </w:tcPr>
          <w:p w14:paraId="0E11CE2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759D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5" w:hRule="atLeast"/>
        </w:trPr>
        <w:tc>
          <w:tcPr>
            <w:tcW w:w="857" w:type="dxa"/>
            <w:noWrap w:val="0"/>
            <w:vAlign w:val="top"/>
          </w:tcPr>
          <w:p w14:paraId="12CA6F3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地址</w:t>
            </w:r>
          </w:p>
        </w:tc>
        <w:tc>
          <w:tcPr>
            <w:tcW w:w="3804" w:type="dxa"/>
            <w:gridSpan w:val="6"/>
            <w:tcBorders>
              <w:bottom w:val="single" w:color="auto" w:sz="4" w:space="0"/>
            </w:tcBorders>
            <w:noWrap w:val="0"/>
            <w:vAlign w:val="top"/>
          </w:tcPr>
          <w:p w14:paraId="7B652F3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59DC11B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企业性质</w:t>
            </w:r>
          </w:p>
        </w:tc>
        <w:tc>
          <w:tcPr>
            <w:tcW w:w="2151" w:type="dxa"/>
            <w:gridSpan w:val="2"/>
            <w:noWrap w:val="0"/>
            <w:vAlign w:val="top"/>
          </w:tcPr>
          <w:p w14:paraId="7D25CB6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19A1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trPr>
        <w:tc>
          <w:tcPr>
            <w:tcW w:w="857" w:type="dxa"/>
            <w:tcBorders>
              <w:bottom w:val="single" w:color="auto" w:sz="4" w:space="0"/>
            </w:tcBorders>
            <w:noWrap w:val="0"/>
            <w:vAlign w:val="top"/>
          </w:tcPr>
          <w:p w14:paraId="1CAA9CA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股东姓名</w:t>
            </w:r>
          </w:p>
        </w:tc>
        <w:tc>
          <w:tcPr>
            <w:tcW w:w="669" w:type="dxa"/>
            <w:tcBorders>
              <w:bottom w:val="single" w:color="auto" w:sz="4" w:space="0"/>
            </w:tcBorders>
            <w:noWrap w:val="0"/>
            <w:vAlign w:val="top"/>
          </w:tcPr>
          <w:p w14:paraId="42506653">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6D66E81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股权结构（%）</w:t>
            </w:r>
          </w:p>
        </w:tc>
        <w:tc>
          <w:tcPr>
            <w:tcW w:w="2140" w:type="dxa"/>
            <w:gridSpan w:val="3"/>
            <w:tcBorders>
              <w:bottom w:val="single" w:color="auto" w:sz="4" w:space="0"/>
            </w:tcBorders>
            <w:noWrap w:val="0"/>
            <w:vAlign w:val="top"/>
          </w:tcPr>
          <w:p w14:paraId="773F729D">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7286FBE3">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noWrap w:val="0"/>
            <w:vAlign w:val="top"/>
          </w:tcPr>
          <w:p w14:paraId="0A3BD50E">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股东关系</w:t>
            </w:r>
          </w:p>
        </w:tc>
        <w:tc>
          <w:tcPr>
            <w:tcW w:w="2151" w:type="dxa"/>
            <w:gridSpan w:val="2"/>
            <w:noWrap w:val="0"/>
            <w:vAlign w:val="top"/>
          </w:tcPr>
          <w:p w14:paraId="0B61A04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r>
      <w:tr w14:paraId="1B7175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atLeast"/>
        </w:trPr>
        <w:tc>
          <w:tcPr>
            <w:tcW w:w="857" w:type="dxa"/>
            <w:vMerge w:val="restart"/>
            <w:noWrap w:val="0"/>
            <w:vAlign w:val="top"/>
          </w:tcPr>
          <w:p w14:paraId="1B4AF9C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联系人</w:t>
            </w:r>
            <w:r>
              <w:rPr>
                <w:rFonts w:hint="eastAsia" w:ascii="宋体" w:hAnsi="宋体" w:eastAsia="宋体" w:cs="宋体"/>
                <w:bCs/>
                <w:color w:val="auto"/>
                <w:spacing w:val="27"/>
                <w:sz w:val="21"/>
                <w:szCs w:val="21"/>
                <w:highlight w:val="none"/>
              </w:rPr>
              <w:t>姓名</w:t>
            </w:r>
          </w:p>
        </w:tc>
        <w:tc>
          <w:tcPr>
            <w:tcW w:w="669" w:type="dxa"/>
            <w:vMerge w:val="restart"/>
            <w:tcBorders>
              <w:top w:val="nil"/>
            </w:tcBorders>
            <w:noWrap w:val="0"/>
            <w:vAlign w:val="top"/>
          </w:tcPr>
          <w:p w14:paraId="4AF740D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top w:val="nil"/>
              <w:bottom w:val="single" w:color="auto" w:sz="4" w:space="0"/>
            </w:tcBorders>
            <w:noWrap w:val="0"/>
            <w:vAlign w:val="top"/>
          </w:tcPr>
          <w:p w14:paraId="0258D99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固定电话</w:t>
            </w:r>
          </w:p>
        </w:tc>
        <w:tc>
          <w:tcPr>
            <w:tcW w:w="2140" w:type="dxa"/>
            <w:gridSpan w:val="3"/>
            <w:tcBorders>
              <w:top w:val="nil"/>
              <w:bottom w:val="single" w:color="auto" w:sz="4" w:space="0"/>
            </w:tcBorders>
            <w:noWrap w:val="0"/>
            <w:vAlign w:val="top"/>
          </w:tcPr>
          <w:p w14:paraId="658D484E">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0A953B4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restart"/>
            <w:noWrap w:val="0"/>
            <w:vAlign w:val="top"/>
          </w:tcPr>
          <w:p w14:paraId="52D2AA9C">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传真</w:t>
            </w:r>
          </w:p>
        </w:tc>
        <w:tc>
          <w:tcPr>
            <w:tcW w:w="2151" w:type="dxa"/>
            <w:gridSpan w:val="2"/>
            <w:vMerge w:val="restart"/>
            <w:noWrap w:val="0"/>
            <w:vAlign w:val="top"/>
          </w:tcPr>
          <w:p w14:paraId="27896EDE">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3949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857" w:type="dxa"/>
            <w:vMerge w:val="continue"/>
            <w:tcBorders>
              <w:bottom w:val="single" w:color="auto" w:sz="4" w:space="0"/>
            </w:tcBorders>
            <w:noWrap w:val="0"/>
            <w:vAlign w:val="top"/>
          </w:tcPr>
          <w:p w14:paraId="0A3B858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vMerge w:val="continue"/>
            <w:tcBorders>
              <w:bottom w:val="single" w:color="auto" w:sz="4" w:space="0"/>
            </w:tcBorders>
            <w:noWrap w:val="0"/>
            <w:vAlign w:val="top"/>
          </w:tcPr>
          <w:p w14:paraId="62F2DE14">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95" w:type="dxa"/>
            <w:gridSpan w:val="2"/>
            <w:tcBorders>
              <w:bottom w:val="single" w:color="auto" w:sz="4" w:space="0"/>
            </w:tcBorders>
            <w:noWrap w:val="0"/>
            <w:vAlign w:val="top"/>
          </w:tcPr>
          <w:p w14:paraId="287A37F7">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27"/>
                <w:sz w:val="21"/>
                <w:szCs w:val="21"/>
                <w:highlight w:val="none"/>
              </w:rPr>
              <w:t>手机</w:t>
            </w:r>
          </w:p>
        </w:tc>
        <w:tc>
          <w:tcPr>
            <w:tcW w:w="2140" w:type="dxa"/>
            <w:gridSpan w:val="3"/>
            <w:tcBorders>
              <w:bottom w:val="single" w:color="auto" w:sz="4" w:space="0"/>
            </w:tcBorders>
            <w:noWrap w:val="0"/>
            <w:vAlign w:val="top"/>
          </w:tcPr>
          <w:p w14:paraId="649844D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vMerge w:val="continue"/>
            <w:tcBorders>
              <w:bottom w:val="single" w:color="auto" w:sz="4" w:space="0"/>
            </w:tcBorders>
            <w:noWrap w:val="0"/>
            <w:vAlign w:val="top"/>
          </w:tcPr>
          <w:p w14:paraId="31D23AB8">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151" w:type="dxa"/>
            <w:gridSpan w:val="2"/>
            <w:vMerge w:val="continue"/>
            <w:tcBorders>
              <w:bottom w:val="single" w:color="auto" w:sz="4" w:space="0"/>
            </w:tcBorders>
            <w:noWrap w:val="0"/>
            <w:vAlign w:val="top"/>
          </w:tcPr>
          <w:p w14:paraId="3E1BA89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1D720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trPr>
        <w:tc>
          <w:tcPr>
            <w:tcW w:w="857" w:type="dxa"/>
            <w:vMerge w:val="restart"/>
            <w:tcBorders>
              <w:top w:val="single" w:color="auto" w:sz="4" w:space="0"/>
            </w:tcBorders>
            <w:noWrap w:val="0"/>
            <w:vAlign w:val="top"/>
          </w:tcPr>
          <w:p w14:paraId="229F489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一、</w:t>
            </w:r>
          </w:p>
          <w:p w14:paraId="7016138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企</w:t>
            </w:r>
          </w:p>
          <w:p w14:paraId="05D605E6">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业</w:t>
            </w:r>
          </w:p>
          <w:p w14:paraId="006B91B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r>
              <w:rPr>
                <w:rFonts w:hint="eastAsia" w:ascii="宋体" w:hAnsi="宋体" w:eastAsia="宋体" w:cs="宋体"/>
                <w:bCs/>
                <w:color w:val="auto"/>
                <w:spacing w:val="27"/>
                <w:sz w:val="21"/>
                <w:szCs w:val="21"/>
                <w:highlight w:val="none"/>
              </w:rPr>
              <w:t>概</w:t>
            </w:r>
          </w:p>
          <w:p w14:paraId="72CC105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况</w:t>
            </w:r>
          </w:p>
        </w:tc>
        <w:tc>
          <w:tcPr>
            <w:tcW w:w="669" w:type="dxa"/>
            <w:tcBorders>
              <w:top w:val="single" w:color="auto" w:sz="4" w:space="0"/>
            </w:tcBorders>
            <w:noWrap w:val="0"/>
            <w:vAlign w:val="top"/>
          </w:tcPr>
          <w:p w14:paraId="3B244C6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职工人数</w:t>
            </w:r>
          </w:p>
        </w:tc>
        <w:tc>
          <w:tcPr>
            <w:tcW w:w="995" w:type="dxa"/>
            <w:gridSpan w:val="2"/>
            <w:tcBorders>
              <w:top w:val="single" w:color="auto" w:sz="4" w:space="0"/>
            </w:tcBorders>
            <w:noWrap w:val="0"/>
            <w:vAlign w:val="top"/>
          </w:tcPr>
          <w:p w14:paraId="2AF778F6">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935" w:type="dxa"/>
            <w:tcBorders>
              <w:top w:val="single" w:color="auto" w:sz="4" w:space="0"/>
            </w:tcBorders>
            <w:noWrap w:val="0"/>
            <w:vAlign w:val="top"/>
          </w:tcPr>
          <w:p w14:paraId="7FCC3021">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8"/>
                <w:sz w:val="21"/>
                <w:szCs w:val="21"/>
                <w:highlight w:val="none"/>
              </w:rPr>
              <w:t>具备大专以</w:t>
            </w:r>
            <w:r>
              <w:rPr>
                <w:rFonts w:hint="eastAsia" w:ascii="宋体" w:hAnsi="宋体" w:eastAsia="宋体" w:cs="宋体"/>
                <w:bCs/>
                <w:color w:val="auto"/>
                <w:spacing w:val="12"/>
                <w:sz w:val="21"/>
                <w:szCs w:val="21"/>
                <w:highlight w:val="none"/>
              </w:rPr>
              <w:t>上学历人数</w:t>
            </w:r>
          </w:p>
        </w:tc>
        <w:tc>
          <w:tcPr>
            <w:tcW w:w="1205" w:type="dxa"/>
            <w:gridSpan w:val="2"/>
            <w:tcBorders>
              <w:top w:val="single" w:color="auto" w:sz="4" w:space="0"/>
            </w:tcBorders>
            <w:noWrap w:val="0"/>
            <w:vAlign w:val="top"/>
          </w:tcPr>
          <w:p w14:paraId="441F1CB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3633B9C4">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2F72D7F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c>
          <w:tcPr>
            <w:tcW w:w="2001" w:type="dxa"/>
            <w:gridSpan w:val="3"/>
            <w:tcBorders>
              <w:top w:val="single" w:color="auto" w:sz="4" w:space="0"/>
            </w:tcBorders>
            <w:noWrap w:val="0"/>
            <w:vAlign w:val="top"/>
          </w:tcPr>
          <w:p w14:paraId="5595F1F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65"/>
                <w:sz w:val="21"/>
                <w:szCs w:val="21"/>
                <w:highlight w:val="none"/>
              </w:rPr>
              <w:t>国家授予技</w:t>
            </w:r>
            <w:r>
              <w:rPr>
                <w:rFonts w:hint="eastAsia" w:ascii="宋体" w:hAnsi="宋体" w:eastAsia="宋体" w:cs="宋体"/>
                <w:bCs/>
                <w:color w:val="auto"/>
                <w:spacing w:val="12"/>
                <w:sz w:val="21"/>
                <w:szCs w:val="21"/>
                <w:highlight w:val="none"/>
              </w:rPr>
              <w:t>术职称人数</w:t>
            </w:r>
          </w:p>
        </w:tc>
        <w:tc>
          <w:tcPr>
            <w:tcW w:w="2151" w:type="dxa"/>
            <w:gridSpan w:val="2"/>
            <w:tcBorders>
              <w:top w:val="single" w:color="auto" w:sz="4" w:space="0"/>
            </w:tcBorders>
            <w:noWrap w:val="0"/>
            <w:vAlign w:val="top"/>
          </w:tcPr>
          <w:p w14:paraId="32613AF3">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pacing w:val="16"/>
                <w:kern w:val="0"/>
                <w:sz w:val="21"/>
                <w:szCs w:val="21"/>
                <w:highlight w:val="none"/>
              </w:rPr>
            </w:pPr>
          </w:p>
          <w:p w14:paraId="5E6BFC89">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268086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8" w:hRule="atLeast"/>
        </w:trPr>
        <w:tc>
          <w:tcPr>
            <w:tcW w:w="857" w:type="dxa"/>
            <w:vMerge w:val="continue"/>
            <w:noWrap w:val="0"/>
            <w:vAlign w:val="top"/>
          </w:tcPr>
          <w:p w14:paraId="6572653C">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5CA1CF42">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占地面积</w:t>
            </w:r>
          </w:p>
        </w:tc>
        <w:tc>
          <w:tcPr>
            <w:tcW w:w="995" w:type="dxa"/>
            <w:gridSpan w:val="2"/>
            <w:noWrap w:val="0"/>
            <w:vAlign w:val="top"/>
          </w:tcPr>
          <w:p w14:paraId="7FC0D3D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935" w:type="dxa"/>
            <w:noWrap w:val="0"/>
            <w:vAlign w:val="top"/>
          </w:tcPr>
          <w:p w14:paraId="429184B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建筑面积</w:t>
            </w:r>
          </w:p>
        </w:tc>
        <w:tc>
          <w:tcPr>
            <w:tcW w:w="1205" w:type="dxa"/>
            <w:gridSpan w:val="2"/>
            <w:noWrap w:val="0"/>
            <w:vAlign w:val="top"/>
          </w:tcPr>
          <w:p w14:paraId="0C50601B">
            <w:pPr>
              <w:pStyle w:val="40"/>
              <w:keepNext w:val="0"/>
              <w:keepLines w:val="0"/>
              <w:pageBreakBefore w:val="0"/>
              <w:shd w:val="clear" w:color="auto" w:fill="FFFFFF"/>
              <w:kinsoku/>
              <w:overflowPunct/>
              <w:topLinePunct w:val="0"/>
              <w:bidi w:val="0"/>
              <w:spacing w:line="360" w:lineRule="auto"/>
              <w:ind w:firstLine="420" w:firstLineChars="200"/>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平方米 </w:t>
            </w:r>
          </w:p>
          <w:p w14:paraId="45476C3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□自有□租賃</w:t>
            </w:r>
          </w:p>
        </w:tc>
        <w:tc>
          <w:tcPr>
            <w:tcW w:w="2001" w:type="dxa"/>
            <w:gridSpan w:val="3"/>
            <w:noWrap w:val="0"/>
            <w:vAlign w:val="top"/>
          </w:tcPr>
          <w:p w14:paraId="45452F15">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生产经营场所及场所的设施与设备</w:t>
            </w:r>
          </w:p>
        </w:tc>
        <w:tc>
          <w:tcPr>
            <w:tcW w:w="2151" w:type="dxa"/>
            <w:gridSpan w:val="2"/>
            <w:noWrap w:val="0"/>
            <w:vAlign w:val="top"/>
          </w:tcPr>
          <w:p w14:paraId="200F0AD9">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p>
        </w:tc>
      </w:tr>
      <w:tr w14:paraId="1BC5B1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857" w:type="dxa"/>
            <w:vMerge w:val="continue"/>
            <w:noWrap w:val="0"/>
            <w:vAlign w:val="top"/>
          </w:tcPr>
          <w:p w14:paraId="02CA221D">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1458E5EE">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注册资金</w:t>
            </w:r>
          </w:p>
        </w:tc>
        <w:tc>
          <w:tcPr>
            <w:tcW w:w="995" w:type="dxa"/>
            <w:gridSpan w:val="2"/>
            <w:noWrap w:val="0"/>
            <w:vAlign w:val="top"/>
          </w:tcPr>
          <w:p w14:paraId="3CD67784">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p>
        </w:tc>
        <w:tc>
          <w:tcPr>
            <w:tcW w:w="935" w:type="dxa"/>
            <w:noWrap w:val="0"/>
            <w:vAlign w:val="top"/>
          </w:tcPr>
          <w:p w14:paraId="32C377C5">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注册发证</w:t>
            </w:r>
            <w:r>
              <w:rPr>
                <w:rFonts w:hint="eastAsia" w:ascii="宋体" w:hAnsi="宋体" w:eastAsia="宋体" w:cs="宋体"/>
                <w:bCs/>
                <w:color w:val="auto"/>
                <w:spacing w:val="27"/>
                <w:sz w:val="21"/>
                <w:szCs w:val="21"/>
                <w:highlight w:val="none"/>
              </w:rPr>
              <w:t>机关</w:t>
            </w:r>
          </w:p>
        </w:tc>
        <w:tc>
          <w:tcPr>
            <w:tcW w:w="3206" w:type="dxa"/>
            <w:gridSpan w:val="5"/>
            <w:noWrap w:val="0"/>
            <w:vAlign w:val="top"/>
          </w:tcPr>
          <w:p w14:paraId="01F4B146">
            <w:pPr>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kern w:val="0"/>
                <w:sz w:val="21"/>
                <w:szCs w:val="21"/>
                <w:highlight w:val="none"/>
              </w:rPr>
            </w:pPr>
          </w:p>
          <w:p w14:paraId="7836CB5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218" w:type="dxa"/>
            <w:noWrap w:val="0"/>
            <w:vAlign w:val="top"/>
          </w:tcPr>
          <w:p w14:paraId="56372090">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公司成</w:t>
            </w:r>
            <w:r>
              <w:rPr>
                <w:rFonts w:hint="eastAsia" w:ascii="宋体" w:hAnsi="宋体" w:eastAsia="宋体" w:cs="宋体"/>
                <w:bCs/>
                <w:color w:val="auto"/>
                <w:spacing w:val="12"/>
                <w:sz w:val="21"/>
                <w:szCs w:val="21"/>
                <w:highlight w:val="none"/>
              </w:rPr>
              <w:t>立时间</w:t>
            </w:r>
          </w:p>
        </w:tc>
        <w:tc>
          <w:tcPr>
            <w:tcW w:w="933" w:type="dxa"/>
            <w:noWrap w:val="0"/>
            <w:vAlign w:val="top"/>
          </w:tcPr>
          <w:p w14:paraId="0CF50CC1">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091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trPr>
        <w:tc>
          <w:tcPr>
            <w:tcW w:w="857" w:type="dxa"/>
            <w:vMerge w:val="continue"/>
            <w:noWrap w:val="0"/>
            <w:vAlign w:val="top"/>
          </w:tcPr>
          <w:p w14:paraId="2CA14DDB">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669" w:type="dxa"/>
            <w:noWrap w:val="0"/>
            <w:vAlign w:val="top"/>
          </w:tcPr>
          <w:p w14:paraId="7F0ECB00">
            <w:pPr>
              <w:pStyle w:val="40"/>
              <w:keepNext w:val="0"/>
              <w:keepLines w:val="0"/>
              <w:pageBreakBefore w:val="0"/>
              <w:shd w:val="clear" w:color="auto" w:fill="FFFFFF"/>
              <w:kinsoku/>
              <w:overflowPunct/>
              <w:topLinePunct w:val="0"/>
              <w:bidi w:val="0"/>
              <w:spacing w:line="360" w:lineRule="auto"/>
              <w:ind w:left="2"/>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核准经营范围</w:t>
            </w:r>
          </w:p>
        </w:tc>
        <w:tc>
          <w:tcPr>
            <w:tcW w:w="7287" w:type="dxa"/>
            <w:gridSpan w:val="10"/>
            <w:noWrap w:val="0"/>
            <w:vAlign w:val="top"/>
          </w:tcPr>
          <w:p w14:paraId="06BF1F48">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r>
      <w:tr w14:paraId="6602C0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940" w:hRule="atLeast"/>
        </w:trPr>
        <w:tc>
          <w:tcPr>
            <w:tcW w:w="857" w:type="dxa"/>
            <w:vMerge w:val="continue"/>
            <w:noWrap w:val="0"/>
            <w:vAlign w:val="top"/>
          </w:tcPr>
          <w:p w14:paraId="6B155629">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7956" w:type="dxa"/>
            <w:gridSpan w:val="11"/>
            <w:noWrap w:val="0"/>
            <w:vAlign w:val="top"/>
          </w:tcPr>
          <w:p w14:paraId="2E08C46A">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3"/>
                <w:sz w:val="21"/>
                <w:szCs w:val="21"/>
                <w:highlight w:val="none"/>
              </w:rPr>
            </w:pPr>
            <w:r>
              <w:rPr>
                <w:rFonts w:hint="eastAsia" w:ascii="宋体" w:hAnsi="宋体" w:eastAsia="宋体" w:cs="宋体"/>
                <w:bCs/>
                <w:color w:val="auto"/>
                <w:spacing w:val="13"/>
                <w:sz w:val="21"/>
                <w:szCs w:val="21"/>
                <w:highlight w:val="none"/>
              </w:rPr>
              <w:t>发展历程及主要荣誉：</w:t>
            </w:r>
          </w:p>
        </w:tc>
      </w:tr>
      <w:tr w14:paraId="461321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857" w:type="dxa"/>
            <w:vMerge w:val="restart"/>
            <w:noWrap w:val="0"/>
            <w:vAlign w:val="top"/>
          </w:tcPr>
          <w:p w14:paraId="50E47759">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lang w:val="en-US" w:eastAsia="zh-CN"/>
              </w:rPr>
            </w:pPr>
            <w:r>
              <w:rPr>
                <w:rFonts w:hint="eastAsia" w:ascii="宋体" w:hAnsi="宋体" w:eastAsia="宋体" w:cs="宋体"/>
                <w:bCs/>
                <w:color w:val="auto"/>
                <w:sz w:val="21"/>
                <w:szCs w:val="21"/>
                <w:highlight w:val="none"/>
                <w:lang w:val="en-US" w:eastAsia="zh-CN"/>
              </w:rPr>
              <w:t>二、</w:t>
            </w:r>
          </w:p>
          <w:p w14:paraId="1FE12A17">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z w:val="21"/>
                <w:szCs w:val="21"/>
                <w:highlight w:val="none"/>
              </w:rPr>
              <w:t>企</w:t>
            </w:r>
            <w:r>
              <w:rPr>
                <w:rFonts w:hint="eastAsia" w:ascii="宋体" w:hAnsi="宋体" w:eastAsia="宋体" w:cs="宋体"/>
                <w:bCs/>
                <w:color w:val="auto"/>
                <w:spacing w:val="12"/>
                <w:sz w:val="21"/>
                <w:szCs w:val="21"/>
                <w:highlight w:val="none"/>
              </w:rPr>
              <w:t>业有关资质获证情况</w:t>
            </w:r>
          </w:p>
        </w:tc>
        <w:tc>
          <w:tcPr>
            <w:tcW w:w="1378" w:type="dxa"/>
            <w:gridSpan w:val="2"/>
            <w:vMerge w:val="restart"/>
            <w:noWrap w:val="0"/>
            <w:vAlign w:val="top"/>
          </w:tcPr>
          <w:p w14:paraId="20F3865B">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2"/>
                <w:sz w:val="21"/>
                <w:szCs w:val="21"/>
                <w:highlight w:val="none"/>
              </w:rPr>
              <w:t>产品生产许可证情况</w:t>
            </w:r>
            <w:r>
              <w:rPr>
                <w:rFonts w:hint="eastAsia" w:ascii="宋体" w:hAnsi="宋体" w:eastAsia="宋体" w:cs="宋体"/>
                <w:bCs/>
                <w:color w:val="auto"/>
                <w:spacing w:val="41"/>
                <w:sz w:val="21"/>
                <w:szCs w:val="21"/>
                <w:highlight w:val="none"/>
              </w:rPr>
              <w:t>（对需获得生产许可证的</w:t>
            </w:r>
            <w:r>
              <w:rPr>
                <w:rFonts w:hint="eastAsia" w:ascii="宋体" w:hAnsi="宋体" w:eastAsia="宋体" w:cs="宋体"/>
                <w:bCs/>
                <w:color w:val="auto"/>
                <w:spacing w:val="11"/>
                <w:sz w:val="21"/>
                <w:szCs w:val="21"/>
                <w:highlight w:val="none"/>
              </w:rPr>
              <w:t>产品要填写此栏）</w:t>
            </w:r>
          </w:p>
        </w:tc>
        <w:tc>
          <w:tcPr>
            <w:tcW w:w="1333" w:type="dxa"/>
            <w:gridSpan w:val="3"/>
            <w:noWrap w:val="0"/>
            <w:vAlign w:val="top"/>
          </w:tcPr>
          <w:p w14:paraId="4C46A6F0">
            <w:pPr>
              <w:pStyle w:val="40"/>
              <w:keepNext w:val="0"/>
              <w:keepLines w:val="0"/>
              <w:pageBreakBefore w:val="0"/>
              <w:shd w:val="clear" w:color="auto" w:fill="FFFFFF"/>
              <w:kinsoku/>
              <w:overflowPunct/>
              <w:topLinePunct w:val="0"/>
              <w:bidi w:val="0"/>
              <w:spacing w:line="360" w:lineRule="auto"/>
              <w:ind w:right="-78" w:rightChars="-37"/>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6"/>
                <w:sz w:val="21"/>
                <w:szCs w:val="21"/>
                <w:highlight w:val="none"/>
              </w:rPr>
              <w:t>产品名称</w:t>
            </w:r>
          </w:p>
        </w:tc>
        <w:tc>
          <w:tcPr>
            <w:tcW w:w="1418" w:type="dxa"/>
            <w:gridSpan w:val="2"/>
            <w:noWrap w:val="0"/>
            <w:vAlign w:val="top"/>
          </w:tcPr>
          <w:p w14:paraId="74E7A1AF">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发证机关</w:t>
            </w:r>
          </w:p>
        </w:tc>
        <w:tc>
          <w:tcPr>
            <w:tcW w:w="1276" w:type="dxa"/>
            <w:noWrap w:val="0"/>
            <w:vAlign w:val="top"/>
          </w:tcPr>
          <w:p w14:paraId="2622208D">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编号</w:t>
            </w:r>
          </w:p>
        </w:tc>
        <w:tc>
          <w:tcPr>
            <w:tcW w:w="1618" w:type="dxa"/>
            <w:gridSpan w:val="2"/>
            <w:noWrap w:val="0"/>
            <w:vAlign w:val="top"/>
          </w:tcPr>
          <w:p w14:paraId="0DDD0984">
            <w:pPr>
              <w:pStyle w:val="40"/>
              <w:keepNext w:val="0"/>
              <w:keepLines w:val="0"/>
              <w:pageBreakBefore w:val="0"/>
              <w:shd w:val="clear" w:color="auto" w:fill="FFFFFF"/>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16"/>
                <w:sz w:val="21"/>
                <w:szCs w:val="21"/>
                <w:highlight w:val="none"/>
              </w:rPr>
              <w:t>发证时间</w:t>
            </w:r>
          </w:p>
        </w:tc>
        <w:tc>
          <w:tcPr>
            <w:tcW w:w="933" w:type="dxa"/>
            <w:noWrap w:val="0"/>
            <w:vAlign w:val="top"/>
          </w:tcPr>
          <w:p w14:paraId="2ACD24D3">
            <w:pPr>
              <w:pStyle w:val="40"/>
              <w:keepNext w:val="0"/>
              <w:keepLines w:val="0"/>
              <w:pageBreakBefore w:val="0"/>
              <w:shd w:val="clear" w:color="auto" w:fill="FFFFFF"/>
              <w:kinsoku/>
              <w:overflowPunct/>
              <w:topLinePunct w:val="0"/>
              <w:bidi w:val="0"/>
              <w:spacing w:before="0" w:beforeAutospacing="0" w:after="0" w:afterAutospacing="0"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pacing w:val="27"/>
                <w:sz w:val="21"/>
                <w:szCs w:val="21"/>
                <w:highlight w:val="none"/>
              </w:rPr>
              <w:t>期限</w:t>
            </w:r>
          </w:p>
        </w:tc>
      </w:tr>
      <w:tr w14:paraId="7B8F25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857" w:type="dxa"/>
            <w:vMerge w:val="continue"/>
            <w:noWrap w:val="0"/>
            <w:vAlign w:val="top"/>
          </w:tcPr>
          <w:p w14:paraId="2402E2F4">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z w:val="21"/>
                <w:szCs w:val="21"/>
                <w:highlight w:val="none"/>
              </w:rPr>
            </w:pPr>
          </w:p>
        </w:tc>
        <w:tc>
          <w:tcPr>
            <w:tcW w:w="1378" w:type="dxa"/>
            <w:gridSpan w:val="2"/>
            <w:vMerge w:val="continue"/>
            <w:noWrap w:val="0"/>
            <w:vAlign w:val="top"/>
          </w:tcPr>
          <w:p w14:paraId="15B380FF">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33" w:type="dxa"/>
            <w:gridSpan w:val="3"/>
            <w:noWrap w:val="0"/>
            <w:vAlign w:val="top"/>
          </w:tcPr>
          <w:p w14:paraId="1D0A04F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418" w:type="dxa"/>
            <w:gridSpan w:val="2"/>
            <w:noWrap w:val="0"/>
            <w:vAlign w:val="top"/>
          </w:tcPr>
          <w:p w14:paraId="6CB09760">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276" w:type="dxa"/>
            <w:noWrap w:val="0"/>
            <w:vAlign w:val="top"/>
          </w:tcPr>
          <w:p w14:paraId="2A167AC1">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2551" w:type="dxa"/>
            <w:gridSpan w:val="3"/>
            <w:noWrap w:val="0"/>
            <w:vAlign w:val="top"/>
          </w:tcPr>
          <w:p w14:paraId="5977A6FC">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4D599E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0" w:hRule="atLeast"/>
        </w:trPr>
        <w:tc>
          <w:tcPr>
            <w:tcW w:w="857" w:type="dxa"/>
            <w:vMerge w:val="continue"/>
            <w:noWrap w:val="0"/>
            <w:vAlign w:val="top"/>
          </w:tcPr>
          <w:p w14:paraId="6E60FF0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16"/>
                <w:sz w:val="21"/>
                <w:szCs w:val="21"/>
                <w:highlight w:val="none"/>
              </w:rPr>
            </w:pPr>
          </w:p>
        </w:tc>
        <w:tc>
          <w:tcPr>
            <w:tcW w:w="1378" w:type="dxa"/>
            <w:gridSpan w:val="2"/>
            <w:noWrap w:val="0"/>
            <w:vAlign w:val="top"/>
          </w:tcPr>
          <w:p w14:paraId="2C1B97F8">
            <w:pPr>
              <w:pStyle w:val="40"/>
              <w:keepNext w:val="0"/>
              <w:keepLines w:val="0"/>
              <w:pageBreakBefore w:val="0"/>
              <w:shd w:val="clear" w:color="auto" w:fill="FFFFFF"/>
              <w:kinsoku/>
              <w:overflowPunct/>
              <w:topLinePunct w:val="0"/>
              <w:bidi w:val="0"/>
              <w:spacing w:before="0" w:beforeAutospacing="0" w:after="0" w:afterAutospacing="0" w:line="360" w:lineRule="auto"/>
              <w:ind w:right="-107" w:rightChars="-51"/>
              <w:outlineLvl w:val="9"/>
              <w:rPr>
                <w:rFonts w:hint="eastAsia" w:ascii="宋体" w:hAnsi="宋体" w:eastAsia="宋体" w:cs="宋体"/>
                <w:bCs/>
                <w:color w:val="auto"/>
                <w:spacing w:val="41"/>
                <w:sz w:val="21"/>
                <w:szCs w:val="21"/>
                <w:highlight w:val="none"/>
              </w:rPr>
            </w:pPr>
            <w:r>
              <w:rPr>
                <w:rFonts w:hint="eastAsia" w:ascii="宋体" w:hAnsi="宋体" w:eastAsia="宋体" w:cs="宋体"/>
                <w:bCs/>
                <w:color w:val="auto"/>
                <w:spacing w:val="41"/>
                <w:sz w:val="21"/>
                <w:szCs w:val="21"/>
                <w:highlight w:val="none"/>
              </w:rPr>
              <w:t>企业通过质量体系、环保</w:t>
            </w:r>
            <w:r>
              <w:rPr>
                <w:rFonts w:hint="eastAsia" w:ascii="宋体" w:hAnsi="宋体" w:eastAsia="宋体" w:cs="宋体"/>
                <w:bCs/>
                <w:color w:val="auto"/>
                <w:spacing w:val="11"/>
                <w:sz w:val="21"/>
                <w:szCs w:val="21"/>
                <w:highlight w:val="none"/>
              </w:rPr>
              <w:t>体系、计量等认证情况</w:t>
            </w:r>
          </w:p>
        </w:tc>
        <w:tc>
          <w:tcPr>
            <w:tcW w:w="6578" w:type="dxa"/>
            <w:gridSpan w:val="9"/>
            <w:noWrap w:val="0"/>
            <w:vAlign w:val="top"/>
          </w:tcPr>
          <w:p w14:paraId="4CBE81FD">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r w14:paraId="6AB79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7" w:hRule="atLeast"/>
        </w:trPr>
        <w:tc>
          <w:tcPr>
            <w:tcW w:w="857" w:type="dxa"/>
            <w:vMerge w:val="continue"/>
            <w:noWrap w:val="0"/>
            <w:vAlign w:val="top"/>
          </w:tcPr>
          <w:p w14:paraId="2D925ABA">
            <w:pPr>
              <w:pStyle w:val="40"/>
              <w:keepNext w:val="0"/>
              <w:keepLines w:val="0"/>
              <w:pageBreakBefore w:val="0"/>
              <w:shd w:val="clear" w:color="auto" w:fill="FFFFFF"/>
              <w:kinsoku/>
              <w:overflowPunct/>
              <w:topLinePunct w:val="0"/>
              <w:bidi w:val="0"/>
              <w:spacing w:line="360" w:lineRule="auto"/>
              <w:ind w:left="107"/>
              <w:outlineLvl w:val="9"/>
              <w:rPr>
                <w:rFonts w:hint="eastAsia" w:ascii="宋体" w:hAnsi="宋体" w:eastAsia="宋体" w:cs="宋体"/>
                <w:bCs/>
                <w:color w:val="auto"/>
                <w:spacing w:val="27"/>
                <w:sz w:val="21"/>
                <w:szCs w:val="21"/>
                <w:highlight w:val="none"/>
              </w:rPr>
            </w:pPr>
          </w:p>
        </w:tc>
        <w:tc>
          <w:tcPr>
            <w:tcW w:w="1378" w:type="dxa"/>
            <w:gridSpan w:val="2"/>
            <w:noWrap w:val="0"/>
            <w:vAlign w:val="top"/>
          </w:tcPr>
          <w:p w14:paraId="51A3EAF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r>
              <w:rPr>
                <w:rFonts w:hint="eastAsia" w:ascii="宋体" w:hAnsi="宋体" w:eastAsia="宋体" w:cs="宋体"/>
                <w:bCs/>
                <w:color w:val="auto"/>
                <w:spacing w:val="10"/>
                <w:sz w:val="21"/>
                <w:szCs w:val="21"/>
                <w:highlight w:val="none"/>
              </w:rPr>
              <w:t>企业获得专利情况</w:t>
            </w:r>
          </w:p>
        </w:tc>
        <w:tc>
          <w:tcPr>
            <w:tcW w:w="6578" w:type="dxa"/>
            <w:gridSpan w:val="9"/>
            <w:noWrap w:val="0"/>
            <w:vAlign w:val="top"/>
          </w:tcPr>
          <w:p w14:paraId="7485FAEB">
            <w:pPr>
              <w:pStyle w:val="40"/>
              <w:keepNext w:val="0"/>
              <w:keepLines w:val="0"/>
              <w:pageBreakBefore w:val="0"/>
              <w:shd w:val="clear" w:color="auto" w:fill="FFFFFF"/>
              <w:kinsoku/>
              <w:overflowPunct/>
              <w:topLinePunct w:val="0"/>
              <w:bidi w:val="0"/>
              <w:spacing w:line="360" w:lineRule="auto"/>
              <w:outlineLvl w:val="9"/>
              <w:rPr>
                <w:rFonts w:hint="eastAsia" w:ascii="宋体" w:hAnsi="宋体" w:eastAsia="宋体" w:cs="宋体"/>
                <w:bCs/>
                <w:color w:val="auto"/>
                <w:spacing w:val="16"/>
                <w:sz w:val="21"/>
                <w:szCs w:val="21"/>
                <w:highlight w:val="none"/>
              </w:rPr>
            </w:pPr>
          </w:p>
        </w:tc>
      </w:tr>
    </w:tbl>
    <w:p w14:paraId="75AF8D2C">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sz w:val="21"/>
          <w:szCs w:val="21"/>
          <w:highlight w:val="none"/>
        </w:rPr>
      </w:pPr>
    </w:p>
    <w:p w14:paraId="5910815E">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1416F034">
      <w:pPr>
        <w:pStyle w:val="40"/>
        <w:keepNext w:val="0"/>
        <w:keepLines w:val="0"/>
        <w:pageBreakBefore w:val="0"/>
        <w:shd w:val="clear" w:color="auto" w:fill="FFFFFF"/>
        <w:kinsoku/>
        <w:overflowPunct/>
        <w:topLinePunct w:val="0"/>
        <w:bidi w:val="0"/>
        <w:spacing w:before="0" w:beforeAutospacing="0" w:after="0" w:afterAutospacing="0"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姓名栏必须将所有股东都统计在内，若非股份公司此行（第三行）无需填写；</w:t>
      </w:r>
    </w:p>
    <w:p w14:paraId="545AAAF1">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4ABDD41F">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18329985">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05224F8C">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390B49B">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749BADB3">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DC60C7">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C89C794">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39A6B44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0C3BBB01">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pPr>
    </w:p>
    <w:p w14:paraId="7020644B">
      <w:pPr>
        <w:pStyle w:val="8"/>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5374EDEF">
      <w:pPr>
        <w:pStyle w:val="9"/>
        <w:keepNext w:val="0"/>
        <w:keepLines w:val="0"/>
        <w:pageBreakBefore w:val="0"/>
        <w:kinsoku/>
        <w:overflowPunct/>
        <w:topLinePunct w:val="0"/>
        <w:bidi w:val="0"/>
        <w:outlineLvl w:val="9"/>
        <w:rPr>
          <w:rFonts w:hint="eastAsia" w:ascii="宋体" w:hAnsi="宋体" w:eastAsia="宋体" w:cs="宋体"/>
          <w:b/>
          <w:color w:val="auto"/>
          <w:sz w:val="28"/>
          <w:highlight w:val="none"/>
        </w:rPr>
      </w:pPr>
    </w:p>
    <w:p w14:paraId="6F0377C5">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04CA2EA2">
      <w:pPr>
        <w:pStyle w:val="40"/>
        <w:keepNext w:val="0"/>
        <w:keepLines w:val="0"/>
        <w:pageBreakBefore w:val="0"/>
        <w:shd w:val="clear" w:color="auto" w:fill="FFFFFF"/>
        <w:kinsoku/>
        <w:overflowPunct/>
        <w:topLinePunct w:val="0"/>
        <w:bidi w:val="0"/>
        <w:spacing w:before="0" w:beforeAutospacing="0" w:after="0" w:afterAutospacing="0" w:line="360" w:lineRule="auto"/>
        <w:outlineLvl w:val="9"/>
        <w:rPr>
          <w:rFonts w:hint="eastAsia" w:ascii="宋体" w:hAnsi="宋体" w:eastAsia="宋体" w:cs="宋体"/>
          <w:color w:val="auto"/>
          <w:highlight w:val="none"/>
          <w:lang w:val="en-US" w:eastAsia="zh-CN"/>
        </w:rPr>
      </w:pPr>
      <w:r>
        <w:rPr>
          <w:rFonts w:hint="eastAsia" w:ascii="宋体" w:hAnsi="宋体" w:eastAsia="宋体" w:cs="宋体"/>
          <w:b/>
          <w:color w:val="auto"/>
          <w:sz w:val="28"/>
          <w:highlight w:val="none"/>
        </w:rPr>
        <w:t>附件</w:t>
      </w:r>
      <w:r>
        <w:rPr>
          <w:rFonts w:hint="eastAsia" w:cs="宋体"/>
          <w:b/>
          <w:color w:val="auto"/>
          <w:sz w:val="28"/>
          <w:highlight w:val="none"/>
          <w:lang w:val="en-US" w:eastAsia="zh-CN"/>
        </w:rPr>
        <w:t>8</w:t>
      </w:r>
    </w:p>
    <w:p w14:paraId="4092B456">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36"/>
          <w:szCs w:val="36"/>
          <w:highlight w:val="none"/>
        </w:rPr>
      </w:pPr>
      <w:r>
        <w:rPr>
          <w:rFonts w:hint="eastAsia" w:ascii="宋体" w:hAnsi="宋体" w:eastAsia="宋体" w:cs="宋体"/>
          <w:b/>
          <w:color w:val="auto"/>
          <w:sz w:val="32"/>
          <w:szCs w:val="32"/>
          <w:highlight w:val="none"/>
        </w:rPr>
        <w:t>项目实施人员一览表</w:t>
      </w:r>
    </w:p>
    <w:p w14:paraId="45FDA8D9">
      <w:pPr>
        <w:keepNext w:val="0"/>
        <w:keepLines w:val="0"/>
        <w:pageBreakBefore w:val="0"/>
        <w:kinsoku/>
        <w:overflowPunct/>
        <w:topLinePunct w:val="0"/>
        <w:bidi w:val="0"/>
        <w:snapToGrid w:val="0"/>
        <w:spacing w:beforeLines="50" w:after="50" w:line="360" w:lineRule="auto"/>
        <w:ind w:firstLine="2400" w:firstLineChars="1000"/>
        <w:outlineLvl w:val="9"/>
        <w:rPr>
          <w:rFonts w:hint="eastAsia" w:ascii="宋体" w:hAnsi="宋体" w:eastAsia="宋体" w:cs="宋体"/>
          <w:color w:val="auto"/>
          <w:sz w:val="24"/>
          <w:highlight w:val="none"/>
        </w:rPr>
      </w:pPr>
      <w:r>
        <w:rPr>
          <w:rFonts w:hint="eastAsia" w:ascii="宋体" w:hAnsi="宋体" w:eastAsia="宋体" w:cs="宋体"/>
          <w:color w:val="auto"/>
          <w:sz w:val="24"/>
          <w:highlight w:val="none"/>
        </w:rPr>
        <w:t>（主要从业人员及其技术资格）</w:t>
      </w:r>
    </w:p>
    <w:tbl>
      <w:tblPr>
        <w:tblStyle w:val="22"/>
        <w:tblW w:w="8898" w:type="dxa"/>
        <w:tblInd w:w="-143"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6"/>
        <w:gridCol w:w="793"/>
        <w:gridCol w:w="900"/>
        <w:gridCol w:w="857"/>
        <w:gridCol w:w="1511"/>
        <w:gridCol w:w="1221"/>
        <w:gridCol w:w="1425"/>
        <w:gridCol w:w="1525"/>
      </w:tblGrid>
      <w:tr w14:paraId="4EEF1BC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vAlign w:val="center"/>
          </w:tcPr>
          <w:p w14:paraId="6303D8E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793" w:type="dxa"/>
            <w:tcBorders>
              <w:top w:val="single" w:color="auto" w:sz="4" w:space="0"/>
              <w:left w:val="single" w:color="auto" w:sz="4" w:space="0"/>
              <w:bottom w:val="single" w:color="auto" w:sz="4" w:space="0"/>
              <w:right w:val="single" w:color="auto" w:sz="4" w:space="0"/>
            </w:tcBorders>
            <w:vAlign w:val="center"/>
          </w:tcPr>
          <w:p w14:paraId="70B8702E">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姓名</w:t>
            </w:r>
          </w:p>
        </w:tc>
        <w:tc>
          <w:tcPr>
            <w:tcW w:w="900" w:type="dxa"/>
            <w:tcBorders>
              <w:top w:val="single" w:color="auto" w:sz="4" w:space="0"/>
              <w:left w:val="single" w:color="auto" w:sz="4" w:space="0"/>
              <w:bottom w:val="single" w:color="auto" w:sz="4" w:space="0"/>
              <w:right w:val="single" w:color="auto" w:sz="4" w:space="0"/>
            </w:tcBorders>
            <w:vAlign w:val="center"/>
          </w:tcPr>
          <w:p w14:paraId="2C9CEFD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职务</w:t>
            </w:r>
          </w:p>
        </w:tc>
        <w:tc>
          <w:tcPr>
            <w:tcW w:w="857" w:type="dxa"/>
            <w:tcBorders>
              <w:top w:val="single" w:color="auto" w:sz="4" w:space="0"/>
              <w:left w:val="single" w:color="auto" w:sz="4" w:space="0"/>
              <w:bottom w:val="single" w:color="auto" w:sz="4" w:space="0"/>
              <w:right w:val="single" w:color="auto" w:sz="4" w:space="0"/>
            </w:tcBorders>
            <w:vAlign w:val="center"/>
          </w:tcPr>
          <w:p w14:paraId="17E61C94">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职责</w:t>
            </w:r>
          </w:p>
        </w:tc>
        <w:tc>
          <w:tcPr>
            <w:tcW w:w="1511" w:type="dxa"/>
            <w:tcBorders>
              <w:top w:val="single" w:color="auto" w:sz="4" w:space="0"/>
              <w:left w:val="single" w:color="auto" w:sz="4" w:space="0"/>
              <w:bottom w:val="single" w:color="auto" w:sz="4" w:space="0"/>
              <w:right w:val="single" w:color="auto" w:sz="4" w:space="0"/>
            </w:tcBorders>
            <w:vAlign w:val="center"/>
          </w:tcPr>
          <w:p w14:paraId="2FAFCE67">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专业技术资格</w:t>
            </w:r>
          </w:p>
        </w:tc>
        <w:tc>
          <w:tcPr>
            <w:tcW w:w="1221" w:type="dxa"/>
            <w:tcBorders>
              <w:top w:val="single" w:color="auto" w:sz="4" w:space="0"/>
              <w:left w:val="single" w:color="auto" w:sz="4" w:space="0"/>
              <w:bottom w:val="single" w:color="auto" w:sz="4" w:space="0"/>
              <w:right w:val="single" w:color="auto" w:sz="4" w:space="0"/>
            </w:tcBorders>
            <w:vAlign w:val="center"/>
          </w:tcPr>
          <w:p w14:paraId="729F30A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证书编号</w:t>
            </w:r>
          </w:p>
        </w:tc>
        <w:tc>
          <w:tcPr>
            <w:tcW w:w="1425" w:type="dxa"/>
            <w:tcBorders>
              <w:top w:val="single" w:color="auto" w:sz="4" w:space="0"/>
              <w:left w:val="single" w:color="auto" w:sz="4" w:space="0"/>
              <w:bottom w:val="single" w:color="auto" w:sz="4" w:space="0"/>
              <w:right w:val="single" w:color="auto" w:sz="4" w:space="0"/>
            </w:tcBorders>
            <w:vAlign w:val="center"/>
          </w:tcPr>
          <w:p w14:paraId="5FC47CFA">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参加本单位工作时间</w:t>
            </w:r>
          </w:p>
        </w:tc>
        <w:tc>
          <w:tcPr>
            <w:tcW w:w="1525" w:type="dxa"/>
            <w:tcBorders>
              <w:top w:val="single" w:color="auto" w:sz="4" w:space="0"/>
              <w:left w:val="single" w:color="auto" w:sz="4" w:space="0"/>
              <w:bottom w:val="single" w:color="auto" w:sz="4" w:space="0"/>
            </w:tcBorders>
            <w:vAlign w:val="center"/>
          </w:tcPr>
          <w:p w14:paraId="16D93803">
            <w:pPr>
              <w:keepNext w:val="0"/>
              <w:keepLines w:val="0"/>
              <w:pageBreakBefore w:val="0"/>
              <w:kinsoku/>
              <w:overflowPunct/>
              <w:topLinePunct w:val="0"/>
              <w:bidi w:val="0"/>
              <w:snapToGrid w:val="0"/>
              <w:spacing w:beforeLines="50" w:after="50"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color w:val="auto"/>
                <w:sz w:val="21"/>
                <w:szCs w:val="21"/>
                <w:highlight w:val="none"/>
              </w:rPr>
              <w:t>劳动合同编号</w:t>
            </w:r>
          </w:p>
        </w:tc>
      </w:tr>
      <w:tr w14:paraId="7E13DBC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4D56323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53B2A9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AD8AD1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92350D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787AC9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42965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7B90914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29C2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36AE1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301C68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5DC078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476A41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3C2540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06233BA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2FD59B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0D2C90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7B657CE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0D3C07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0C36957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77F13EC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1383DAC">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13344C3">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1071BD92">
            <w:pPr>
              <w:pStyle w:val="12"/>
              <w:keepNext w:val="0"/>
              <w:keepLines w:val="0"/>
              <w:pageBreakBefore w:val="0"/>
              <w:kinsoku/>
              <w:overflowPunct/>
              <w:topLinePunct w:val="0"/>
              <w:bidi w:val="0"/>
              <w:snapToGrid w:val="0"/>
              <w:spacing w:beforeLines="50" w:after="50" w:line="360" w:lineRule="auto"/>
              <w:ind w:left="5250"/>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DCCC746">
            <w:pPr>
              <w:pStyle w:val="12"/>
              <w:keepNext w:val="0"/>
              <w:keepLines w:val="0"/>
              <w:pageBreakBefore w:val="0"/>
              <w:kinsoku/>
              <w:overflowPunct/>
              <w:topLinePunct w:val="0"/>
              <w:bidi w:val="0"/>
              <w:spacing w:line="360" w:lineRule="auto"/>
              <w:ind w:left="5250"/>
              <w:outlineLvl w:val="9"/>
              <w:rPr>
                <w:rFonts w:hint="eastAsia" w:ascii="宋体" w:hAnsi="宋体" w:eastAsia="宋体" w:cs="宋体"/>
                <w:color w:val="auto"/>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83B290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1525" w:type="dxa"/>
            <w:tcBorders>
              <w:top w:val="single" w:color="auto" w:sz="4" w:space="0"/>
              <w:left w:val="single" w:color="auto" w:sz="4" w:space="0"/>
              <w:bottom w:val="single" w:color="auto" w:sz="4" w:space="0"/>
            </w:tcBorders>
          </w:tcPr>
          <w:p w14:paraId="6FD6ECF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0F6615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7B19B9E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07754702">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284DE8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49F3B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2E0C00C4">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41F0DC4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461234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FA23F3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46A278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CDB952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D1B237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0A0A891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765F30D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90ED98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C25684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DBA872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6D7273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AE22C5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1C0AB2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136E5E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501475C7">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32EF63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398B9B0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1649017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0B98A69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21D27E3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0C1133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147A92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6AC61239">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37AF0DD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64CF247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64B299DD">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743C62F6">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B6F615E">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6C96C7A5">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r w14:paraId="226E2B5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66" w:type="dxa"/>
            <w:tcBorders>
              <w:top w:val="single" w:color="auto" w:sz="4" w:space="0"/>
              <w:bottom w:val="single" w:color="auto" w:sz="4" w:space="0"/>
              <w:right w:val="single" w:color="auto" w:sz="4" w:space="0"/>
            </w:tcBorders>
          </w:tcPr>
          <w:p w14:paraId="2E5760A3">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color w:val="auto"/>
                <w:sz w:val="21"/>
                <w:szCs w:val="21"/>
                <w:highlight w:val="none"/>
              </w:rPr>
            </w:pPr>
          </w:p>
        </w:tc>
        <w:tc>
          <w:tcPr>
            <w:tcW w:w="793" w:type="dxa"/>
            <w:tcBorders>
              <w:top w:val="single" w:color="auto" w:sz="4" w:space="0"/>
              <w:left w:val="single" w:color="auto" w:sz="4" w:space="0"/>
              <w:bottom w:val="single" w:color="auto" w:sz="4" w:space="0"/>
              <w:right w:val="single" w:color="auto" w:sz="4" w:space="0"/>
            </w:tcBorders>
          </w:tcPr>
          <w:p w14:paraId="3B84B4A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900" w:type="dxa"/>
            <w:tcBorders>
              <w:top w:val="single" w:color="auto" w:sz="4" w:space="0"/>
              <w:left w:val="single" w:color="auto" w:sz="4" w:space="0"/>
              <w:bottom w:val="single" w:color="auto" w:sz="4" w:space="0"/>
              <w:right w:val="single" w:color="auto" w:sz="4" w:space="0"/>
            </w:tcBorders>
          </w:tcPr>
          <w:p w14:paraId="670695FF">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857" w:type="dxa"/>
            <w:tcBorders>
              <w:top w:val="single" w:color="auto" w:sz="4" w:space="0"/>
              <w:left w:val="single" w:color="auto" w:sz="4" w:space="0"/>
              <w:bottom w:val="single" w:color="auto" w:sz="4" w:space="0"/>
              <w:right w:val="single" w:color="auto" w:sz="4" w:space="0"/>
            </w:tcBorders>
          </w:tcPr>
          <w:p w14:paraId="5458A498">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11" w:type="dxa"/>
            <w:tcBorders>
              <w:top w:val="single" w:color="auto" w:sz="4" w:space="0"/>
              <w:left w:val="single" w:color="auto" w:sz="4" w:space="0"/>
              <w:bottom w:val="single" w:color="auto" w:sz="4" w:space="0"/>
              <w:right w:val="single" w:color="auto" w:sz="4" w:space="0"/>
            </w:tcBorders>
          </w:tcPr>
          <w:p w14:paraId="4CEA91F1">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221" w:type="dxa"/>
            <w:tcBorders>
              <w:top w:val="single" w:color="auto" w:sz="4" w:space="0"/>
              <w:left w:val="single" w:color="auto" w:sz="4" w:space="0"/>
              <w:bottom w:val="single" w:color="auto" w:sz="4" w:space="0"/>
              <w:right w:val="single" w:color="auto" w:sz="4" w:space="0"/>
            </w:tcBorders>
          </w:tcPr>
          <w:p w14:paraId="2E71C75A">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425" w:type="dxa"/>
            <w:tcBorders>
              <w:top w:val="single" w:color="auto" w:sz="4" w:space="0"/>
              <w:left w:val="single" w:color="auto" w:sz="4" w:space="0"/>
              <w:bottom w:val="single" w:color="auto" w:sz="4" w:space="0"/>
              <w:right w:val="single" w:color="auto" w:sz="4" w:space="0"/>
            </w:tcBorders>
          </w:tcPr>
          <w:p w14:paraId="174D3D80">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c>
          <w:tcPr>
            <w:tcW w:w="1525" w:type="dxa"/>
            <w:tcBorders>
              <w:top w:val="single" w:color="auto" w:sz="4" w:space="0"/>
              <w:left w:val="single" w:color="auto" w:sz="4" w:space="0"/>
              <w:bottom w:val="single" w:color="auto" w:sz="4" w:space="0"/>
            </w:tcBorders>
          </w:tcPr>
          <w:p w14:paraId="3F56A85B">
            <w:pPr>
              <w:keepNext w:val="0"/>
              <w:keepLines w:val="0"/>
              <w:pageBreakBefore w:val="0"/>
              <w:kinsoku/>
              <w:overflowPunct/>
              <w:topLinePunct w:val="0"/>
              <w:bidi w:val="0"/>
              <w:snapToGrid w:val="0"/>
              <w:spacing w:beforeLines="50" w:after="50" w:line="360" w:lineRule="auto"/>
              <w:outlineLvl w:val="9"/>
              <w:rPr>
                <w:rFonts w:hint="eastAsia" w:ascii="宋体" w:hAnsi="宋体" w:eastAsia="宋体" w:cs="宋体"/>
                <w:b/>
                <w:color w:val="auto"/>
                <w:kern w:val="44"/>
                <w:sz w:val="21"/>
                <w:szCs w:val="21"/>
                <w:highlight w:val="none"/>
              </w:rPr>
            </w:pPr>
          </w:p>
        </w:tc>
      </w:tr>
    </w:tbl>
    <w:p w14:paraId="7E3DA448">
      <w:pPr>
        <w:keepNext w:val="0"/>
        <w:keepLines w:val="0"/>
        <w:pageBreakBefore w:val="0"/>
        <w:kinsoku/>
        <w:overflowPunct/>
        <w:topLinePunct w:val="0"/>
        <w:bidi w:val="0"/>
        <w:spacing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4CBABB7E">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rPr>
        <w:t>1</w:t>
      </w:r>
      <w:r>
        <w:rPr>
          <w:rFonts w:hint="eastAsia" w:ascii="宋体" w:hAnsi="宋体" w:eastAsia="宋体" w:cs="宋体"/>
          <w:bCs/>
          <w:color w:val="auto"/>
          <w:sz w:val="21"/>
          <w:szCs w:val="21"/>
          <w:highlight w:val="none"/>
          <w:lang w:eastAsia="zh-CN"/>
        </w:rPr>
        <w:t>、</w:t>
      </w:r>
      <w:r>
        <w:rPr>
          <w:rFonts w:hint="eastAsia" w:ascii="宋体" w:hAnsi="宋体" w:eastAsia="宋体" w:cs="宋体"/>
          <w:color w:val="auto"/>
          <w:sz w:val="21"/>
          <w:szCs w:val="21"/>
          <w:highlight w:val="none"/>
        </w:rPr>
        <w:t>在填写时，如本表格不适合投标单位的实际情况，可根据本表格式自行划表填写。</w:t>
      </w:r>
    </w:p>
    <w:p w14:paraId="590909FA">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附人员证书复印件；</w:t>
      </w:r>
    </w:p>
    <w:p w14:paraId="6F38AA4B">
      <w:pPr>
        <w:pStyle w:val="41"/>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出具上述人员在本单位服务的外部证明。</w:t>
      </w:r>
    </w:p>
    <w:p w14:paraId="15345D46">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860E7A3">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1084A2F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7DC404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70E9017C">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506023B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6B37C55">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6DF13408">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151A9C5">
      <w:pPr>
        <w:keepNext w:val="0"/>
        <w:keepLines w:val="0"/>
        <w:pageBreakBefore w:val="0"/>
        <w:kinsoku/>
        <w:overflowPunct/>
        <w:topLinePunct w:val="0"/>
        <w:bidi w:val="0"/>
        <w:snapToGrid w:val="0"/>
        <w:spacing w:before="50" w:after="50" w:line="360" w:lineRule="auto"/>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9</w:t>
      </w:r>
    </w:p>
    <w:p w14:paraId="22EB078E">
      <w:pPr>
        <w:snapToGrid w:val="0"/>
        <w:spacing w:beforeLines="50" w:after="50" w:line="360" w:lineRule="auto"/>
        <w:jc w:val="center"/>
        <w:rPr>
          <w:rFonts w:hint="eastAsia" w:ascii="宋体" w:hAnsi="宋体" w:eastAsia="宋体" w:cs="宋体"/>
          <w:b/>
          <w:color w:val="auto"/>
          <w:sz w:val="32"/>
          <w:szCs w:val="32"/>
          <w:highlight w:val="none"/>
          <w:lang w:eastAsia="zh-CN"/>
        </w:rPr>
      </w:pPr>
      <w:r>
        <w:rPr>
          <w:rFonts w:hint="eastAsia" w:ascii="宋体" w:hAnsi="宋体" w:eastAsia="宋体" w:cs="宋体"/>
          <w:b/>
          <w:color w:val="auto"/>
          <w:sz w:val="32"/>
          <w:szCs w:val="32"/>
          <w:highlight w:val="none"/>
        </w:rPr>
        <w:t>项目负责人资格情况表</w:t>
      </w:r>
    </w:p>
    <w:p w14:paraId="6E6C9F0E">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采购项目：</w:t>
      </w:r>
      <w:r>
        <w:rPr>
          <w:rFonts w:hint="eastAsia" w:ascii="宋体" w:hAnsi="宋体" w:cs="宋体"/>
          <w:color w:val="auto"/>
          <w:sz w:val="21"/>
          <w:szCs w:val="21"/>
          <w:highlight w:val="none"/>
          <w:lang w:val="en-US" w:eastAsia="zh-CN"/>
        </w:rPr>
        <w:t xml:space="preserve">                                              </w:t>
      </w:r>
      <w:r>
        <w:rPr>
          <w:rFonts w:hint="eastAsia" w:ascii="宋体" w:hAnsi="宋体" w:eastAsia="宋体" w:cs="宋体"/>
          <w:color w:val="auto"/>
          <w:sz w:val="21"/>
          <w:szCs w:val="21"/>
          <w:highlight w:val="none"/>
        </w:rPr>
        <w:t>采购编号：</w:t>
      </w:r>
    </w:p>
    <w:tbl>
      <w:tblPr>
        <w:tblStyle w:val="22"/>
        <w:tblW w:w="8626" w:type="dxa"/>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4"/>
        <w:gridCol w:w="2967"/>
        <w:gridCol w:w="3685"/>
      </w:tblGrid>
      <w:tr w14:paraId="275985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974" w:type="dxa"/>
            <w:tcBorders>
              <w:top w:val="single" w:color="auto" w:sz="12" w:space="0"/>
              <w:left w:val="single" w:color="auto" w:sz="12" w:space="0"/>
            </w:tcBorders>
            <w:vAlign w:val="center"/>
          </w:tcPr>
          <w:p w14:paraId="5A2BEFE6">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姓名</w:t>
            </w:r>
          </w:p>
        </w:tc>
        <w:tc>
          <w:tcPr>
            <w:tcW w:w="2967" w:type="dxa"/>
            <w:tcBorders>
              <w:top w:val="single" w:color="auto" w:sz="12" w:space="0"/>
            </w:tcBorders>
            <w:vAlign w:val="center"/>
          </w:tcPr>
          <w:p w14:paraId="550D5A8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tcBorders>
              <w:top w:val="single" w:color="auto" w:sz="12" w:space="0"/>
              <w:right w:val="single" w:color="auto" w:sz="12" w:space="0"/>
            </w:tcBorders>
            <w:vAlign w:val="center"/>
          </w:tcPr>
          <w:p w14:paraId="64A77A2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近年来主要工作业绩</w:t>
            </w:r>
          </w:p>
        </w:tc>
      </w:tr>
      <w:tr w14:paraId="7F3C5F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606598B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性别</w:t>
            </w:r>
          </w:p>
        </w:tc>
        <w:tc>
          <w:tcPr>
            <w:tcW w:w="2967" w:type="dxa"/>
            <w:vAlign w:val="center"/>
          </w:tcPr>
          <w:p w14:paraId="0CF0C560">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restart"/>
            <w:tcBorders>
              <w:right w:val="single" w:color="auto" w:sz="12" w:space="0"/>
            </w:tcBorders>
            <w:vAlign w:val="center"/>
          </w:tcPr>
          <w:p w14:paraId="69456CF6">
            <w:pPr>
              <w:autoSpaceDE w:val="0"/>
              <w:autoSpaceDN w:val="0"/>
              <w:adjustRightInd w:val="0"/>
              <w:snapToGrid w:val="0"/>
              <w:spacing w:line="36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注：业绩证明应提供旁证材料</w:t>
            </w:r>
          </w:p>
          <w:p w14:paraId="44A6497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w:t>
            </w:r>
            <w:r>
              <w:rPr>
                <w:rFonts w:hint="eastAsia" w:ascii="宋体" w:hAnsi="宋体" w:cs="宋体"/>
                <w:color w:val="auto"/>
                <w:sz w:val="21"/>
                <w:szCs w:val="21"/>
                <w:highlight w:val="none"/>
                <w:lang w:val="en-US" w:eastAsia="zh-CN"/>
              </w:rPr>
              <w:t>服务</w:t>
            </w:r>
            <w:r>
              <w:rPr>
                <w:rFonts w:hint="eastAsia" w:ascii="宋体" w:hAnsi="宋体" w:eastAsia="宋体" w:cs="宋体"/>
                <w:color w:val="auto"/>
                <w:sz w:val="21"/>
                <w:szCs w:val="21"/>
                <w:highlight w:val="none"/>
              </w:rPr>
              <w:t>合同或中标通知书）。</w:t>
            </w:r>
          </w:p>
        </w:tc>
      </w:tr>
      <w:tr w14:paraId="23F5F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059523B3">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年龄</w:t>
            </w:r>
          </w:p>
        </w:tc>
        <w:tc>
          <w:tcPr>
            <w:tcW w:w="2967" w:type="dxa"/>
            <w:vAlign w:val="center"/>
          </w:tcPr>
          <w:p w14:paraId="31825B7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7D6A6EF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52E19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3207C11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职称</w:t>
            </w:r>
          </w:p>
        </w:tc>
        <w:tc>
          <w:tcPr>
            <w:tcW w:w="2967" w:type="dxa"/>
            <w:vAlign w:val="center"/>
          </w:tcPr>
          <w:p w14:paraId="5F43FADC">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F5D6DFF">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5E07A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22AD338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毕业时间</w:t>
            </w:r>
          </w:p>
        </w:tc>
        <w:tc>
          <w:tcPr>
            <w:tcW w:w="2967" w:type="dxa"/>
            <w:vAlign w:val="center"/>
          </w:tcPr>
          <w:p w14:paraId="083F1DF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021E8728">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85AD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11360CAA">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学校专业</w:t>
            </w:r>
          </w:p>
        </w:tc>
        <w:tc>
          <w:tcPr>
            <w:tcW w:w="2967" w:type="dxa"/>
            <w:vAlign w:val="center"/>
          </w:tcPr>
          <w:p w14:paraId="5AC12D64">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6F290F92">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71C203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7A98FAF">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联系电话</w:t>
            </w:r>
          </w:p>
        </w:tc>
        <w:tc>
          <w:tcPr>
            <w:tcW w:w="2967" w:type="dxa"/>
            <w:vAlign w:val="center"/>
          </w:tcPr>
          <w:p w14:paraId="259B8563">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316A1D8E">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37BFDC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63" w:hRule="atLeast"/>
        </w:trPr>
        <w:tc>
          <w:tcPr>
            <w:tcW w:w="1974" w:type="dxa"/>
            <w:tcBorders>
              <w:left w:val="single" w:color="auto" w:sz="12" w:space="0"/>
            </w:tcBorders>
            <w:vAlign w:val="center"/>
          </w:tcPr>
          <w:p w14:paraId="753BEF67">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rPr>
              <w:t>最近一年工作状况</w:t>
            </w:r>
          </w:p>
        </w:tc>
        <w:tc>
          <w:tcPr>
            <w:tcW w:w="2967" w:type="dxa"/>
            <w:vAlign w:val="center"/>
          </w:tcPr>
          <w:p w14:paraId="388CE9E6">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c>
          <w:tcPr>
            <w:tcW w:w="3685" w:type="dxa"/>
            <w:vMerge w:val="continue"/>
            <w:tcBorders>
              <w:right w:val="single" w:color="auto" w:sz="12" w:space="0"/>
            </w:tcBorders>
            <w:vAlign w:val="center"/>
          </w:tcPr>
          <w:p w14:paraId="15E2607A">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r w14:paraId="0F9A5F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63" w:hRule="atLeast"/>
        </w:trPr>
        <w:tc>
          <w:tcPr>
            <w:tcW w:w="1974" w:type="dxa"/>
            <w:tcBorders>
              <w:left w:val="single" w:color="auto" w:sz="12" w:space="0"/>
              <w:bottom w:val="single" w:color="auto" w:sz="12" w:space="0"/>
            </w:tcBorders>
            <w:vAlign w:val="center"/>
          </w:tcPr>
          <w:p w14:paraId="381DE76D">
            <w:pPr>
              <w:autoSpaceDE w:val="0"/>
              <w:autoSpaceDN w:val="0"/>
              <w:adjustRightInd w:val="0"/>
              <w:snapToGrid w:val="0"/>
              <w:spacing w:line="360" w:lineRule="auto"/>
              <w:jc w:val="center"/>
              <w:rPr>
                <w:rFonts w:hint="eastAsia" w:ascii="宋体" w:hAnsi="宋体" w:eastAsia="宋体" w:cs="宋体"/>
                <w:b/>
                <w:bCs/>
                <w:color w:val="auto"/>
                <w:sz w:val="21"/>
                <w:szCs w:val="21"/>
                <w:highlight w:val="none"/>
                <w:lang w:val="zh-CN"/>
              </w:rPr>
            </w:pPr>
            <w:r>
              <w:rPr>
                <w:rFonts w:hint="eastAsia" w:ascii="宋体" w:hAnsi="宋体" w:eastAsia="宋体" w:cs="宋体"/>
                <w:b/>
                <w:bCs/>
                <w:color w:val="auto"/>
                <w:sz w:val="21"/>
                <w:szCs w:val="21"/>
                <w:highlight w:val="none"/>
                <w:lang w:val="zh-CN"/>
              </w:rPr>
              <w:t>拟在本项目中担任主要工作</w:t>
            </w:r>
          </w:p>
        </w:tc>
        <w:tc>
          <w:tcPr>
            <w:tcW w:w="6652" w:type="dxa"/>
            <w:gridSpan w:val="2"/>
            <w:tcBorders>
              <w:bottom w:val="single" w:color="auto" w:sz="12" w:space="0"/>
              <w:right w:val="single" w:color="auto" w:sz="12" w:space="0"/>
            </w:tcBorders>
            <w:vAlign w:val="center"/>
          </w:tcPr>
          <w:p w14:paraId="44F0F285">
            <w:pPr>
              <w:autoSpaceDE w:val="0"/>
              <w:autoSpaceDN w:val="0"/>
              <w:adjustRightInd w:val="0"/>
              <w:snapToGrid w:val="0"/>
              <w:spacing w:line="360" w:lineRule="auto"/>
              <w:jc w:val="center"/>
              <w:rPr>
                <w:rFonts w:hint="eastAsia" w:ascii="宋体" w:hAnsi="宋体" w:eastAsia="宋体" w:cs="宋体"/>
                <w:color w:val="auto"/>
                <w:sz w:val="21"/>
                <w:szCs w:val="21"/>
                <w:highlight w:val="none"/>
                <w:lang w:val="zh-CN"/>
              </w:rPr>
            </w:pPr>
          </w:p>
        </w:tc>
      </w:tr>
    </w:tbl>
    <w:p w14:paraId="6CB2FC42">
      <w:pPr>
        <w:spacing w:line="360" w:lineRule="auto"/>
        <w:ind w:left="420"/>
        <w:rPr>
          <w:rFonts w:hint="eastAsia" w:ascii="宋体" w:hAnsi="宋体" w:eastAsia="宋体" w:cs="宋体"/>
          <w:color w:val="auto"/>
          <w:sz w:val="21"/>
          <w:szCs w:val="21"/>
          <w:highlight w:val="none"/>
        </w:rPr>
      </w:pPr>
    </w:p>
    <w:p w14:paraId="0547BEBF">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4EBB8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23778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731EF15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5C7C67D1">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3ADBB41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0CFDB37F">
      <w:pPr>
        <w:keepNext w:val="0"/>
        <w:keepLines w:val="0"/>
        <w:pageBreakBefore w:val="0"/>
        <w:kinsoku/>
        <w:overflowPunct/>
        <w:topLinePunct w:val="0"/>
        <w:bidi w:val="0"/>
        <w:spacing w:line="360" w:lineRule="auto"/>
        <w:ind w:firstLine="435"/>
        <w:outlineLvl w:val="9"/>
        <w:rPr>
          <w:rFonts w:hint="eastAsia" w:ascii="宋体" w:hAnsi="宋体" w:eastAsia="宋体" w:cs="宋体"/>
          <w:b/>
          <w:color w:val="auto"/>
          <w:sz w:val="28"/>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4"/>
          <w:highlight w:val="none"/>
          <w:u w:val="single"/>
        </w:rPr>
        <w:t xml:space="preserve">   </w:t>
      </w:r>
    </w:p>
    <w:p w14:paraId="7987A3FD">
      <w:pPr>
        <w:keepNext w:val="0"/>
        <w:keepLines w:val="0"/>
        <w:pageBreakBefore w:val="0"/>
        <w:kinsoku/>
        <w:overflowPunct/>
        <w:topLinePunct w:val="0"/>
        <w:bidi w:val="0"/>
        <w:spacing w:line="360" w:lineRule="auto"/>
        <w:outlineLvl w:val="9"/>
        <w:rPr>
          <w:rFonts w:hint="default" w:ascii="宋体" w:hAnsi="宋体" w:eastAsia="宋体" w:cs="宋体"/>
          <w:b/>
          <w:color w:val="auto"/>
          <w:sz w:val="28"/>
          <w:highlight w:val="none"/>
          <w:lang w:val="en-US"/>
        </w:rPr>
      </w:pPr>
      <w:r>
        <w:rPr>
          <w:rFonts w:hint="eastAsia" w:ascii="宋体" w:hAnsi="宋体" w:eastAsia="宋体" w:cs="宋体"/>
          <w:b/>
          <w:color w:val="auto"/>
          <w:sz w:val="28"/>
          <w:highlight w:val="none"/>
        </w:rPr>
        <w:t>附件</w:t>
      </w:r>
      <w:r>
        <w:rPr>
          <w:rFonts w:hint="eastAsia" w:ascii="宋体" w:hAnsi="宋体" w:cs="宋体"/>
          <w:b/>
          <w:color w:val="auto"/>
          <w:sz w:val="28"/>
          <w:highlight w:val="none"/>
          <w:lang w:val="en-US" w:eastAsia="zh-CN"/>
        </w:rPr>
        <w:t>10</w:t>
      </w:r>
    </w:p>
    <w:p w14:paraId="00F3160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商务及技术响应表</w:t>
      </w:r>
    </w:p>
    <w:p w14:paraId="6AEF6546">
      <w:pPr>
        <w:pStyle w:val="11"/>
        <w:keepNext w:val="0"/>
        <w:keepLines w:val="0"/>
        <w:pageBreakBefore w:val="0"/>
        <w:kinsoku/>
        <w:overflowPunct/>
        <w:topLinePunct w:val="0"/>
        <w:bidi w:val="0"/>
        <w:adjustRightInd w:val="0"/>
        <w:snapToGrid w:val="0"/>
        <w:spacing w:line="360" w:lineRule="auto"/>
        <w:jc w:val="left"/>
        <w:outlineLvl w:val="9"/>
        <w:rPr>
          <w:rFonts w:hint="eastAsia" w:ascii="宋体" w:hAnsi="宋体" w:eastAsia="宋体" w:cs="宋体"/>
          <w:b/>
          <w:color w:val="auto"/>
          <w:sz w:val="21"/>
          <w:szCs w:val="21"/>
          <w:highlight w:val="none"/>
        </w:rPr>
      </w:pPr>
      <w:r>
        <w:rPr>
          <w:rFonts w:hint="eastAsia" w:ascii="宋体" w:hAnsi="宋体" w:eastAsia="宋体" w:cs="宋体"/>
          <w:b/>
          <w:bCs/>
          <w:color w:val="auto"/>
          <w:sz w:val="21"/>
          <w:szCs w:val="21"/>
          <w:highlight w:val="none"/>
        </w:rPr>
        <w:t>项目名称及编号：</w:t>
      </w:r>
    </w:p>
    <w:tbl>
      <w:tblPr>
        <w:tblStyle w:val="22"/>
        <w:tblW w:w="8792" w:type="dxa"/>
        <w:tblInd w:w="0" w:type="dxa"/>
        <w:tblLayout w:type="fixed"/>
        <w:tblCellMar>
          <w:top w:w="0" w:type="dxa"/>
          <w:left w:w="108" w:type="dxa"/>
          <w:bottom w:w="0" w:type="dxa"/>
          <w:right w:w="108" w:type="dxa"/>
        </w:tblCellMar>
      </w:tblPr>
      <w:tblGrid>
        <w:gridCol w:w="1202"/>
        <w:gridCol w:w="1831"/>
        <w:gridCol w:w="2160"/>
        <w:gridCol w:w="2127"/>
        <w:gridCol w:w="1472"/>
      </w:tblGrid>
      <w:tr w14:paraId="66C6249F">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73FC704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3C3F757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内容</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1A40FD2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BAAB28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AE1740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val="0"/>
                <w:color w:val="auto"/>
                <w:spacing w:val="10"/>
                <w:kern w:val="0"/>
                <w:sz w:val="21"/>
                <w:szCs w:val="21"/>
                <w:highlight w:val="none"/>
              </w:rPr>
            </w:pPr>
            <w:r>
              <w:rPr>
                <w:rFonts w:hint="eastAsia" w:ascii="宋体" w:hAnsi="宋体" w:eastAsia="宋体" w:cs="宋体"/>
                <w:b/>
                <w:bCs w:val="0"/>
                <w:color w:val="auto"/>
                <w:spacing w:val="10"/>
                <w:kern w:val="0"/>
                <w:sz w:val="21"/>
                <w:szCs w:val="21"/>
                <w:highlight w:val="none"/>
              </w:rPr>
              <w:t>偏离情况</w:t>
            </w:r>
          </w:p>
        </w:tc>
      </w:tr>
      <w:tr w14:paraId="2DAE550C">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right w:val="single" w:color="auto" w:sz="4" w:space="0"/>
            </w:tcBorders>
            <w:noWrap w:val="0"/>
            <w:vAlign w:val="center"/>
          </w:tcPr>
          <w:p w14:paraId="24C87379">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商务响应情况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B7E68A7">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 w:val="21"/>
                <w:szCs w:val="21"/>
                <w:highlight w:val="none"/>
                <w:lang w:val="en-US" w:eastAsia="zh-CN"/>
              </w:rPr>
              <w:t>服务期</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7F374A9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65FB50D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457CED9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5931EE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2722CDC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7A4E619">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付款方式</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10B37F5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788A884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BE17F5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23C4A146">
        <w:tblPrEx>
          <w:tblCellMar>
            <w:top w:w="0" w:type="dxa"/>
            <w:left w:w="108" w:type="dxa"/>
            <w:bottom w:w="0" w:type="dxa"/>
            <w:right w:w="108" w:type="dxa"/>
          </w:tblCellMar>
        </w:tblPrEx>
        <w:trPr>
          <w:trHeight w:val="519" w:hRule="atLeast"/>
        </w:trPr>
        <w:tc>
          <w:tcPr>
            <w:tcW w:w="1202" w:type="dxa"/>
            <w:vMerge w:val="continue"/>
            <w:tcBorders>
              <w:left w:val="single" w:color="auto" w:sz="4" w:space="0"/>
              <w:right w:val="single" w:color="auto" w:sz="4" w:space="0"/>
            </w:tcBorders>
            <w:noWrap w:val="0"/>
            <w:vAlign w:val="center"/>
          </w:tcPr>
          <w:p w14:paraId="37B1663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57756C89">
            <w:pPr>
              <w:keepNext w:val="0"/>
              <w:keepLines w:val="0"/>
              <w:pageBreakBefore w:val="0"/>
              <w:kinsoku/>
              <w:overflowPunct/>
              <w:topLinePunct w:val="0"/>
              <w:bidi w:val="0"/>
              <w:jc w:val="center"/>
              <w:outlineLvl w:val="9"/>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w:t>
            </w:r>
          </w:p>
        </w:tc>
        <w:tc>
          <w:tcPr>
            <w:tcW w:w="2160" w:type="dxa"/>
            <w:tcBorders>
              <w:top w:val="single" w:color="auto" w:sz="4" w:space="0"/>
              <w:left w:val="single" w:color="auto" w:sz="4" w:space="0"/>
              <w:bottom w:val="single" w:color="auto" w:sz="4" w:space="0"/>
              <w:right w:val="single" w:color="auto" w:sz="4" w:space="0"/>
            </w:tcBorders>
            <w:noWrap w:val="0"/>
            <w:vAlign w:val="top"/>
          </w:tcPr>
          <w:p w14:paraId="45D57E9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B426F0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7637AAE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3D66E16">
        <w:tblPrEx>
          <w:tblCellMar>
            <w:top w:w="0" w:type="dxa"/>
            <w:left w:w="108" w:type="dxa"/>
            <w:bottom w:w="0" w:type="dxa"/>
            <w:right w:w="108" w:type="dxa"/>
          </w:tblCellMar>
        </w:tblPrEx>
        <w:trPr>
          <w:trHeight w:val="519" w:hRule="atLeast"/>
        </w:trPr>
        <w:tc>
          <w:tcPr>
            <w:tcW w:w="1202" w:type="dxa"/>
            <w:vMerge w:val="continue"/>
            <w:tcBorders>
              <w:left w:val="single" w:color="auto" w:sz="4" w:space="0"/>
              <w:bottom w:val="single" w:color="auto" w:sz="4" w:space="0"/>
              <w:right w:val="single" w:color="auto" w:sz="4" w:space="0"/>
            </w:tcBorders>
            <w:noWrap w:val="0"/>
            <w:vAlign w:val="center"/>
          </w:tcPr>
          <w:p w14:paraId="53B99DF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C3290AA">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1E41438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DF59C4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CC7F3C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4ED85E52">
        <w:tblPrEx>
          <w:tblCellMar>
            <w:top w:w="0" w:type="dxa"/>
            <w:left w:w="108" w:type="dxa"/>
            <w:bottom w:w="0" w:type="dxa"/>
            <w:right w:w="108" w:type="dxa"/>
          </w:tblCellMar>
        </w:tblPrEx>
        <w:trPr>
          <w:trHeight w:val="690" w:hRule="atLeast"/>
        </w:trPr>
        <w:tc>
          <w:tcPr>
            <w:tcW w:w="1202" w:type="dxa"/>
            <w:tcBorders>
              <w:top w:val="single" w:color="auto" w:sz="4" w:space="0"/>
              <w:left w:val="single" w:color="auto" w:sz="4" w:space="0"/>
              <w:bottom w:val="single" w:color="auto" w:sz="4" w:space="0"/>
              <w:right w:val="single" w:color="auto" w:sz="4" w:space="0"/>
            </w:tcBorders>
            <w:noWrap w:val="0"/>
            <w:vAlign w:val="center"/>
          </w:tcPr>
          <w:p w14:paraId="55FEAB7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类别</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963B9F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名称</w:t>
            </w:r>
          </w:p>
        </w:tc>
        <w:tc>
          <w:tcPr>
            <w:tcW w:w="2160" w:type="dxa"/>
            <w:tcBorders>
              <w:top w:val="single" w:color="auto" w:sz="4" w:space="0"/>
              <w:left w:val="single" w:color="auto" w:sz="4" w:space="0"/>
              <w:bottom w:val="single" w:color="auto" w:sz="4" w:space="0"/>
              <w:right w:val="single" w:color="auto" w:sz="4" w:space="0"/>
            </w:tcBorders>
            <w:noWrap w:val="0"/>
            <w:vAlign w:val="center"/>
          </w:tcPr>
          <w:p w14:paraId="554B2DC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磋商文件技术要求</w:t>
            </w:r>
          </w:p>
        </w:tc>
        <w:tc>
          <w:tcPr>
            <w:tcW w:w="2127" w:type="dxa"/>
            <w:tcBorders>
              <w:top w:val="single" w:color="auto" w:sz="4" w:space="0"/>
              <w:left w:val="single" w:color="auto" w:sz="4" w:space="0"/>
              <w:bottom w:val="single" w:color="auto" w:sz="4" w:space="0"/>
              <w:right w:val="single" w:color="auto" w:sz="4" w:space="0"/>
            </w:tcBorders>
            <w:noWrap w:val="0"/>
            <w:vAlign w:val="center"/>
          </w:tcPr>
          <w:p w14:paraId="4A60AA61">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磋商响应文件技术响应</w:t>
            </w: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577C6B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rPr>
              <w:t>偏离情况</w:t>
            </w:r>
          </w:p>
        </w:tc>
      </w:tr>
      <w:tr w14:paraId="0003CC09">
        <w:tblPrEx>
          <w:tblCellMar>
            <w:top w:w="0" w:type="dxa"/>
            <w:left w:w="108" w:type="dxa"/>
            <w:bottom w:w="0" w:type="dxa"/>
            <w:right w:w="108" w:type="dxa"/>
          </w:tblCellMar>
        </w:tblPrEx>
        <w:trPr>
          <w:trHeight w:val="519" w:hRule="atLeast"/>
        </w:trPr>
        <w:tc>
          <w:tcPr>
            <w:tcW w:w="1202" w:type="dxa"/>
            <w:vMerge w:val="restart"/>
            <w:tcBorders>
              <w:top w:val="single" w:color="auto" w:sz="4" w:space="0"/>
              <w:left w:val="single" w:color="auto" w:sz="4" w:space="0"/>
              <w:bottom w:val="single" w:color="auto" w:sz="4" w:space="0"/>
              <w:right w:val="single" w:color="auto" w:sz="4" w:space="0"/>
            </w:tcBorders>
            <w:noWrap w:val="0"/>
            <w:vAlign w:val="center"/>
          </w:tcPr>
          <w:p w14:paraId="5EDA2218">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技术响应情况</w:t>
            </w:r>
          </w:p>
        </w:tc>
        <w:tc>
          <w:tcPr>
            <w:tcW w:w="1831" w:type="dxa"/>
            <w:tcBorders>
              <w:top w:val="single" w:color="auto" w:sz="4" w:space="0"/>
              <w:left w:val="single" w:color="auto" w:sz="4" w:space="0"/>
              <w:bottom w:val="single" w:color="auto" w:sz="4" w:space="0"/>
              <w:right w:val="single" w:color="auto" w:sz="4" w:space="0"/>
            </w:tcBorders>
            <w:noWrap w:val="0"/>
            <w:vAlign w:val="center"/>
          </w:tcPr>
          <w:p w14:paraId="119D9297">
            <w:pPr>
              <w:keepNext w:val="0"/>
              <w:keepLines w:val="0"/>
              <w:pageBreakBefore w:val="0"/>
              <w:kinsoku/>
              <w:overflowPunct/>
              <w:topLinePunct w:val="0"/>
              <w:bidi w:val="0"/>
              <w:jc w:val="center"/>
              <w:outlineLvl w:val="9"/>
              <w:rPr>
                <w:rFonts w:hint="eastAsia" w:ascii="宋体" w:hAnsi="宋体" w:eastAsia="宋体" w:cs="宋体"/>
                <w:color w:val="auto"/>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1542B4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09657CD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01834F3">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3E9D6931">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CAE0D6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481B818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2A5CAA2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16B1B5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5CD1E6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059490DC">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6459EA83">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A84EEF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42BF1049">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15B37DD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6A3371DF">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B329D09">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1C93145">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D521F87">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65CA1B5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5D91B1E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2479554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672D8C0D">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424403A2">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61C1D02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22B74B2">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11D371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0063634E">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592762DB">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32349F8F">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04B16190">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349E239D">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CD92555">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11BA803C">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r w14:paraId="7E430A1F">
        <w:tblPrEx>
          <w:tblCellMar>
            <w:top w:w="0" w:type="dxa"/>
            <w:left w:w="108" w:type="dxa"/>
            <w:bottom w:w="0" w:type="dxa"/>
            <w:right w:w="108" w:type="dxa"/>
          </w:tblCellMar>
        </w:tblPrEx>
        <w:trPr>
          <w:trHeight w:val="519" w:hRule="atLeast"/>
        </w:trPr>
        <w:tc>
          <w:tcPr>
            <w:tcW w:w="1202" w:type="dxa"/>
            <w:vMerge w:val="continue"/>
            <w:tcBorders>
              <w:top w:val="single" w:color="auto" w:sz="4" w:space="0"/>
              <w:left w:val="single" w:color="auto" w:sz="4" w:space="0"/>
              <w:bottom w:val="single" w:color="auto" w:sz="4" w:space="0"/>
              <w:right w:val="single" w:color="auto" w:sz="4" w:space="0"/>
            </w:tcBorders>
            <w:noWrap w:val="0"/>
            <w:vAlign w:val="center"/>
          </w:tcPr>
          <w:p w14:paraId="176B861D">
            <w:pPr>
              <w:keepNext w:val="0"/>
              <w:keepLines w:val="0"/>
              <w:pageBreakBefore w:val="0"/>
              <w:widowControl/>
              <w:kinsoku/>
              <w:overflowPunct/>
              <w:topLinePunct w:val="0"/>
              <w:bidi w:val="0"/>
              <w:jc w:val="center"/>
              <w:outlineLvl w:val="9"/>
              <w:rPr>
                <w:rFonts w:hint="eastAsia" w:ascii="宋体" w:hAnsi="宋体" w:eastAsia="宋体" w:cs="宋体"/>
                <w:color w:val="auto"/>
                <w:kern w:val="0"/>
                <w:sz w:val="21"/>
                <w:szCs w:val="21"/>
                <w:highlight w:val="none"/>
              </w:rPr>
            </w:pPr>
          </w:p>
        </w:tc>
        <w:tc>
          <w:tcPr>
            <w:tcW w:w="1831" w:type="dxa"/>
            <w:tcBorders>
              <w:top w:val="single" w:color="auto" w:sz="4" w:space="0"/>
              <w:left w:val="single" w:color="auto" w:sz="4" w:space="0"/>
              <w:bottom w:val="single" w:color="auto" w:sz="4" w:space="0"/>
              <w:right w:val="single" w:color="auto" w:sz="4" w:space="0"/>
            </w:tcBorders>
            <w:noWrap w:val="0"/>
            <w:vAlign w:val="center"/>
          </w:tcPr>
          <w:p w14:paraId="77DBC726">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60" w:type="dxa"/>
            <w:tcBorders>
              <w:top w:val="single" w:color="auto" w:sz="4" w:space="0"/>
              <w:left w:val="single" w:color="auto" w:sz="4" w:space="0"/>
              <w:bottom w:val="single" w:color="auto" w:sz="4" w:space="0"/>
              <w:right w:val="single" w:color="auto" w:sz="4" w:space="0"/>
            </w:tcBorders>
            <w:noWrap w:val="0"/>
            <w:vAlign w:val="top"/>
          </w:tcPr>
          <w:p w14:paraId="520AA498">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14:paraId="37560AB4">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c>
          <w:tcPr>
            <w:tcW w:w="1472" w:type="dxa"/>
            <w:tcBorders>
              <w:top w:val="single" w:color="auto" w:sz="4" w:space="0"/>
              <w:left w:val="single" w:color="auto" w:sz="4" w:space="0"/>
              <w:bottom w:val="single" w:color="auto" w:sz="4" w:space="0"/>
              <w:right w:val="single" w:color="auto" w:sz="4" w:space="0"/>
            </w:tcBorders>
            <w:noWrap w:val="0"/>
            <w:vAlign w:val="center"/>
          </w:tcPr>
          <w:p w14:paraId="36F28D4B">
            <w:pPr>
              <w:pStyle w:val="11"/>
              <w:keepNext w:val="0"/>
              <w:keepLines w:val="0"/>
              <w:pageBreakBefore w:val="0"/>
              <w:kinsoku/>
              <w:overflowPunct/>
              <w:topLinePunct w:val="0"/>
              <w:bidi w:val="0"/>
              <w:adjustRightInd w:val="0"/>
              <w:snapToGrid w:val="0"/>
              <w:spacing w:line="360" w:lineRule="auto"/>
              <w:jc w:val="center"/>
              <w:outlineLvl w:val="9"/>
              <w:rPr>
                <w:rFonts w:hint="eastAsia" w:ascii="宋体" w:hAnsi="宋体" w:eastAsia="宋体" w:cs="宋体"/>
                <w:color w:val="auto"/>
                <w:spacing w:val="20"/>
                <w:sz w:val="21"/>
                <w:szCs w:val="21"/>
                <w:highlight w:val="none"/>
              </w:rPr>
            </w:pPr>
          </w:p>
        </w:tc>
      </w:tr>
    </w:tbl>
    <w:p w14:paraId="386CAC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0A9FAC55">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p>
    <w:p w14:paraId="6396EEAB">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2B65193">
      <w:pPr>
        <w:keepNext w:val="0"/>
        <w:keepLines w:val="0"/>
        <w:pageBreakBefore w:val="0"/>
        <w:kinsoku/>
        <w:overflowPunct/>
        <w:topLinePunct w:val="0"/>
        <w:bidi w:val="0"/>
        <w:ind w:left="420"/>
        <w:outlineLvl w:val="9"/>
        <w:rPr>
          <w:rFonts w:hint="eastAsia" w:ascii="宋体" w:hAnsi="宋体" w:eastAsia="宋体" w:cs="宋体"/>
          <w:color w:val="auto"/>
          <w:sz w:val="21"/>
          <w:szCs w:val="21"/>
          <w:highlight w:val="none"/>
        </w:rPr>
      </w:pPr>
    </w:p>
    <w:p w14:paraId="626DED7A">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15003DAE">
      <w:pPr>
        <w:keepNext w:val="0"/>
        <w:keepLines w:val="0"/>
        <w:pageBreakBefore w:val="0"/>
        <w:kinsoku/>
        <w:overflowPunct/>
        <w:topLinePunct w:val="0"/>
        <w:bidi w:val="0"/>
        <w:ind w:firstLine="435"/>
        <w:outlineLvl w:val="9"/>
        <w:rPr>
          <w:rFonts w:hint="eastAsia" w:ascii="宋体" w:hAnsi="宋体" w:eastAsia="宋体" w:cs="宋体"/>
          <w:color w:val="auto"/>
          <w:sz w:val="21"/>
          <w:szCs w:val="21"/>
          <w:highlight w:val="none"/>
        </w:rPr>
      </w:pPr>
    </w:p>
    <w:p w14:paraId="027FF2A7">
      <w:pPr>
        <w:keepNext w:val="0"/>
        <w:keepLines w:val="0"/>
        <w:pageBreakBefore w:val="0"/>
        <w:kinsoku/>
        <w:overflowPunct/>
        <w:topLinePunct w:val="0"/>
        <w:bidi w:val="0"/>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D7FD7D4">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p w14:paraId="21519C03">
      <w:pPr>
        <w:pStyle w:val="40"/>
        <w:keepNext w:val="0"/>
        <w:keepLines w:val="0"/>
        <w:pageBreakBefore w:val="0"/>
        <w:shd w:val="clear" w:color="auto" w:fill="FFFFFF"/>
        <w:kinsoku/>
        <w:overflowPunct/>
        <w:topLinePunct w:val="0"/>
        <w:bidi w:val="0"/>
        <w:spacing w:before="0" w:beforeAutospacing="0" w:after="0" w:afterAutospacing="0"/>
        <w:ind w:firstLine="371" w:firstLineChars="177"/>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B4B390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19806BD0">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5D0ED57">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w:t>
      </w:r>
      <w:r>
        <w:rPr>
          <w:rFonts w:hint="eastAsia" w:ascii="宋体" w:hAnsi="宋体" w:eastAsia="宋体" w:cs="宋体"/>
          <w:b/>
          <w:color w:val="auto"/>
          <w:sz w:val="28"/>
          <w:highlight w:val="none"/>
          <w:lang w:val="en-US" w:eastAsia="zh-CN"/>
        </w:rPr>
        <w:t>1</w:t>
      </w:r>
      <w:r>
        <w:rPr>
          <w:rFonts w:hint="eastAsia" w:ascii="宋体" w:hAnsi="宋体" w:cs="宋体"/>
          <w:b/>
          <w:color w:val="auto"/>
          <w:sz w:val="28"/>
          <w:highlight w:val="none"/>
          <w:lang w:val="en-US" w:eastAsia="zh-CN"/>
        </w:rPr>
        <w:t>1</w:t>
      </w:r>
    </w:p>
    <w:p w14:paraId="1884A83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企业</w:t>
      </w:r>
      <w:r>
        <w:rPr>
          <w:rFonts w:hint="eastAsia" w:ascii="宋体" w:hAnsi="宋体" w:eastAsia="宋体" w:cs="宋体"/>
          <w:b/>
          <w:color w:val="auto"/>
          <w:sz w:val="32"/>
          <w:szCs w:val="32"/>
          <w:highlight w:val="none"/>
        </w:rPr>
        <w:t>证书一览表</w:t>
      </w:r>
    </w:p>
    <w:p w14:paraId="5DFA388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8"/>
          <w:szCs w:val="28"/>
          <w:highlight w:val="none"/>
        </w:rPr>
      </w:pPr>
    </w:p>
    <w:tbl>
      <w:tblPr>
        <w:tblStyle w:val="22"/>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14:paraId="6602BEE7">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1867" w:type="dxa"/>
            <w:tcBorders>
              <w:top w:val="single" w:color="auto" w:sz="4" w:space="0"/>
              <w:left w:val="single" w:color="auto" w:sz="4" w:space="0"/>
              <w:bottom w:val="single" w:color="auto" w:sz="4" w:space="0"/>
            </w:tcBorders>
            <w:noWrap w:val="0"/>
            <w:vAlign w:val="top"/>
          </w:tcPr>
          <w:p w14:paraId="125AFFC5">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证书名称</w:t>
            </w:r>
          </w:p>
        </w:tc>
        <w:tc>
          <w:tcPr>
            <w:tcW w:w="2258" w:type="dxa"/>
            <w:tcBorders>
              <w:top w:val="single" w:color="auto" w:sz="4" w:space="0"/>
              <w:bottom w:val="single" w:color="auto" w:sz="4" w:space="0"/>
            </w:tcBorders>
            <w:noWrap w:val="0"/>
            <w:vAlign w:val="top"/>
          </w:tcPr>
          <w:p w14:paraId="4862D711">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发证单位</w:t>
            </w:r>
          </w:p>
        </w:tc>
        <w:tc>
          <w:tcPr>
            <w:tcW w:w="2260" w:type="dxa"/>
            <w:tcBorders>
              <w:top w:val="single" w:color="auto" w:sz="4" w:space="0"/>
              <w:bottom w:val="single" w:color="auto" w:sz="4" w:space="0"/>
            </w:tcBorders>
            <w:noWrap w:val="0"/>
            <w:vAlign w:val="top"/>
          </w:tcPr>
          <w:p w14:paraId="6D623A6B">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证书等级</w:t>
            </w:r>
          </w:p>
        </w:tc>
        <w:tc>
          <w:tcPr>
            <w:tcW w:w="2047" w:type="dxa"/>
            <w:tcBorders>
              <w:top w:val="single" w:color="auto" w:sz="4" w:space="0"/>
              <w:bottom w:val="single" w:color="auto" w:sz="4" w:space="0"/>
              <w:right w:val="single" w:color="auto" w:sz="4" w:space="0"/>
            </w:tcBorders>
            <w:noWrap w:val="0"/>
            <w:vAlign w:val="top"/>
          </w:tcPr>
          <w:p w14:paraId="60C89AD7">
            <w:pPr>
              <w:pStyle w:val="44"/>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证书有效期</w:t>
            </w:r>
          </w:p>
        </w:tc>
      </w:tr>
      <w:tr w14:paraId="1E1FFE5B">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top w:val="single" w:color="auto" w:sz="4" w:space="0"/>
              <w:left w:val="single" w:color="auto" w:sz="4" w:space="0"/>
            </w:tcBorders>
            <w:noWrap w:val="0"/>
            <w:vAlign w:val="top"/>
          </w:tcPr>
          <w:p w14:paraId="7F4B566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top w:val="single" w:color="auto" w:sz="4" w:space="0"/>
            </w:tcBorders>
            <w:noWrap w:val="0"/>
            <w:vAlign w:val="top"/>
          </w:tcPr>
          <w:p w14:paraId="4C548BC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top w:val="single" w:color="auto" w:sz="4" w:space="0"/>
            </w:tcBorders>
            <w:noWrap w:val="0"/>
            <w:vAlign w:val="top"/>
          </w:tcPr>
          <w:p w14:paraId="30072EF2">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top w:val="single" w:color="auto" w:sz="4" w:space="0"/>
              <w:right w:val="single" w:color="auto" w:sz="4" w:space="0"/>
            </w:tcBorders>
            <w:noWrap w:val="0"/>
            <w:vAlign w:val="top"/>
          </w:tcPr>
          <w:p w14:paraId="1F34D33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81518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EB45BF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165F59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36B1FAB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736EA95C">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39FF628E">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58799C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46A162A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2462916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431927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12FC0419">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6913664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6F450D54">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878D77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46DD1191">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6DFEFDA8">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786727F3">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7FE18175">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4498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0FEA4D2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56066B73">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tcBorders>
            <w:noWrap w:val="0"/>
            <w:vAlign w:val="top"/>
          </w:tcPr>
          <w:p w14:paraId="38EA3AF6">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noWrap w:val="0"/>
            <w:vAlign w:val="top"/>
          </w:tcPr>
          <w:p w14:paraId="3B37975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noWrap w:val="0"/>
            <w:vAlign w:val="top"/>
          </w:tcPr>
          <w:p w14:paraId="4A79759A">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right w:val="single" w:color="auto" w:sz="4" w:space="0"/>
            </w:tcBorders>
            <w:noWrap w:val="0"/>
            <w:vAlign w:val="top"/>
          </w:tcPr>
          <w:p w14:paraId="6E08FCBD">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r w14:paraId="402C1652">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867" w:type="dxa"/>
            <w:tcBorders>
              <w:left w:val="single" w:color="auto" w:sz="4" w:space="0"/>
              <w:bottom w:val="single" w:color="auto" w:sz="4" w:space="0"/>
            </w:tcBorders>
            <w:noWrap w:val="0"/>
            <w:vAlign w:val="top"/>
          </w:tcPr>
          <w:p w14:paraId="578F33BF">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58" w:type="dxa"/>
            <w:tcBorders>
              <w:bottom w:val="single" w:color="auto" w:sz="4" w:space="0"/>
            </w:tcBorders>
            <w:noWrap w:val="0"/>
            <w:vAlign w:val="top"/>
          </w:tcPr>
          <w:p w14:paraId="70389C18">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260" w:type="dxa"/>
            <w:tcBorders>
              <w:bottom w:val="single" w:color="auto" w:sz="4" w:space="0"/>
            </w:tcBorders>
            <w:noWrap w:val="0"/>
            <w:vAlign w:val="top"/>
          </w:tcPr>
          <w:p w14:paraId="54A73BA7">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c>
          <w:tcPr>
            <w:tcW w:w="2047" w:type="dxa"/>
            <w:tcBorders>
              <w:bottom w:val="single" w:color="auto" w:sz="4" w:space="0"/>
              <w:right w:val="single" w:color="auto" w:sz="4" w:space="0"/>
            </w:tcBorders>
            <w:noWrap w:val="0"/>
            <w:vAlign w:val="top"/>
          </w:tcPr>
          <w:p w14:paraId="028A01EB">
            <w:pPr>
              <w:pStyle w:val="44"/>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p>
        </w:tc>
      </w:tr>
    </w:tbl>
    <w:p w14:paraId="6106E7B5">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p>
    <w:p w14:paraId="0BA19402">
      <w:pPr>
        <w:pStyle w:val="44"/>
        <w:keepNext w:val="0"/>
        <w:keepLines w:val="0"/>
        <w:pageBreakBefore w:val="0"/>
        <w:tabs>
          <w:tab w:val="left" w:pos="1050"/>
        </w:tabs>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要求：</w:t>
      </w:r>
    </w:p>
    <w:p w14:paraId="638FEFCB">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填写磋商供应商获得资质、认证或企业信誉证书。</w:t>
      </w:r>
    </w:p>
    <w:p w14:paraId="18483206">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附所列证书复印件或其他证明材料。</w:t>
      </w:r>
    </w:p>
    <w:p w14:paraId="33DA82E3">
      <w:pPr>
        <w:pStyle w:val="44"/>
        <w:keepNext w:val="0"/>
        <w:keepLines w:val="0"/>
        <w:pageBreakBefore w:val="0"/>
        <w:tabs>
          <w:tab w:val="left" w:pos="1050"/>
        </w:tabs>
        <w:kinsoku/>
        <w:overflowPunct/>
        <w:topLinePunct w:val="0"/>
        <w:bidi w:val="0"/>
        <w:spacing w:line="360" w:lineRule="auto"/>
        <w:ind w:firstLine="424" w:firstLineChars="202"/>
        <w:outlineLvl w:val="9"/>
        <w:rPr>
          <w:rFonts w:hint="eastAsia" w:ascii="宋体" w:hAnsi="宋体" w:eastAsia="宋体" w:cs="宋体"/>
          <w:color w:val="auto"/>
          <w:sz w:val="21"/>
          <w:szCs w:val="21"/>
          <w:highlight w:val="none"/>
        </w:rPr>
      </w:pPr>
    </w:p>
    <w:p w14:paraId="341C45CE">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7ECBAD2B">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3ED93F75">
      <w:pPr>
        <w:pStyle w:val="44"/>
        <w:keepNext w:val="0"/>
        <w:keepLines w:val="0"/>
        <w:pageBreakBefore w:val="0"/>
        <w:tabs>
          <w:tab w:val="left" w:pos="1050"/>
        </w:tabs>
        <w:kinsoku/>
        <w:overflowPunct/>
        <w:topLinePunct w:val="0"/>
        <w:bidi w:val="0"/>
        <w:spacing w:line="360" w:lineRule="auto"/>
        <w:ind w:firstLine="630" w:firstLineChars="300"/>
        <w:outlineLvl w:val="9"/>
        <w:rPr>
          <w:rFonts w:hint="eastAsia" w:ascii="宋体" w:hAnsi="宋体" w:eastAsia="宋体" w:cs="宋体"/>
          <w:color w:val="auto"/>
          <w:sz w:val="21"/>
          <w:szCs w:val="21"/>
          <w:highlight w:val="none"/>
        </w:rPr>
      </w:pPr>
    </w:p>
    <w:p w14:paraId="5127A8E3">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07AA3CB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510C3AB4">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63943833">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C09F1C">
      <w:pPr>
        <w:keepNext w:val="0"/>
        <w:keepLines w:val="0"/>
        <w:pageBreakBefore w:val="0"/>
        <w:kinsoku/>
        <w:overflowPunct/>
        <w:topLinePunct w:val="0"/>
        <w:bidi w:val="0"/>
        <w:spacing w:line="360" w:lineRule="auto"/>
        <w:ind w:firstLine="371" w:firstLineChars="177"/>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1AD48F01">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719B14E1">
      <w:pPr>
        <w:pStyle w:val="40"/>
        <w:keepNext w:val="0"/>
        <w:keepLines w:val="0"/>
        <w:pageBreakBefore w:val="0"/>
        <w:shd w:val="clear" w:color="auto" w:fill="FFFFFF"/>
        <w:kinsoku/>
        <w:overflowPunct/>
        <w:topLinePunct w:val="0"/>
        <w:bidi w:val="0"/>
        <w:spacing w:before="0" w:beforeAutospacing="0" w:after="0" w:afterAutospacing="0" w:line="360" w:lineRule="auto"/>
        <w:ind w:firstLine="371" w:firstLineChars="177"/>
        <w:outlineLvl w:val="9"/>
        <w:rPr>
          <w:rFonts w:hint="eastAsia" w:ascii="宋体" w:hAnsi="宋体" w:eastAsia="宋体" w:cs="宋体"/>
          <w:b/>
          <w:bCs/>
          <w:color w:val="auto"/>
          <w:spacing w:val="1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D1A992A">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08F389E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1ABD1406">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54FB246F">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2</w:t>
      </w:r>
    </w:p>
    <w:p w14:paraId="0D5E8CB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类似项目实施情况一览表</w:t>
      </w:r>
    </w:p>
    <w:p w14:paraId="0EDF533A">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8"/>
          <w:szCs w:val="28"/>
          <w:highlight w:val="none"/>
        </w:rPr>
      </w:pPr>
    </w:p>
    <w:tbl>
      <w:tblPr>
        <w:tblStyle w:val="22"/>
        <w:tblW w:w="931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12"/>
        <w:gridCol w:w="1309"/>
        <w:gridCol w:w="1307"/>
        <w:gridCol w:w="1230"/>
        <w:gridCol w:w="1418"/>
        <w:gridCol w:w="1351"/>
        <w:gridCol w:w="1990"/>
      </w:tblGrid>
      <w:tr w14:paraId="420DFF8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2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center"/>
          </w:tcPr>
          <w:p w14:paraId="09E36D36">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序号</w:t>
            </w:r>
          </w:p>
        </w:tc>
        <w:tc>
          <w:tcPr>
            <w:tcW w:w="1309" w:type="dxa"/>
            <w:tcBorders>
              <w:top w:val="single" w:color="auto" w:sz="6" w:space="0"/>
              <w:left w:val="single" w:color="auto" w:sz="6" w:space="0"/>
              <w:bottom w:val="single" w:color="auto" w:sz="6" w:space="0"/>
              <w:right w:val="single" w:color="auto" w:sz="6" w:space="0"/>
            </w:tcBorders>
            <w:noWrap w:val="0"/>
            <w:vAlign w:val="center"/>
          </w:tcPr>
          <w:p w14:paraId="052B75C9">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项目名称</w:t>
            </w:r>
          </w:p>
        </w:tc>
        <w:tc>
          <w:tcPr>
            <w:tcW w:w="1307" w:type="dxa"/>
            <w:tcBorders>
              <w:top w:val="single" w:color="auto" w:sz="6" w:space="0"/>
              <w:left w:val="single" w:color="auto" w:sz="6" w:space="0"/>
              <w:bottom w:val="single" w:color="auto" w:sz="6" w:space="0"/>
              <w:right w:val="single" w:color="auto" w:sz="6" w:space="0"/>
            </w:tcBorders>
            <w:noWrap w:val="0"/>
            <w:vAlign w:val="center"/>
          </w:tcPr>
          <w:p w14:paraId="5D8AD23D">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项目地址</w:t>
            </w:r>
          </w:p>
        </w:tc>
        <w:tc>
          <w:tcPr>
            <w:tcW w:w="1230" w:type="dxa"/>
            <w:tcBorders>
              <w:top w:val="single" w:color="auto" w:sz="6" w:space="0"/>
              <w:left w:val="single" w:color="auto" w:sz="6" w:space="0"/>
              <w:bottom w:val="single" w:color="auto" w:sz="6" w:space="0"/>
              <w:right w:val="single" w:color="auto" w:sz="6" w:space="0"/>
            </w:tcBorders>
            <w:noWrap w:val="0"/>
            <w:vAlign w:val="center"/>
          </w:tcPr>
          <w:p w14:paraId="189967D5">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合同总价</w:t>
            </w:r>
          </w:p>
        </w:tc>
        <w:tc>
          <w:tcPr>
            <w:tcW w:w="1418" w:type="dxa"/>
            <w:tcBorders>
              <w:top w:val="single" w:color="auto" w:sz="6" w:space="0"/>
              <w:left w:val="single" w:color="auto" w:sz="6" w:space="0"/>
              <w:bottom w:val="single" w:color="auto" w:sz="6" w:space="0"/>
              <w:right w:val="single" w:color="auto" w:sz="6" w:space="0"/>
            </w:tcBorders>
            <w:noWrap w:val="0"/>
            <w:vAlign w:val="center"/>
          </w:tcPr>
          <w:p w14:paraId="066CE50E">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实施时间</w:t>
            </w:r>
          </w:p>
        </w:tc>
        <w:tc>
          <w:tcPr>
            <w:tcW w:w="1351" w:type="dxa"/>
            <w:tcBorders>
              <w:top w:val="single" w:color="auto" w:sz="6" w:space="0"/>
              <w:left w:val="single" w:color="auto" w:sz="6" w:space="0"/>
              <w:bottom w:val="single" w:color="auto" w:sz="6" w:space="0"/>
              <w:right w:val="single" w:color="auto" w:sz="6" w:space="0"/>
            </w:tcBorders>
            <w:noWrap w:val="0"/>
            <w:vAlign w:val="center"/>
          </w:tcPr>
          <w:p w14:paraId="73557070">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项目质量</w:t>
            </w:r>
          </w:p>
        </w:tc>
        <w:tc>
          <w:tcPr>
            <w:tcW w:w="1990" w:type="dxa"/>
            <w:tcBorders>
              <w:top w:val="single" w:color="auto" w:sz="6" w:space="0"/>
              <w:left w:val="single" w:color="auto" w:sz="6" w:space="0"/>
              <w:bottom w:val="single" w:color="auto" w:sz="6" w:space="0"/>
              <w:right w:val="single" w:color="auto" w:sz="6" w:space="0"/>
            </w:tcBorders>
            <w:noWrap w:val="0"/>
            <w:vAlign w:val="center"/>
          </w:tcPr>
          <w:p w14:paraId="51C08FEE">
            <w:pPr>
              <w:pStyle w:val="43"/>
              <w:keepNext w:val="0"/>
              <w:keepLines w:val="0"/>
              <w:pageBreakBefore w:val="0"/>
              <w:kinsoku/>
              <w:overflowPunct/>
              <w:topLinePunct w:val="0"/>
              <w:bidi w:val="0"/>
              <w:spacing w:line="360" w:lineRule="auto"/>
              <w:jc w:val="center"/>
              <w:outlineLvl w:val="9"/>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rPr>
              <w:t>项目单位名称及其联系人电话</w:t>
            </w:r>
          </w:p>
        </w:tc>
      </w:tr>
      <w:tr w14:paraId="522B9CC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6"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140C2F5">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1FCC5FA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6F75DCE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29BC5305">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5D5C128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77F7CDF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0677487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4EE872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97"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70B672A8">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00A024B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E82F15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08BE08A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39998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02DA6D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8A5D73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B81467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2"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2F6100C7">
            <w:pPr>
              <w:pStyle w:val="43"/>
              <w:keepNext w:val="0"/>
              <w:keepLines w:val="0"/>
              <w:pageBreakBefore w:val="0"/>
              <w:kinsoku/>
              <w:overflowPunct/>
              <w:topLinePunct w:val="0"/>
              <w:bidi w:val="0"/>
              <w:spacing w:line="360" w:lineRule="auto"/>
              <w:jc w:val="center"/>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3</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4FF1D9C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14771640">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0E28B0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614E70C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985D7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2D468BA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63BDB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6876FB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w:t>
            </w:r>
          </w:p>
        </w:tc>
        <w:tc>
          <w:tcPr>
            <w:tcW w:w="1309" w:type="dxa"/>
            <w:tcBorders>
              <w:top w:val="single" w:color="auto" w:sz="6" w:space="0"/>
              <w:left w:val="single" w:color="auto" w:sz="6" w:space="0"/>
              <w:bottom w:val="single" w:color="auto" w:sz="6" w:space="0"/>
              <w:right w:val="single" w:color="auto" w:sz="6" w:space="0"/>
            </w:tcBorders>
            <w:noWrap w:val="0"/>
            <w:vAlign w:val="top"/>
          </w:tcPr>
          <w:p w14:paraId="3877D409">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44707C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6ADB478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38F44A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5C217D3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3F9E8EC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05EC503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5AE8799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6B85079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4FCAA821">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595B039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08E6EC4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28B84D7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4C1C225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1E920E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18"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67F5D85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77B6720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27B2598B">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90F3FFE">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370C1B8">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0E402EA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68200A46">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r w14:paraId="3104F14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4" w:hRule="atLeast"/>
          <w:jc w:val="center"/>
        </w:trPr>
        <w:tc>
          <w:tcPr>
            <w:tcW w:w="712" w:type="dxa"/>
            <w:tcBorders>
              <w:top w:val="single" w:color="auto" w:sz="6" w:space="0"/>
              <w:left w:val="single" w:color="auto" w:sz="6" w:space="0"/>
              <w:bottom w:val="single" w:color="auto" w:sz="6" w:space="0"/>
              <w:right w:val="single" w:color="auto" w:sz="6" w:space="0"/>
            </w:tcBorders>
            <w:noWrap w:val="0"/>
            <w:vAlign w:val="top"/>
          </w:tcPr>
          <w:p w14:paraId="14FBB6E4">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9" w:type="dxa"/>
            <w:tcBorders>
              <w:top w:val="single" w:color="auto" w:sz="6" w:space="0"/>
              <w:left w:val="single" w:color="auto" w:sz="6" w:space="0"/>
              <w:bottom w:val="single" w:color="auto" w:sz="6" w:space="0"/>
              <w:right w:val="single" w:color="auto" w:sz="6" w:space="0"/>
            </w:tcBorders>
            <w:noWrap w:val="0"/>
            <w:vAlign w:val="top"/>
          </w:tcPr>
          <w:p w14:paraId="5AD7316C">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07" w:type="dxa"/>
            <w:tcBorders>
              <w:top w:val="single" w:color="auto" w:sz="6" w:space="0"/>
              <w:left w:val="single" w:color="auto" w:sz="6" w:space="0"/>
              <w:bottom w:val="single" w:color="auto" w:sz="6" w:space="0"/>
              <w:right w:val="single" w:color="auto" w:sz="6" w:space="0"/>
            </w:tcBorders>
            <w:noWrap w:val="0"/>
            <w:vAlign w:val="top"/>
          </w:tcPr>
          <w:p w14:paraId="0F24BCA3">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230" w:type="dxa"/>
            <w:tcBorders>
              <w:top w:val="single" w:color="auto" w:sz="6" w:space="0"/>
              <w:left w:val="single" w:color="auto" w:sz="6" w:space="0"/>
              <w:bottom w:val="single" w:color="auto" w:sz="6" w:space="0"/>
              <w:right w:val="single" w:color="auto" w:sz="6" w:space="0"/>
            </w:tcBorders>
            <w:noWrap w:val="0"/>
            <w:vAlign w:val="top"/>
          </w:tcPr>
          <w:p w14:paraId="143FF87D">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418" w:type="dxa"/>
            <w:tcBorders>
              <w:top w:val="single" w:color="auto" w:sz="6" w:space="0"/>
              <w:left w:val="single" w:color="auto" w:sz="6" w:space="0"/>
              <w:bottom w:val="single" w:color="auto" w:sz="6" w:space="0"/>
              <w:right w:val="single" w:color="auto" w:sz="6" w:space="0"/>
            </w:tcBorders>
            <w:noWrap w:val="0"/>
            <w:vAlign w:val="top"/>
          </w:tcPr>
          <w:p w14:paraId="77AD60C7">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351" w:type="dxa"/>
            <w:tcBorders>
              <w:top w:val="single" w:color="auto" w:sz="6" w:space="0"/>
              <w:left w:val="single" w:color="auto" w:sz="6" w:space="0"/>
              <w:bottom w:val="single" w:color="auto" w:sz="6" w:space="0"/>
              <w:right w:val="single" w:color="auto" w:sz="6" w:space="0"/>
            </w:tcBorders>
            <w:noWrap w:val="0"/>
            <w:vAlign w:val="top"/>
          </w:tcPr>
          <w:p w14:paraId="34DD8C3A">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c>
          <w:tcPr>
            <w:tcW w:w="1990" w:type="dxa"/>
            <w:tcBorders>
              <w:top w:val="single" w:color="auto" w:sz="6" w:space="0"/>
              <w:left w:val="single" w:color="auto" w:sz="6" w:space="0"/>
              <w:bottom w:val="single" w:color="auto" w:sz="6" w:space="0"/>
              <w:right w:val="single" w:color="auto" w:sz="6" w:space="0"/>
            </w:tcBorders>
            <w:noWrap w:val="0"/>
            <w:vAlign w:val="top"/>
          </w:tcPr>
          <w:p w14:paraId="5F1F12E2">
            <w:pPr>
              <w:pStyle w:val="43"/>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tc>
      </w:tr>
    </w:tbl>
    <w:p w14:paraId="64DBE125">
      <w:pPr>
        <w:keepNext w:val="0"/>
        <w:keepLines w:val="0"/>
        <w:pageBreakBefore w:val="0"/>
        <w:kinsoku/>
        <w:overflowPunct/>
        <w:topLinePunct w:val="0"/>
        <w:autoSpaceDE w:val="0"/>
        <w:autoSpaceDN w:val="0"/>
        <w:bidi w:val="0"/>
        <w:adjustRightInd w:val="0"/>
        <w:spacing w:before="156" w:beforeLines="50" w:line="360" w:lineRule="auto"/>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要求：</w:t>
      </w:r>
    </w:p>
    <w:p w14:paraId="6EF45EA8">
      <w:pPr>
        <w:keepNext w:val="0"/>
        <w:keepLines w:val="0"/>
        <w:pageBreakBefore w:val="0"/>
        <w:kinsoku/>
        <w:overflowPunct/>
        <w:topLinePunct w:val="0"/>
        <w:autoSpaceDE w:val="0"/>
        <w:autoSpaceDN w:val="0"/>
        <w:bidi w:val="0"/>
        <w:adjustRightInd w:val="0"/>
        <w:spacing w:before="156" w:beforeLines="50" w:line="360" w:lineRule="auto"/>
        <w:ind w:firstLine="424" w:firstLineChars="202"/>
        <w:outlineLvl w:val="9"/>
        <w:rPr>
          <w:rFonts w:hint="eastAsia" w:ascii="宋体" w:hAnsi="宋体" w:eastAsia="宋体" w:cs="宋体"/>
          <w:b/>
          <w:color w:val="auto"/>
          <w:sz w:val="21"/>
          <w:szCs w:val="21"/>
          <w:highlight w:val="none"/>
        </w:rPr>
      </w:pPr>
      <w:r>
        <w:rPr>
          <w:rFonts w:hint="eastAsia" w:ascii="宋体" w:hAnsi="宋体" w:eastAsia="宋体" w:cs="宋体"/>
          <w:color w:val="auto"/>
          <w:sz w:val="21"/>
          <w:szCs w:val="21"/>
          <w:highlight w:val="none"/>
        </w:rPr>
        <w:t>1</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业绩证明应提供证明材料（合同复印件可只提供首页、含金额页、盖章页并加盖磋商供应商公章）；</w:t>
      </w:r>
    </w:p>
    <w:p w14:paraId="417B0BA1">
      <w:pPr>
        <w:keepNext w:val="0"/>
        <w:keepLines w:val="0"/>
        <w:pageBreakBefore w:val="0"/>
        <w:kinsoku/>
        <w:overflowPunct/>
        <w:topLinePunct w:val="0"/>
        <w:bidi w:val="0"/>
        <w:spacing w:line="360" w:lineRule="auto"/>
        <w:ind w:firstLine="424" w:firstLineChars="202"/>
        <w:jc w:val="left"/>
        <w:outlineLvl w:val="9"/>
        <w:rPr>
          <w:rFonts w:hint="eastAsia" w:ascii="宋体" w:hAnsi="宋体" w:eastAsia="宋体" w:cs="宋体"/>
          <w:color w:val="auto"/>
          <w:szCs w:val="21"/>
          <w:highlight w:val="none"/>
        </w:rPr>
      </w:pPr>
      <w:r>
        <w:rPr>
          <w:rFonts w:hint="eastAsia" w:ascii="宋体" w:hAnsi="宋体" w:eastAsia="宋体" w:cs="宋体"/>
          <w:color w:val="auto"/>
          <w:sz w:val="21"/>
          <w:szCs w:val="21"/>
          <w:highlight w:val="none"/>
        </w:rPr>
        <w:t>2</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磋商供应商可按此表格式复制。</w:t>
      </w:r>
    </w:p>
    <w:p w14:paraId="2423F591">
      <w:pPr>
        <w:keepNext w:val="0"/>
        <w:keepLines w:val="0"/>
        <w:pageBreakBefore w:val="0"/>
        <w:kinsoku/>
        <w:overflowPunct/>
        <w:topLinePunct w:val="0"/>
        <w:bidi w:val="0"/>
        <w:spacing w:line="360" w:lineRule="auto"/>
        <w:outlineLvl w:val="9"/>
        <w:rPr>
          <w:rFonts w:hint="eastAsia" w:ascii="宋体" w:hAnsi="宋体" w:eastAsia="宋体" w:cs="宋体"/>
          <w:color w:val="auto"/>
          <w:sz w:val="22"/>
          <w:szCs w:val="22"/>
          <w:highlight w:val="none"/>
        </w:rPr>
      </w:pPr>
    </w:p>
    <w:p w14:paraId="5475DB1E">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673A634C">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775F7EFF">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06693DB0">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14FFC8D9">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4D2A85A9">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p>
    <w:p w14:paraId="08911948">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52B92D5A">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p>
    <w:p w14:paraId="5E5015D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6B89FAA9">
      <w:pPr>
        <w:keepNext w:val="0"/>
        <w:keepLines w:val="0"/>
        <w:pageBreakBefore w:val="0"/>
        <w:tabs>
          <w:tab w:val="left" w:pos="2460"/>
        </w:tabs>
        <w:kinsoku/>
        <w:overflowPunct/>
        <w:topLinePunct w:val="0"/>
        <w:bidi w:val="0"/>
        <w:spacing w:line="360" w:lineRule="auto"/>
        <w:outlineLvl w:val="9"/>
        <w:rPr>
          <w:rFonts w:hint="eastAsia" w:ascii="宋体" w:hAnsi="宋体" w:eastAsia="宋体" w:cs="宋体"/>
          <w:b/>
          <w:color w:val="auto"/>
          <w:sz w:val="28"/>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3</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rPr>
        <w:tab/>
      </w:r>
    </w:p>
    <w:p w14:paraId="7997E5F3">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rPr>
        <w:t>售后服务情况表</w:t>
      </w:r>
    </w:p>
    <w:p w14:paraId="7AAD0EF0">
      <w:pPr>
        <w:keepNext w:val="0"/>
        <w:keepLines w:val="0"/>
        <w:pageBreakBefore w:val="0"/>
        <w:kinsoku/>
        <w:overflowPunct/>
        <w:topLinePunct w:val="0"/>
        <w:bidi w:val="0"/>
        <w:spacing w:line="360" w:lineRule="auto"/>
        <w:ind w:firstLine="435"/>
        <w:jc w:val="center"/>
        <w:outlineLvl w:val="9"/>
        <w:rPr>
          <w:rFonts w:hint="eastAsia" w:ascii="宋体" w:hAnsi="宋体" w:eastAsia="宋体" w:cs="宋体"/>
          <w:b/>
          <w:color w:val="auto"/>
          <w:sz w:val="36"/>
          <w:szCs w:val="36"/>
          <w:highlight w:val="none"/>
        </w:rPr>
      </w:pPr>
    </w:p>
    <w:tbl>
      <w:tblPr>
        <w:tblStyle w:val="22"/>
        <w:tblW w:w="8528"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739"/>
        <w:gridCol w:w="2355"/>
        <w:gridCol w:w="4061"/>
        <w:gridCol w:w="1373"/>
      </w:tblGrid>
      <w:tr w14:paraId="2A23AC7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518" w:hRule="atLeast"/>
          <w:jc w:val="center"/>
        </w:trPr>
        <w:tc>
          <w:tcPr>
            <w:tcW w:w="739" w:type="dxa"/>
            <w:noWrap w:val="0"/>
            <w:vAlign w:val="center"/>
          </w:tcPr>
          <w:p w14:paraId="6CC273DD">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序号</w:t>
            </w:r>
          </w:p>
        </w:tc>
        <w:tc>
          <w:tcPr>
            <w:tcW w:w="2355" w:type="dxa"/>
            <w:noWrap w:val="0"/>
            <w:vAlign w:val="center"/>
          </w:tcPr>
          <w:p w14:paraId="5AB8015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项目</w:t>
            </w:r>
          </w:p>
        </w:tc>
        <w:tc>
          <w:tcPr>
            <w:tcW w:w="4061" w:type="dxa"/>
            <w:noWrap w:val="0"/>
            <w:vAlign w:val="center"/>
          </w:tcPr>
          <w:p w14:paraId="56293C13">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磋商供应商承诺</w:t>
            </w:r>
          </w:p>
        </w:tc>
        <w:tc>
          <w:tcPr>
            <w:tcW w:w="1373" w:type="dxa"/>
            <w:noWrap w:val="0"/>
            <w:vAlign w:val="center"/>
          </w:tcPr>
          <w:p w14:paraId="1DE74032">
            <w:pPr>
              <w:pStyle w:val="45"/>
              <w:keepNext w:val="0"/>
              <w:keepLines w:val="0"/>
              <w:pageBreakBefore w:val="0"/>
              <w:kinsoku/>
              <w:overflowPunct/>
              <w:topLinePunct w:val="0"/>
              <w:bidi w:val="0"/>
              <w:spacing w:line="360" w:lineRule="auto"/>
              <w:jc w:val="center"/>
              <w:outlineLvl w:val="9"/>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备注</w:t>
            </w:r>
          </w:p>
        </w:tc>
      </w:tr>
      <w:tr w14:paraId="71E9CE3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2318" w:hRule="atLeast"/>
          <w:jc w:val="center"/>
        </w:trPr>
        <w:tc>
          <w:tcPr>
            <w:tcW w:w="739" w:type="dxa"/>
            <w:noWrap w:val="0"/>
            <w:vAlign w:val="center"/>
          </w:tcPr>
          <w:p w14:paraId="3AF8E24A">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1</w:t>
            </w:r>
          </w:p>
        </w:tc>
        <w:tc>
          <w:tcPr>
            <w:tcW w:w="2355" w:type="dxa"/>
            <w:noWrap w:val="0"/>
            <w:vAlign w:val="center"/>
          </w:tcPr>
          <w:p w14:paraId="0E18EFE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内售后服务情况(服务方式、服务网点、售后服务的内容和措施等等，可用附页和宣传材料)</w:t>
            </w:r>
          </w:p>
        </w:tc>
        <w:tc>
          <w:tcPr>
            <w:tcW w:w="4061" w:type="dxa"/>
            <w:noWrap w:val="0"/>
            <w:vAlign w:val="top"/>
          </w:tcPr>
          <w:p w14:paraId="503968EC">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磋商供应商售后服务情况：</w:t>
            </w:r>
          </w:p>
        </w:tc>
        <w:tc>
          <w:tcPr>
            <w:tcW w:w="1373" w:type="dxa"/>
            <w:noWrap w:val="0"/>
            <w:vAlign w:val="top"/>
          </w:tcPr>
          <w:p w14:paraId="1126BABE">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502C28C8">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869" w:hRule="exact"/>
          <w:jc w:val="center"/>
        </w:trPr>
        <w:tc>
          <w:tcPr>
            <w:tcW w:w="739" w:type="dxa"/>
            <w:noWrap w:val="0"/>
            <w:vAlign w:val="center"/>
          </w:tcPr>
          <w:p w14:paraId="21CBDF87">
            <w:pPr>
              <w:pStyle w:val="45"/>
              <w:keepNext w:val="0"/>
              <w:keepLines w:val="0"/>
              <w:pageBreakBefore w:val="0"/>
              <w:kinsoku/>
              <w:overflowPunct/>
              <w:topLinePunct w:val="0"/>
              <w:bidi w:val="0"/>
              <w:spacing w:line="360" w:lineRule="auto"/>
              <w:jc w:val="center"/>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2</w:t>
            </w:r>
          </w:p>
        </w:tc>
        <w:tc>
          <w:tcPr>
            <w:tcW w:w="2355" w:type="dxa"/>
            <w:noWrap w:val="0"/>
            <w:vAlign w:val="center"/>
          </w:tcPr>
          <w:p w14:paraId="7D27A5FD">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lang w:val="en-US" w:eastAsia="zh-CN"/>
              </w:rPr>
              <w:t>服务期</w:t>
            </w:r>
            <w:r>
              <w:rPr>
                <w:rFonts w:hint="eastAsia" w:ascii="宋体" w:hAnsi="宋体" w:eastAsia="宋体" w:cs="宋体"/>
                <w:bCs/>
                <w:color w:val="auto"/>
                <w:sz w:val="21"/>
                <w:szCs w:val="21"/>
                <w:highlight w:val="none"/>
              </w:rPr>
              <w:t>后售后服务</w:t>
            </w:r>
          </w:p>
        </w:tc>
        <w:tc>
          <w:tcPr>
            <w:tcW w:w="4061" w:type="dxa"/>
            <w:noWrap w:val="0"/>
            <w:vAlign w:val="top"/>
          </w:tcPr>
          <w:p w14:paraId="3DE59ED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448ABF11">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1E2D57A1">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c>
          <w:tcPr>
            <w:tcW w:w="1373" w:type="dxa"/>
            <w:noWrap w:val="0"/>
            <w:vAlign w:val="top"/>
          </w:tcPr>
          <w:p w14:paraId="3AA3C720">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3A150A62">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p w14:paraId="5A99F979">
            <w:pPr>
              <w:pStyle w:val="45"/>
              <w:keepNext w:val="0"/>
              <w:keepLines w:val="0"/>
              <w:pageBreakBefore w:val="0"/>
              <w:kinsoku/>
              <w:overflowPunct/>
              <w:topLinePunct w:val="0"/>
              <w:bidi w:val="0"/>
              <w:spacing w:line="360" w:lineRule="auto"/>
              <w:outlineLvl w:val="9"/>
              <w:rPr>
                <w:rFonts w:hint="eastAsia" w:ascii="宋体" w:hAnsi="宋体" w:eastAsia="宋体" w:cs="宋体"/>
                <w:bCs/>
                <w:color w:val="auto"/>
                <w:sz w:val="21"/>
                <w:szCs w:val="21"/>
                <w:highlight w:val="none"/>
              </w:rPr>
            </w:pPr>
          </w:p>
        </w:tc>
      </w:tr>
      <w:tr w14:paraId="028EE9D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1620" w:hRule="exact"/>
          <w:jc w:val="center"/>
        </w:trPr>
        <w:tc>
          <w:tcPr>
            <w:tcW w:w="739" w:type="dxa"/>
            <w:noWrap w:val="0"/>
            <w:vAlign w:val="center"/>
          </w:tcPr>
          <w:p w14:paraId="1351B3E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 xml:space="preserve"> 3</w:t>
            </w:r>
          </w:p>
        </w:tc>
        <w:tc>
          <w:tcPr>
            <w:tcW w:w="2355" w:type="dxa"/>
            <w:noWrap w:val="0"/>
            <w:vAlign w:val="center"/>
          </w:tcPr>
          <w:p w14:paraId="466FC84C">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培训方案（可用附页）</w:t>
            </w:r>
          </w:p>
        </w:tc>
        <w:tc>
          <w:tcPr>
            <w:tcW w:w="4061" w:type="dxa"/>
            <w:noWrap w:val="0"/>
            <w:vAlign w:val="top"/>
          </w:tcPr>
          <w:p w14:paraId="7FCDC6D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526B4DC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c>
          <w:tcPr>
            <w:tcW w:w="1373" w:type="dxa"/>
            <w:noWrap w:val="0"/>
            <w:vAlign w:val="top"/>
          </w:tcPr>
          <w:p w14:paraId="6E97556A">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2CB5CA53">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p w14:paraId="38CFAC1E">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i/>
                <w:color w:val="auto"/>
                <w:sz w:val="21"/>
                <w:szCs w:val="21"/>
                <w:highlight w:val="none"/>
              </w:rPr>
            </w:pPr>
          </w:p>
        </w:tc>
      </w:tr>
      <w:tr w14:paraId="734C252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cantSplit/>
          <w:trHeight w:val="689" w:hRule="exact"/>
          <w:jc w:val="center"/>
        </w:trPr>
        <w:tc>
          <w:tcPr>
            <w:tcW w:w="739" w:type="dxa"/>
            <w:noWrap w:val="0"/>
            <w:vAlign w:val="center"/>
          </w:tcPr>
          <w:p w14:paraId="5583CA78">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2355" w:type="dxa"/>
            <w:noWrap w:val="0"/>
            <w:vAlign w:val="center"/>
          </w:tcPr>
          <w:p w14:paraId="5FBE2ACC">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r>
              <w:rPr>
                <w:rFonts w:hint="eastAsia" w:ascii="宋体" w:hAnsi="宋体" w:eastAsia="宋体" w:cs="宋体"/>
                <w:bCs/>
                <w:color w:val="auto"/>
                <w:sz w:val="21"/>
                <w:szCs w:val="21"/>
                <w:highlight w:val="none"/>
              </w:rPr>
              <w:t>……</w:t>
            </w:r>
          </w:p>
        </w:tc>
        <w:tc>
          <w:tcPr>
            <w:tcW w:w="4061" w:type="dxa"/>
            <w:noWrap w:val="0"/>
            <w:vAlign w:val="top"/>
          </w:tcPr>
          <w:p w14:paraId="5943E4C5">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c>
          <w:tcPr>
            <w:tcW w:w="1373" w:type="dxa"/>
            <w:noWrap w:val="0"/>
            <w:vAlign w:val="top"/>
          </w:tcPr>
          <w:p w14:paraId="132EB09D">
            <w:pPr>
              <w:pStyle w:val="45"/>
              <w:keepNext w:val="0"/>
              <w:keepLines w:val="0"/>
              <w:pageBreakBefore w:val="0"/>
              <w:widowControl/>
              <w:kinsoku/>
              <w:overflowPunct/>
              <w:topLinePunct w:val="0"/>
              <w:bidi w:val="0"/>
              <w:spacing w:line="360" w:lineRule="auto"/>
              <w:jc w:val="left"/>
              <w:outlineLvl w:val="9"/>
              <w:rPr>
                <w:rFonts w:hint="eastAsia" w:ascii="宋体" w:hAnsi="宋体" w:eastAsia="宋体" w:cs="宋体"/>
                <w:bCs/>
                <w:color w:val="auto"/>
                <w:sz w:val="21"/>
                <w:szCs w:val="21"/>
                <w:highlight w:val="none"/>
              </w:rPr>
            </w:pPr>
          </w:p>
        </w:tc>
      </w:tr>
    </w:tbl>
    <w:p w14:paraId="496C3D08">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2EECA3C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0681B2D2">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79050147">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 xml:space="preserve"> </w:t>
      </w:r>
    </w:p>
    <w:p w14:paraId="3ADB5DF2">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37A389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383DB4E7">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7F6A6D15">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rPr>
      </w:pPr>
    </w:p>
    <w:p w14:paraId="43541C06">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0D41506B">
      <w:pPr>
        <w:keepNext w:val="0"/>
        <w:keepLines w:val="0"/>
        <w:pageBreakBefore w:val="0"/>
        <w:kinsoku/>
        <w:overflowPunct/>
        <w:topLinePunct w:val="0"/>
        <w:bidi w:val="0"/>
        <w:spacing w:line="360" w:lineRule="auto"/>
        <w:ind w:firstLine="435"/>
        <w:outlineLvl w:val="9"/>
        <w:rPr>
          <w:rFonts w:hint="eastAsia" w:ascii="宋体" w:hAnsi="宋体" w:eastAsia="宋体" w:cs="宋体"/>
          <w:color w:val="auto"/>
          <w:sz w:val="21"/>
          <w:szCs w:val="21"/>
          <w:highlight w:val="none"/>
          <w:u w:val="single"/>
        </w:rPr>
      </w:pPr>
    </w:p>
    <w:p w14:paraId="3D7F590C">
      <w:pPr>
        <w:keepNext w:val="0"/>
        <w:keepLines w:val="0"/>
        <w:pageBreakBefore w:val="0"/>
        <w:kinsoku/>
        <w:overflowPunct/>
        <w:topLinePunct w:val="0"/>
        <w:bidi w:val="0"/>
        <w:spacing w:line="360" w:lineRule="auto"/>
        <w:outlineLvl w:val="9"/>
        <w:rPr>
          <w:rFonts w:hint="eastAsia" w:ascii="宋体" w:hAnsi="宋体" w:eastAsia="宋体" w:cs="宋体"/>
          <w:b/>
          <w:color w:val="auto"/>
          <w:sz w:val="28"/>
          <w:highlight w:val="none"/>
        </w:rPr>
      </w:pPr>
    </w:p>
    <w:p w14:paraId="3FC5439D">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pPr>
    </w:p>
    <w:p w14:paraId="44ADC645">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2EABFA83">
      <w:pPr>
        <w:keepNext w:val="0"/>
        <w:keepLines w:val="0"/>
        <w:pageBreakBefore w:val="0"/>
        <w:kinsoku/>
        <w:overflowPunct/>
        <w:topLinePunct w:val="0"/>
        <w:bidi w:val="0"/>
        <w:outlineLvl w:val="9"/>
        <w:rPr>
          <w:rFonts w:hint="eastAsia" w:ascii="宋体" w:hAnsi="宋体" w:eastAsia="宋体" w:cs="宋体"/>
          <w:b/>
          <w:color w:val="auto"/>
          <w:kern w:val="0"/>
          <w:sz w:val="28"/>
          <w:szCs w:val="28"/>
          <w:highlight w:val="none"/>
        </w:rPr>
      </w:pPr>
      <w:r>
        <w:rPr>
          <w:rFonts w:hint="eastAsia" w:ascii="宋体" w:hAnsi="宋体" w:eastAsia="宋体" w:cs="宋体"/>
          <w:b/>
          <w:color w:val="auto"/>
          <w:kern w:val="0"/>
          <w:sz w:val="28"/>
          <w:szCs w:val="28"/>
          <w:highlight w:val="none"/>
        </w:rPr>
        <w:t>附件</w:t>
      </w:r>
      <w:r>
        <w:rPr>
          <w:rFonts w:hint="eastAsia" w:ascii="宋体" w:hAnsi="宋体" w:eastAsia="宋体" w:cs="宋体"/>
          <w:b/>
          <w:color w:val="auto"/>
          <w:kern w:val="0"/>
          <w:sz w:val="28"/>
          <w:szCs w:val="28"/>
          <w:highlight w:val="none"/>
          <w:lang w:val="en-US" w:eastAsia="zh-CN"/>
        </w:rPr>
        <w:t>1</w:t>
      </w:r>
      <w:r>
        <w:rPr>
          <w:rFonts w:hint="eastAsia" w:ascii="宋体" w:hAnsi="宋体" w:cs="宋体"/>
          <w:b/>
          <w:color w:val="auto"/>
          <w:kern w:val="0"/>
          <w:sz w:val="28"/>
          <w:szCs w:val="28"/>
          <w:highlight w:val="none"/>
          <w:lang w:val="en-US" w:eastAsia="zh-CN"/>
        </w:rPr>
        <w:t>4</w:t>
      </w:r>
      <w:r>
        <w:rPr>
          <w:rFonts w:hint="eastAsia" w:ascii="宋体" w:hAnsi="宋体" w:eastAsia="宋体" w:cs="宋体"/>
          <w:b/>
          <w:color w:val="auto"/>
          <w:sz w:val="30"/>
          <w:szCs w:val="30"/>
          <w:highlight w:val="none"/>
        </w:rPr>
        <w:t xml:space="preserve">                           </w:t>
      </w:r>
      <w:r>
        <w:rPr>
          <w:rFonts w:hint="eastAsia" w:ascii="宋体" w:hAnsi="宋体" w:eastAsia="宋体" w:cs="宋体"/>
          <w:color w:val="auto"/>
          <w:sz w:val="30"/>
          <w:szCs w:val="30"/>
          <w:highlight w:val="none"/>
        </w:rPr>
        <w:t xml:space="preserve"> 　　　</w:t>
      </w:r>
      <w:r>
        <w:rPr>
          <w:rFonts w:hint="eastAsia" w:ascii="宋体" w:hAnsi="宋体" w:eastAsia="宋体" w:cs="宋体"/>
          <w:b/>
          <w:color w:val="auto"/>
          <w:sz w:val="28"/>
          <w:highlight w:val="none"/>
        </w:rPr>
        <w:t xml:space="preserve">        </w:t>
      </w:r>
      <w:r>
        <w:rPr>
          <w:rFonts w:hint="eastAsia" w:ascii="宋体" w:hAnsi="宋体" w:eastAsia="宋体" w:cs="宋体"/>
          <w:b/>
          <w:color w:val="auto"/>
          <w:sz w:val="28"/>
          <w:highlight w:val="none"/>
          <w:u w:val="single"/>
        </w:rPr>
        <w:t xml:space="preserve">     </w:t>
      </w:r>
      <w:r>
        <w:rPr>
          <w:rFonts w:hint="eastAsia" w:ascii="宋体" w:hAnsi="宋体" w:eastAsia="宋体" w:cs="宋体"/>
          <w:bCs/>
          <w:color w:val="auto"/>
          <w:sz w:val="24"/>
          <w:highlight w:val="none"/>
        </w:rPr>
        <w:t>本</w:t>
      </w:r>
    </w:p>
    <w:p w14:paraId="4F345D00">
      <w:pPr>
        <w:keepNext w:val="0"/>
        <w:keepLines w:val="0"/>
        <w:pageBreakBefore w:val="0"/>
        <w:kinsoku/>
        <w:overflowPunct/>
        <w:topLinePunct w:val="0"/>
        <w:bidi w:val="0"/>
        <w:ind w:right="-110"/>
        <w:jc w:val="center"/>
        <w:outlineLvl w:val="9"/>
        <w:rPr>
          <w:rFonts w:hint="eastAsia" w:ascii="宋体" w:hAnsi="宋体" w:eastAsia="宋体" w:cs="宋体"/>
          <w:color w:val="auto"/>
          <w:spacing w:val="40"/>
          <w:sz w:val="52"/>
          <w:szCs w:val="52"/>
          <w:highlight w:val="none"/>
        </w:rPr>
      </w:pPr>
    </w:p>
    <w:p w14:paraId="798341C6">
      <w:pPr>
        <w:keepNext w:val="0"/>
        <w:keepLines w:val="0"/>
        <w:pageBreakBefore w:val="0"/>
        <w:kinsoku/>
        <w:overflowPunct/>
        <w:topLinePunct w:val="0"/>
        <w:bidi w:val="0"/>
        <w:spacing w:line="360" w:lineRule="auto"/>
        <w:ind w:right="-110"/>
        <w:jc w:val="center"/>
        <w:outlineLvl w:val="9"/>
        <w:rPr>
          <w:rFonts w:hint="eastAsia" w:ascii="宋体" w:hAnsi="宋体" w:eastAsia="宋体" w:cs="宋体"/>
          <w:color w:val="auto"/>
          <w:spacing w:val="40"/>
          <w:sz w:val="52"/>
          <w:szCs w:val="52"/>
          <w:highlight w:val="none"/>
        </w:rPr>
      </w:pPr>
      <w:r>
        <w:rPr>
          <w:rFonts w:hint="eastAsia" w:ascii="宋体" w:hAnsi="宋体" w:eastAsia="宋体" w:cs="宋体"/>
          <w:color w:val="auto"/>
          <w:spacing w:val="40"/>
          <w:sz w:val="52"/>
          <w:szCs w:val="52"/>
          <w:highlight w:val="none"/>
        </w:rPr>
        <w:t>项目名称</w:t>
      </w:r>
    </w:p>
    <w:p w14:paraId="402C3857">
      <w:pPr>
        <w:keepNext w:val="0"/>
        <w:keepLines w:val="0"/>
        <w:pageBreakBefore w:val="0"/>
        <w:kinsoku/>
        <w:overflowPunct/>
        <w:topLinePunct w:val="0"/>
        <w:bidi w:val="0"/>
        <w:spacing w:before="312" w:beforeLines="100" w:line="360" w:lineRule="auto"/>
        <w:ind w:right="-108" w:firstLine="2160" w:firstLineChars="600"/>
        <w:jc w:val="both"/>
        <w:outlineLvl w:val="9"/>
        <w:rPr>
          <w:rFonts w:hint="eastAsia" w:ascii="宋体" w:hAnsi="宋体" w:eastAsia="宋体" w:cs="宋体"/>
          <w:color w:val="auto"/>
          <w:sz w:val="36"/>
          <w:szCs w:val="36"/>
          <w:highlight w:val="none"/>
          <w:u w:val="single"/>
        </w:rPr>
      </w:pPr>
      <w:r>
        <w:rPr>
          <w:rFonts w:hint="eastAsia" w:ascii="宋体" w:hAnsi="宋体" w:eastAsia="宋体" w:cs="宋体"/>
          <w:color w:val="auto"/>
          <w:sz w:val="36"/>
          <w:szCs w:val="36"/>
          <w:highlight w:val="none"/>
        </w:rPr>
        <w:t>项目编号：</w:t>
      </w:r>
      <w:r>
        <w:rPr>
          <w:rFonts w:hint="eastAsia" w:ascii="宋体" w:hAnsi="宋体" w:eastAsia="宋体" w:cs="宋体"/>
          <w:color w:val="auto"/>
          <w:sz w:val="36"/>
          <w:szCs w:val="36"/>
          <w:highlight w:val="none"/>
          <w:u w:val="single"/>
        </w:rPr>
        <w:t xml:space="preserve">            </w:t>
      </w:r>
    </w:p>
    <w:p w14:paraId="24AEAE3F">
      <w:pPr>
        <w:pStyle w:val="20"/>
        <w:keepNext w:val="0"/>
        <w:keepLines w:val="0"/>
        <w:pageBreakBefore w:val="0"/>
        <w:widowControl w:val="0"/>
        <w:kinsoku/>
        <w:wordWrap/>
        <w:overflowPunct/>
        <w:topLinePunct w:val="0"/>
        <w:autoSpaceDE w:val="0"/>
        <w:autoSpaceDN w:val="0"/>
        <w:bidi w:val="0"/>
        <w:adjustRightInd w:val="0"/>
        <w:snapToGrid/>
        <w:textAlignment w:val="auto"/>
        <w:outlineLvl w:val="9"/>
        <w:rPr>
          <w:rFonts w:hint="eastAsia" w:ascii="宋体" w:hAnsi="宋体" w:eastAsia="宋体" w:cs="宋体"/>
          <w:color w:val="auto"/>
          <w:highlight w:val="none"/>
        </w:rPr>
      </w:pPr>
    </w:p>
    <w:p w14:paraId="179DAFBB">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磋</w:t>
      </w:r>
    </w:p>
    <w:p w14:paraId="28435921">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商</w:t>
      </w:r>
    </w:p>
    <w:p w14:paraId="4D1055B2">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响</w:t>
      </w:r>
    </w:p>
    <w:p w14:paraId="0DDCB1B7">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应</w:t>
      </w:r>
    </w:p>
    <w:p w14:paraId="4F1D6F5C">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文</w:t>
      </w:r>
    </w:p>
    <w:p w14:paraId="70753298">
      <w:pPr>
        <w:keepNext w:val="0"/>
        <w:keepLines w:val="0"/>
        <w:pageBreakBefore w:val="0"/>
        <w:kinsoku/>
        <w:overflowPunct/>
        <w:topLinePunct w:val="0"/>
        <w:bidi w:val="0"/>
        <w:spacing w:after="100" w:afterAutospacing="1" w:line="800" w:lineRule="exact"/>
        <w:ind w:right="-108"/>
        <w:jc w:val="center"/>
        <w:outlineLvl w:val="9"/>
        <w:rPr>
          <w:rFonts w:hint="eastAsia" w:ascii="宋体" w:hAnsi="宋体" w:eastAsia="宋体" w:cs="宋体"/>
          <w:b/>
          <w:color w:val="auto"/>
          <w:spacing w:val="40"/>
          <w:sz w:val="72"/>
          <w:szCs w:val="72"/>
          <w:highlight w:val="none"/>
        </w:rPr>
      </w:pPr>
      <w:r>
        <w:rPr>
          <w:rFonts w:hint="eastAsia" w:ascii="宋体" w:hAnsi="宋体" w:eastAsia="宋体" w:cs="宋体"/>
          <w:b/>
          <w:color w:val="auto"/>
          <w:spacing w:val="40"/>
          <w:sz w:val="72"/>
          <w:szCs w:val="72"/>
          <w:highlight w:val="none"/>
        </w:rPr>
        <w:t>件</w:t>
      </w:r>
    </w:p>
    <w:p w14:paraId="245196B0">
      <w:pPr>
        <w:spacing w:after="100" w:afterAutospacing="1" w:line="360" w:lineRule="auto"/>
        <w:ind w:right="-108"/>
        <w:jc w:val="center"/>
        <w:rPr>
          <w:rFonts w:hint="eastAsia" w:ascii="宋体" w:hAnsi="宋体" w:eastAsia="宋体" w:cs="宋体"/>
          <w:b/>
          <w:color w:val="auto"/>
          <w:spacing w:val="40"/>
          <w:sz w:val="28"/>
          <w:szCs w:val="28"/>
          <w:highlight w:val="none"/>
          <w:lang w:val="zh-CN"/>
        </w:rPr>
      </w:pPr>
      <w:r>
        <w:rPr>
          <w:rFonts w:hint="eastAsia" w:ascii="宋体" w:hAnsi="宋体" w:eastAsia="宋体" w:cs="宋体"/>
          <w:b/>
          <w:color w:val="auto"/>
          <w:spacing w:val="40"/>
          <w:sz w:val="28"/>
          <w:szCs w:val="28"/>
          <w:highlight w:val="none"/>
          <w:lang w:val="zh-CN"/>
        </w:rPr>
        <w:t>（</w:t>
      </w:r>
      <w:r>
        <w:rPr>
          <w:rFonts w:hint="eastAsia" w:ascii="宋体" w:hAnsi="宋体" w:eastAsia="宋体" w:cs="宋体"/>
          <w:b/>
          <w:color w:val="auto"/>
          <w:spacing w:val="40"/>
          <w:sz w:val="28"/>
          <w:szCs w:val="28"/>
          <w:highlight w:val="none"/>
          <w:lang w:val="en-US" w:eastAsia="zh-CN"/>
        </w:rPr>
        <w:t>报价</w:t>
      </w:r>
      <w:r>
        <w:rPr>
          <w:rFonts w:hint="eastAsia" w:ascii="宋体" w:hAnsi="宋体" w:eastAsia="宋体" w:cs="宋体"/>
          <w:b/>
          <w:color w:val="auto"/>
          <w:spacing w:val="40"/>
          <w:sz w:val="28"/>
          <w:szCs w:val="28"/>
          <w:highlight w:val="none"/>
          <w:lang w:val="zh-CN"/>
        </w:rPr>
        <w:t>文件）</w:t>
      </w:r>
    </w:p>
    <w:p w14:paraId="332E313C">
      <w:pPr>
        <w:keepNext w:val="0"/>
        <w:keepLines w:val="0"/>
        <w:pageBreakBefore w:val="0"/>
        <w:kinsoku/>
        <w:overflowPunct/>
        <w:topLinePunct w:val="0"/>
        <w:bidi w:val="0"/>
        <w:spacing w:line="500" w:lineRule="exact"/>
        <w:ind w:right="532"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供应商全称（公章）：</w:t>
      </w:r>
    </w:p>
    <w:p w14:paraId="23C8514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rPr>
        <w:t>地    址：</w:t>
      </w:r>
    </w:p>
    <w:p w14:paraId="336EE969">
      <w:pPr>
        <w:keepNext w:val="0"/>
        <w:keepLines w:val="0"/>
        <w:pageBreakBefore w:val="0"/>
        <w:kinsoku/>
        <w:wordWrap w:val="0"/>
        <w:overflowPunct/>
        <w:topLinePunct w:val="0"/>
        <w:bidi w:val="0"/>
        <w:spacing w:line="500" w:lineRule="exact"/>
        <w:ind w:right="-108" w:firstLine="640" w:firstLineChars="200"/>
        <w:outlineLvl w:val="9"/>
        <w:rPr>
          <w:rFonts w:hint="eastAsia" w:ascii="宋体" w:hAnsi="宋体" w:eastAsia="宋体" w:cs="宋体"/>
          <w:b/>
          <w:bCs/>
          <w:color w:val="auto"/>
          <w:sz w:val="28"/>
          <w:szCs w:val="28"/>
          <w:highlight w:val="none"/>
        </w:rPr>
      </w:pPr>
      <w:r>
        <w:rPr>
          <w:rFonts w:hint="eastAsia" w:ascii="宋体" w:hAnsi="宋体" w:eastAsia="宋体" w:cs="宋体"/>
          <w:color w:val="auto"/>
          <w:sz w:val="32"/>
          <w:szCs w:val="32"/>
          <w:highlight w:val="none"/>
        </w:rPr>
        <w:t>时    间：</w:t>
      </w:r>
    </w:p>
    <w:p w14:paraId="2BBAF21C">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46340155">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val="en-US" w:eastAsia="zh-CN"/>
        </w:rPr>
      </w:pPr>
    </w:p>
    <w:p w14:paraId="53D81C27">
      <w:pPr>
        <w:keepNext w:val="0"/>
        <w:keepLines w:val="0"/>
        <w:pageBreakBefore w:val="0"/>
        <w:widowControl w:val="0"/>
        <w:kinsoku/>
        <w:wordWrap/>
        <w:overflowPunct/>
        <w:topLinePunct w:val="0"/>
        <w:autoSpaceDE/>
        <w:autoSpaceDN/>
        <w:bidi w:val="0"/>
        <w:adjustRightInd/>
        <w:snapToGrid w:val="0"/>
        <w:spacing w:line="360" w:lineRule="auto"/>
        <w:ind w:firstLine="723" w:firstLineChars="200"/>
        <w:jc w:val="center"/>
        <w:textAlignment w:val="auto"/>
        <w:outlineLvl w:val="1"/>
        <w:rPr>
          <w:rFonts w:hint="eastAsia" w:ascii="宋体" w:hAnsi="宋体" w:eastAsia="宋体" w:cs="宋体"/>
          <w:b/>
          <w:color w:val="auto"/>
          <w:sz w:val="36"/>
          <w:szCs w:val="32"/>
          <w:highlight w:val="none"/>
        </w:rPr>
      </w:pPr>
      <w:r>
        <w:rPr>
          <w:rFonts w:hint="eastAsia" w:ascii="宋体" w:hAnsi="宋体" w:eastAsia="宋体" w:cs="宋体"/>
          <w:b/>
          <w:color w:val="auto"/>
          <w:sz w:val="36"/>
          <w:szCs w:val="32"/>
          <w:highlight w:val="none"/>
        </w:rPr>
        <w:t>报价文件目录</w:t>
      </w:r>
    </w:p>
    <w:p w14:paraId="76C8A647">
      <w:pPr>
        <w:keepNext w:val="0"/>
        <w:keepLines w:val="0"/>
        <w:pageBreakBefore w:val="0"/>
        <w:kinsoku/>
        <w:overflowPunct/>
        <w:topLinePunct w:val="0"/>
        <w:bidi w:val="0"/>
        <w:snapToGrid w:val="0"/>
        <w:spacing w:line="360" w:lineRule="auto"/>
        <w:ind w:firstLine="420" w:firstLineChars="200"/>
        <w:jc w:val="left"/>
        <w:outlineLvl w:val="9"/>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1、开标</w:t>
      </w:r>
      <w:r>
        <w:rPr>
          <w:rFonts w:hint="eastAsia" w:ascii="宋体" w:hAnsi="宋体" w:eastAsia="宋体" w:cs="宋体"/>
          <w:color w:val="auto"/>
          <w:sz w:val="21"/>
          <w:szCs w:val="21"/>
          <w:highlight w:val="none"/>
        </w:rPr>
        <w:t>一览表（附件1</w:t>
      </w:r>
      <w:r>
        <w:rPr>
          <w:rFonts w:hint="eastAsia" w:ascii="宋体" w:hAnsi="宋体" w:cs="宋体"/>
          <w:color w:val="auto"/>
          <w:sz w:val="21"/>
          <w:szCs w:val="21"/>
          <w:highlight w:val="none"/>
          <w:lang w:val="en-US" w:eastAsia="zh-CN"/>
        </w:rPr>
        <w:t>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eastAsia="zh-CN"/>
        </w:rPr>
        <w:t>；</w:t>
      </w:r>
    </w:p>
    <w:p w14:paraId="720C639E">
      <w:pPr>
        <w:keepNext w:val="0"/>
        <w:keepLines w:val="0"/>
        <w:pageBreakBefore w:val="0"/>
        <w:kinsoku/>
        <w:overflowPunct/>
        <w:topLinePunct w:val="0"/>
        <w:bidi w:val="0"/>
        <w:snapToGrid w:val="0"/>
        <w:spacing w:line="360" w:lineRule="auto"/>
        <w:ind w:firstLine="420" w:firstLineChars="200"/>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、针对报价投标人认为其他需要说明的；</w:t>
      </w:r>
    </w:p>
    <w:p w14:paraId="7AD2BB8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28"/>
          <w:highlight w:val="none"/>
        </w:rPr>
        <w:sectPr>
          <w:pgSz w:w="11906" w:h="16838"/>
          <w:pgMar w:top="1440" w:right="1800" w:bottom="1440" w:left="1800" w:header="851" w:footer="992" w:gutter="0"/>
          <w:pgNumType w:fmt="decimal"/>
          <w:cols w:space="425" w:num="1"/>
          <w:docGrid w:type="lines" w:linePitch="312" w:charSpace="0"/>
        </w:sectPr>
      </w:pPr>
    </w:p>
    <w:p w14:paraId="1ECB418E">
      <w:pPr>
        <w:keepNext w:val="0"/>
        <w:keepLines w:val="0"/>
        <w:pageBreakBefore w:val="0"/>
        <w:kinsoku/>
        <w:overflowPunct/>
        <w:topLinePunct w:val="0"/>
        <w:bidi w:val="0"/>
        <w:snapToGrid w:val="0"/>
        <w:spacing w:before="156" w:beforeLines="50" w:after="50" w:line="360" w:lineRule="auto"/>
        <w:outlineLvl w:val="9"/>
        <w:rPr>
          <w:rFonts w:hint="eastAsia" w:ascii="宋体" w:hAnsi="宋体" w:eastAsia="宋体" w:cs="宋体"/>
          <w:b/>
          <w:color w:val="auto"/>
          <w:sz w:val="30"/>
          <w:szCs w:val="30"/>
          <w:highlight w:val="none"/>
        </w:rPr>
      </w:pPr>
      <w:r>
        <w:rPr>
          <w:rFonts w:hint="eastAsia" w:ascii="宋体" w:hAnsi="宋体" w:eastAsia="宋体" w:cs="宋体"/>
          <w:b/>
          <w:color w:val="auto"/>
          <w:sz w:val="28"/>
          <w:highlight w:val="none"/>
        </w:rPr>
        <w:t>附件1</w:t>
      </w:r>
      <w:r>
        <w:rPr>
          <w:rFonts w:hint="eastAsia" w:ascii="宋体" w:hAnsi="宋体" w:cs="宋体"/>
          <w:b/>
          <w:color w:val="auto"/>
          <w:sz w:val="28"/>
          <w:highlight w:val="none"/>
          <w:lang w:val="en-US" w:eastAsia="zh-CN"/>
        </w:rPr>
        <w:t>5</w:t>
      </w:r>
      <w:r>
        <w:rPr>
          <w:rFonts w:hint="eastAsia" w:ascii="宋体" w:hAnsi="宋体" w:eastAsia="宋体" w:cs="宋体"/>
          <w:b/>
          <w:color w:val="auto"/>
          <w:sz w:val="30"/>
          <w:szCs w:val="30"/>
          <w:highlight w:val="none"/>
        </w:rPr>
        <w:t xml:space="preserve">                                     </w:t>
      </w:r>
    </w:p>
    <w:p w14:paraId="3BB99E00">
      <w:pPr>
        <w:keepNext w:val="0"/>
        <w:keepLines w:val="0"/>
        <w:pageBreakBefore w:val="0"/>
        <w:kinsoku/>
        <w:overflowPunct/>
        <w:topLinePunct w:val="0"/>
        <w:bidi w:val="0"/>
        <w:spacing w:line="360" w:lineRule="auto"/>
        <w:ind w:left="-2" w:hanging="2"/>
        <w:jc w:val="center"/>
        <w:outlineLvl w:val="9"/>
        <w:rPr>
          <w:rFonts w:hint="eastAsia" w:ascii="宋体" w:hAnsi="宋体" w:eastAsia="宋体" w:cs="宋体"/>
          <w:b/>
          <w:color w:val="auto"/>
          <w:sz w:val="32"/>
          <w:szCs w:val="32"/>
          <w:highlight w:val="none"/>
        </w:rPr>
      </w:pPr>
      <w:r>
        <w:rPr>
          <w:rFonts w:hint="eastAsia" w:ascii="宋体" w:hAnsi="宋体" w:eastAsia="宋体" w:cs="宋体"/>
          <w:b/>
          <w:color w:val="auto"/>
          <w:sz w:val="32"/>
          <w:szCs w:val="32"/>
          <w:highlight w:val="none"/>
          <w:lang w:val="en-US" w:eastAsia="zh-CN"/>
        </w:rPr>
        <w:t>开标</w:t>
      </w:r>
      <w:r>
        <w:rPr>
          <w:rFonts w:hint="eastAsia" w:ascii="宋体" w:hAnsi="宋体" w:eastAsia="宋体" w:cs="宋体"/>
          <w:b/>
          <w:color w:val="auto"/>
          <w:sz w:val="32"/>
          <w:szCs w:val="32"/>
          <w:highlight w:val="none"/>
        </w:rPr>
        <w:t xml:space="preserve">一览表 </w:t>
      </w:r>
    </w:p>
    <w:p w14:paraId="1D6D5359">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4"/>
          <w:highlight w:val="none"/>
        </w:rPr>
      </w:pPr>
    </w:p>
    <w:p w14:paraId="0AC29BB3">
      <w:pPr>
        <w:pStyle w:val="11"/>
        <w:keepNext w:val="0"/>
        <w:keepLines w:val="0"/>
        <w:pageBreakBefore w:val="0"/>
        <w:kinsoku/>
        <w:overflowPunct/>
        <w:topLinePunct w:val="0"/>
        <w:bidi w:val="0"/>
        <w:spacing w:line="320" w:lineRule="exact"/>
        <w:outlineLvl w:val="9"/>
        <w:rPr>
          <w:rFonts w:hint="eastAsia" w:ascii="宋体" w:hAnsi="宋体" w:eastAsia="宋体" w:cs="宋体"/>
          <w:b/>
          <w:color w:val="auto"/>
          <w:sz w:val="21"/>
          <w:szCs w:val="21"/>
          <w:highlight w:val="none"/>
          <w:u w:val="single"/>
        </w:rPr>
      </w:pPr>
      <w:r>
        <w:rPr>
          <w:rFonts w:hint="eastAsia" w:ascii="宋体" w:hAnsi="宋体" w:eastAsia="宋体" w:cs="宋体"/>
          <w:b/>
          <w:color w:val="auto"/>
          <w:sz w:val="21"/>
          <w:szCs w:val="21"/>
          <w:highlight w:val="none"/>
        </w:rPr>
        <w:t>项目编号：</w:t>
      </w:r>
      <w:r>
        <w:rPr>
          <w:rFonts w:hint="eastAsia" w:ascii="宋体" w:hAnsi="宋体" w:eastAsia="宋体" w:cs="宋体"/>
          <w:b/>
          <w:color w:val="auto"/>
          <w:sz w:val="21"/>
          <w:szCs w:val="21"/>
          <w:highlight w:val="none"/>
          <w:u w:val="single"/>
        </w:rPr>
        <w:t xml:space="preserve">               </w:t>
      </w:r>
    </w:p>
    <w:p w14:paraId="28ACC1DA">
      <w:pPr>
        <w:pStyle w:val="49"/>
        <w:keepNext w:val="0"/>
        <w:keepLines w:val="0"/>
        <w:pageBreakBefore w:val="0"/>
        <w:kinsoku/>
        <w:overflowPunct/>
        <w:topLinePunct w:val="0"/>
        <w:bidi w:val="0"/>
        <w:spacing w:line="360" w:lineRule="auto"/>
        <w:ind w:right="480"/>
        <w:jc w:val="left"/>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项目名称：</w:t>
      </w:r>
      <w:r>
        <w:rPr>
          <w:rFonts w:hint="eastAsia" w:ascii="宋体" w:hAnsi="宋体" w:eastAsia="宋体" w:cs="宋体"/>
          <w:b/>
          <w:color w:val="auto"/>
          <w:sz w:val="21"/>
          <w:szCs w:val="21"/>
          <w:highlight w:val="none"/>
          <w:u w:val="single"/>
        </w:rPr>
        <w:t xml:space="preserve">               </w:t>
      </w:r>
      <w:r>
        <w:rPr>
          <w:rFonts w:hint="eastAsia" w:ascii="宋体" w:hAnsi="宋体" w:eastAsia="宋体" w:cs="宋体"/>
          <w:color w:val="auto"/>
          <w:sz w:val="21"/>
          <w:szCs w:val="21"/>
          <w:highlight w:val="none"/>
        </w:rPr>
        <w:t xml:space="preserve">                    [货币单位：人民币元]</w:t>
      </w:r>
    </w:p>
    <w:tbl>
      <w:tblPr>
        <w:tblStyle w:val="22"/>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14:paraId="78545332">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14:paraId="471471B1">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投标</w:t>
            </w:r>
            <w:r>
              <w:rPr>
                <w:rFonts w:hint="eastAsia" w:ascii="宋体" w:hAnsi="宋体" w:eastAsia="宋体" w:cs="宋体"/>
                <w:color w:val="auto"/>
                <w:sz w:val="21"/>
                <w:szCs w:val="21"/>
                <w:highlight w:val="none"/>
              </w:rPr>
              <w:t>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14:paraId="55BFC7F2">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14:paraId="3CEC6B26">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r w14:paraId="185FB243">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14:paraId="5CDB4512">
            <w:pPr>
              <w:keepNext w:val="0"/>
              <w:keepLines w:val="0"/>
              <w:pageBreakBefore w:val="0"/>
              <w:kinsoku/>
              <w:overflowPunct/>
              <w:topLinePunct w:val="0"/>
              <w:bidi w:val="0"/>
              <w:outlineLvl w:val="9"/>
              <w:rPr>
                <w:rFonts w:hint="eastAsia" w:ascii="宋体" w:hAnsi="宋体" w:eastAsia="宋体" w:cs="宋体"/>
                <w:color w:val="auto"/>
                <w:sz w:val="21"/>
                <w:szCs w:val="21"/>
                <w:highlight w:val="none"/>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14:paraId="77E5FE7F">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14:paraId="6E6A1545">
            <w:pPr>
              <w:keepNext w:val="0"/>
              <w:keepLines w:val="0"/>
              <w:pageBreakBefore w:val="0"/>
              <w:kinsoku/>
              <w:overflowPunct/>
              <w:topLinePunct w:val="0"/>
              <w:autoSpaceDE w:val="0"/>
              <w:autoSpaceDN w:val="0"/>
              <w:bidi w:val="0"/>
              <w:spacing w:line="450" w:lineRule="exact"/>
              <w:jc w:val="center"/>
              <w:textAlignment w:val="bottom"/>
              <w:outlineLvl w:val="9"/>
              <w:rPr>
                <w:rFonts w:hint="eastAsia" w:ascii="宋体" w:hAnsi="宋体" w:eastAsia="宋体" w:cs="宋体"/>
                <w:color w:val="auto"/>
                <w:sz w:val="21"/>
                <w:szCs w:val="21"/>
                <w:highlight w:val="none"/>
              </w:rPr>
            </w:pPr>
          </w:p>
        </w:tc>
      </w:tr>
    </w:tbl>
    <w:p w14:paraId="51CA01D4">
      <w:pPr>
        <w:keepNext w:val="0"/>
        <w:keepLines w:val="0"/>
        <w:pageBreakBefore w:val="0"/>
        <w:kinsoku/>
        <w:overflowPunct/>
        <w:topLinePunct w:val="0"/>
        <w:bidi w:val="0"/>
        <w:spacing w:line="360" w:lineRule="auto"/>
        <w:ind w:left="480"/>
        <w:outlineLvl w:val="9"/>
        <w:rPr>
          <w:rFonts w:hint="eastAsia" w:ascii="宋体" w:hAnsi="宋体" w:eastAsia="宋体" w:cs="宋体"/>
          <w:b/>
          <w:color w:val="auto"/>
          <w:sz w:val="21"/>
          <w:szCs w:val="21"/>
          <w:highlight w:val="none"/>
        </w:rPr>
      </w:pPr>
    </w:p>
    <w:p w14:paraId="2D4515E0">
      <w:pPr>
        <w:keepNext w:val="0"/>
        <w:keepLines w:val="0"/>
        <w:pageBreakBefore w:val="0"/>
        <w:kinsoku/>
        <w:overflowPunct/>
        <w:topLinePunct w:val="0"/>
        <w:bidi w:val="0"/>
        <w:spacing w:line="360" w:lineRule="auto"/>
        <w:outlineLvl w:val="9"/>
        <w:rPr>
          <w:rFonts w:hint="eastAsia" w:ascii="宋体" w:hAnsi="宋体" w:eastAsia="宋体" w:cs="宋体"/>
          <w:color w:val="auto"/>
          <w:sz w:val="21"/>
          <w:szCs w:val="21"/>
          <w:highlight w:val="none"/>
        </w:rPr>
      </w:pPr>
      <w:r>
        <w:rPr>
          <w:rFonts w:hint="eastAsia" w:ascii="宋体" w:hAnsi="宋体" w:eastAsia="宋体" w:cs="宋体"/>
          <w:b/>
          <w:color w:val="auto"/>
          <w:sz w:val="21"/>
          <w:szCs w:val="21"/>
          <w:highlight w:val="none"/>
        </w:rPr>
        <w:t>填报要求：</w:t>
      </w:r>
    </w:p>
    <w:p w14:paraId="1B0483F3">
      <w:pPr>
        <w:pStyle w:val="6"/>
        <w:keepNext w:val="0"/>
        <w:keepLines w:val="0"/>
        <w:pageBreakBefore w:val="0"/>
        <w:kinsoku/>
        <w:overflowPunct/>
        <w:topLinePunct w:val="0"/>
        <w:bidi w:val="0"/>
        <w:spacing w:line="360" w:lineRule="auto"/>
        <w:ind w:firstLineChars="200"/>
        <w:outlineLvl w:val="9"/>
        <w:rPr>
          <w:rFonts w:hint="eastAsia" w:ascii="宋体" w:hAnsi="宋体" w:eastAsia="宋体" w:cs="宋体"/>
          <w:color w:val="auto"/>
          <w:kern w:val="0"/>
          <w:sz w:val="21"/>
          <w:szCs w:val="21"/>
          <w:highlight w:val="none"/>
        </w:rPr>
      </w:pPr>
      <w:r>
        <w:rPr>
          <w:rFonts w:hint="eastAsia" w:ascii="宋体" w:hAnsi="宋体" w:eastAsia="宋体" w:cs="宋体"/>
          <w:color w:val="auto"/>
          <w:kern w:val="0"/>
          <w:sz w:val="21"/>
          <w:szCs w:val="21"/>
          <w:highlight w:val="none"/>
        </w:rPr>
        <w:t>1</w:t>
      </w:r>
      <w:r>
        <w:rPr>
          <w:rFonts w:hint="eastAsia" w:ascii="宋体" w:hAnsi="宋体" w:eastAsia="宋体" w:cs="宋体"/>
          <w:color w:val="auto"/>
          <w:kern w:val="0"/>
          <w:sz w:val="21"/>
          <w:szCs w:val="21"/>
          <w:highlight w:val="none"/>
          <w:lang w:eastAsia="zh-CN"/>
        </w:rPr>
        <w:t>、</w:t>
      </w:r>
      <w:r>
        <w:rPr>
          <w:rFonts w:hint="eastAsia" w:ascii="宋体" w:hAnsi="宋体" w:eastAsia="宋体" w:cs="宋体"/>
          <w:color w:val="auto"/>
          <w:sz w:val="21"/>
          <w:szCs w:val="21"/>
          <w:highlight w:val="none"/>
          <w:lang w:val="en-US" w:eastAsia="zh-CN"/>
        </w:rPr>
        <w:t>投标报价为完成本项目的所有费用，包括所有人员的人工费、交通费、住宿费、伙食费、办公设施费、管理费、利润、税金、合同包含的所有风险责任等各项费用及不可预见费等所需的全部费用，全部费用已包含在投标报价中。</w:t>
      </w:r>
    </w:p>
    <w:p w14:paraId="70C7977A">
      <w:pPr>
        <w:keepNext w:val="0"/>
        <w:keepLines w:val="0"/>
        <w:pageBreakBefore w:val="0"/>
        <w:kinsoku/>
        <w:overflowPunct/>
        <w:topLinePunct w:val="0"/>
        <w:bidi w:val="0"/>
        <w:spacing w:line="360" w:lineRule="auto"/>
        <w:ind w:firstLine="422" w:firstLineChars="200"/>
        <w:outlineLvl w:val="9"/>
        <w:rPr>
          <w:rFonts w:hint="eastAsia" w:ascii="宋体" w:hAnsi="宋体" w:eastAsia="宋体" w:cs="宋体"/>
          <w:b/>
          <w:bCs/>
          <w:i/>
          <w:color w:val="auto"/>
          <w:sz w:val="21"/>
          <w:szCs w:val="21"/>
          <w:highlight w:val="none"/>
          <w:u w:val="single"/>
        </w:rPr>
      </w:pPr>
      <w:r>
        <w:rPr>
          <w:rFonts w:hint="eastAsia" w:ascii="宋体" w:hAnsi="宋体" w:eastAsia="宋体" w:cs="宋体"/>
          <w:b/>
          <w:bCs/>
          <w:color w:val="auto"/>
          <w:kern w:val="0"/>
          <w:szCs w:val="21"/>
          <w:highlight w:val="none"/>
          <w:u w:val="single"/>
        </w:rPr>
        <w:t>▲</w:t>
      </w:r>
      <w:r>
        <w:rPr>
          <w:rFonts w:hint="eastAsia" w:ascii="宋体" w:hAnsi="宋体" w:eastAsia="宋体" w:cs="宋体"/>
          <w:b/>
          <w:bCs/>
          <w:color w:val="auto"/>
          <w:kern w:val="0"/>
          <w:sz w:val="21"/>
          <w:szCs w:val="21"/>
          <w:highlight w:val="none"/>
          <w:u w:val="single"/>
        </w:rPr>
        <w:t>2</w:t>
      </w:r>
      <w:r>
        <w:rPr>
          <w:rFonts w:hint="eastAsia" w:ascii="宋体" w:hAnsi="宋体" w:eastAsia="宋体" w:cs="宋体"/>
          <w:b/>
          <w:bCs/>
          <w:color w:val="auto"/>
          <w:kern w:val="0"/>
          <w:sz w:val="21"/>
          <w:szCs w:val="21"/>
          <w:highlight w:val="none"/>
          <w:u w:val="single"/>
          <w:lang w:eastAsia="zh-CN"/>
        </w:rPr>
        <w:t>、</w:t>
      </w:r>
      <w:r>
        <w:rPr>
          <w:rFonts w:hint="eastAsia" w:ascii="宋体" w:hAnsi="宋体" w:eastAsia="宋体" w:cs="宋体"/>
          <w:b/>
          <w:bCs/>
          <w:color w:val="auto"/>
          <w:kern w:val="0"/>
          <w:sz w:val="21"/>
          <w:szCs w:val="21"/>
          <w:highlight w:val="none"/>
          <w:u w:val="single"/>
        </w:rPr>
        <w:t>报价一经涂改，应在涂改处加盖单位公章，或者由法定代表人或</w:t>
      </w:r>
      <w:r>
        <w:rPr>
          <w:rFonts w:hint="eastAsia" w:ascii="宋体" w:hAnsi="宋体" w:eastAsia="宋体" w:cs="宋体"/>
          <w:b/>
          <w:bCs/>
          <w:color w:val="auto"/>
          <w:kern w:val="0"/>
          <w:sz w:val="21"/>
          <w:szCs w:val="21"/>
          <w:highlight w:val="none"/>
          <w:u w:val="single"/>
          <w:lang w:eastAsia="zh-CN"/>
        </w:rPr>
        <w:t>授权委托代理人签字</w:t>
      </w:r>
      <w:r>
        <w:rPr>
          <w:rFonts w:hint="eastAsia" w:ascii="宋体" w:hAnsi="宋体" w:eastAsia="宋体" w:cs="宋体"/>
          <w:b/>
          <w:bCs/>
          <w:color w:val="auto"/>
          <w:kern w:val="0"/>
          <w:sz w:val="21"/>
          <w:szCs w:val="21"/>
          <w:highlight w:val="none"/>
          <w:u w:val="single"/>
        </w:rPr>
        <w:t>或盖章，否则作无效标处理。</w:t>
      </w:r>
    </w:p>
    <w:p w14:paraId="14AA33F9">
      <w:pPr>
        <w:keepNext w:val="0"/>
        <w:keepLines w:val="0"/>
        <w:pageBreakBefore w:val="0"/>
        <w:kinsoku/>
        <w:overflowPunct/>
        <w:topLinePunct w:val="0"/>
        <w:bidi w:val="0"/>
        <w:spacing w:line="360" w:lineRule="auto"/>
        <w:ind w:left="420"/>
        <w:outlineLvl w:val="9"/>
        <w:rPr>
          <w:rFonts w:hint="eastAsia" w:ascii="宋体" w:hAnsi="宋体" w:eastAsia="宋体" w:cs="宋体"/>
          <w:color w:val="auto"/>
          <w:sz w:val="21"/>
          <w:szCs w:val="21"/>
          <w:highlight w:val="none"/>
        </w:rPr>
      </w:pPr>
    </w:p>
    <w:p w14:paraId="6E86B9DF">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1AADE70D">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u w:val="single"/>
        </w:rPr>
      </w:pPr>
      <w:r>
        <w:rPr>
          <w:rFonts w:hint="eastAsia" w:ascii="宋体" w:hAnsi="宋体" w:eastAsia="宋体" w:cs="宋体"/>
          <w:color w:val="auto"/>
          <w:sz w:val="21"/>
          <w:szCs w:val="21"/>
          <w:highlight w:val="none"/>
        </w:rPr>
        <w:t>磋商供应商名称（盖章）：</w:t>
      </w:r>
      <w:r>
        <w:rPr>
          <w:rFonts w:hint="eastAsia" w:ascii="宋体" w:hAnsi="宋体" w:eastAsia="宋体" w:cs="宋体"/>
          <w:color w:val="auto"/>
          <w:sz w:val="21"/>
          <w:szCs w:val="21"/>
          <w:highlight w:val="none"/>
          <w:u w:val="single"/>
        </w:rPr>
        <w:t xml:space="preserve">       </w:t>
      </w:r>
      <w:r>
        <w:rPr>
          <w:rFonts w:hint="eastAsia" w:ascii="宋体" w:hAnsi="宋体" w:cs="宋体"/>
          <w:color w:val="auto"/>
          <w:sz w:val="21"/>
          <w:szCs w:val="21"/>
          <w:highlight w:val="none"/>
          <w:u w:val="single"/>
          <w:lang w:val="en-US" w:eastAsia="zh-CN"/>
        </w:rPr>
        <w:t xml:space="preserve">                  </w:t>
      </w:r>
      <w:r>
        <w:rPr>
          <w:rFonts w:hint="eastAsia" w:ascii="宋体" w:hAnsi="宋体" w:eastAsia="宋体" w:cs="宋体"/>
          <w:color w:val="auto"/>
          <w:sz w:val="21"/>
          <w:szCs w:val="21"/>
          <w:highlight w:val="none"/>
          <w:u w:val="single"/>
        </w:rPr>
        <w:t xml:space="preserve">              </w:t>
      </w:r>
    </w:p>
    <w:p w14:paraId="5CFF2646">
      <w:pPr>
        <w:keepNext w:val="0"/>
        <w:keepLines w:val="0"/>
        <w:pageBreakBefore w:val="0"/>
        <w:kinsoku/>
        <w:overflowPunct/>
        <w:topLinePunct w:val="0"/>
        <w:bidi w:val="0"/>
        <w:spacing w:line="320" w:lineRule="exact"/>
        <w:ind w:left="420"/>
        <w:outlineLvl w:val="9"/>
        <w:rPr>
          <w:rFonts w:hint="eastAsia" w:ascii="宋体" w:hAnsi="宋体" w:eastAsia="宋体" w:cs="宋体"/>
          <w:color w:val="auto"/>
          <w:sz w:val="21"/>
          <w:szCs w:val="21"/>
          <w:highlight w:val="none"/>
        </w:rPr>
      </w:pPr>
    </w:p>
    <w:p w14:paraId="700D2ED0">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法定代表人或授权委托代理人签字或盖章</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u w:val="single"/>
        </w:rPr>
        <w:t xml:space="preserve">                         </w:t>
      </w:r>
    </w:p>
    <w:p w14:paraId="46E59F0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6888419A">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职        务：</w:t>
      </w:r>
      <w:r>
        <w:rPr>
          <w:rFonts w:hint="eastAsia" w:ascii="宋体" w:hAnsi="宋体" w:eastAsia="宋体" w:cs="宋体"/>
          <w:color w:val="auto"/>
          <w:sz w:val="21"/>
          <w:szCs w:val="21"/>
          <w:highlight w:val="none"/>
          <w:u w:val="single"/>
        </w:rPr>
        <w:t xml:space="preserve">                             </w:t>
      </w:r>
    </w:p>
    <w:p w14:paraId="681A9ADF">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p>
    <w:p w14:paraId="14773308">
      <w:pPr>
        <w:keepNext w:val="0"/>
        <w:keepLines w:val="0"/>
        <w:pageBreakBefore w:val="0"/>
        <w:kinsoku/>
        <w:overflowPunct/>
        <w:topLinePunct w:val="0"/>
        <w:bidi w:val="0"/>
        <w:spacing w:line="320" w:lineRule="exact"/>
        <w:ind w:firstLine="435"/>
        <w:outlineLvl w:val="9"/>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日        期：</w:t>
      </w:r>
      <w:r>
        <w:rPr>
          <w:rFonts w:hint="eastAsia" w:ascii="宋体" w:hAnsi="宋体" w:eastAsia="宋体" w:cs="宋体"/>
          <w:color w:val="auto"/>
          <w:sz w:val="21"/>
          <w:szCs w:val="21"/>
          <w:highlight w:val="none"/>
          <w:u w:val="single"/>
        </w:rPr>
        <w:t xml:space="preserve">                             </w:t>
      </w:r>
    </w:p>
    <w:p w14:paraId="1BD309EA">
      <w:pPr>
        <w:keepNext w:val="0"/>
        <w:keepLines w:val="0"/>
        <w:pageBreakBefore w:val="0"/>
        <w:kinsoku/>
        <w:overflowPunct/>
        <w:topLinePunct w:val="0"/>
        <w:bidi w:val="0"/>
        <w:adjustRightInd w:val="0"/>
        <w:snapToGrid w:val="0"/>
        <w:spacing w:line="360" w:lineRule="auto"/>
        <w:ind w:right="480"/>
        <w:jc w:val="center"/>
        <w:outlineLvl w:val="9"/>
        <w:rPr>
          <w:rFonts w:hint="eastAsia" w:ascii="宋体" w:hAnsi="宋体" w:eastAsia="宋体" w:cs="宋体"/>
          <w:color w:val="auto"/>
          <w:kern w:val="0"/>
          <w:sz w:val="24"/>
          <w:highlight w:val="none"/>
          <w:lang w:val="zh-CN"/>
        </w:rPr>
      </w:pPr>
    </w:p>
    <w:p w14:paraId="5D80EFE5">
      <w:pPr>
        <w:keepNext w:val="0"/>
        <w:keepLines w:val="0"/>
        <w:pageBreakBefore w:val="0"/>
        <w:kinsoku/>
        <w:overflowPunct/>
        <w:topLinePunct w:val="0"/>
        <w:bidi w:val="0"/>
        <w:spacing w:line="400" w:lineRule="exact"/>
        <w:outlineLvl w:val="9"/>
        <w:rPr>
          <w:rFonts w:hint="eastAsia" w:ascii="宋体" w:hAnsi="宋体" w:eastAsia="宋体" w:cs="宋体"/>
          <w:b/>
          <w:color w:val="auto"/>
          <w:sz w:val="28"/>
          <w:highlight w:val="none"/>
        </w:rPr>
      </w:pPr>
    </w:p>
    <w:p w14:paraId="2F9EF713">
      <w:pPr>
        <w:keepNext w:val="0"/>
        <w:keepLines w:val="0"/>
        <w:pageBreakBefore w:val="0"/>
        <w:kinsoku/>
        <w:overflowPunct/>
        <w:topLinePunct w:val="0"/>
        <w:bidi w:val="0"/>
        <w:spacing w:line="400" w:lineRule="exact"/>
        <w:outlineLvl w:val="9"/>
        <w:rPr>
          <w:rFonts w:hint="eastAsia" w:ascii="宋体" w:hAnsi="宋体" w:eastAsia="宋体" w:cs="宋体"/>
          <w:b/>
          <w:sz w:val="28"/>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03" w:usb1="288F0000" w:usb2="0000000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1B4219">
    <w:pPr>
      <w:pStyle w:val="14"/>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972185" cy="147955"/>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1.65pt;width:76.55pt;mso-position-horizontal:center;mso-position-horizontal-relative:margin;mso-wrap-style:none;z-index:251660288;mso-width-relative:page;mso-height-relative:page;" filled="f" stroked="f" coordsize="21600,21600" o:gfxdata="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EDF8ZnSAAAABAEAAA8AAAAAAAAAAQAgAAAAIgAAAGRycy9kb3ducmV2Lnht&#10;bFBLAQIUABQAAAAIAIdO4kC1WXqyOAIAAG8EAAAOAAAAAAAAAAEAIAAAACEBAABkcnMvZTJvRG9j&#10;LnhtbFBLBQYAAAAABgAGAFkBAADLBQAAAAA=&#10;">
              <v:fill on="f" focussize="0,0"/>
              <v:stroke on="f" weight="0.5pt"/>
              <v:imagedata o:title=""/>
              <o:lock v:ext="edit" aspectratio="f"/>
              <v:textbox inset="0mm,0mm,0mm,0mm" style="mso-fit-shape-to-text:t;">
                <w:txbxContent>
                  <w:p w14:paraId="2490A20B">
                    <w:pPr>
                      <w:pStyle w:val="14"/>
                    </w:pPr>
                    <w:r>
                      <w:rPr>
                        <w:rFonts w:hint="eastAsia"/>
                      </w:rPr>
                      <w:fldChar w:fldCharType="begin"/>
                    </w:r>
                    <w:r>
                      <w:rPr>
                        <w:rFonts w:hint="eastAsia"/>
                      </w:rPr>
                      <w:instrText xml:space="preserve"> PAGE  \* MERGEFORMAT </w:instrText>
                    </w:r>
                    <w:r>
                      <w:rPr>
                        <w:rFonts w:hint="eastAsia"/>
                      </w:rPr>
                      <w:fldChar w:fldCharType="separate"/>
                    </w:r>
                    <w:r>
                      <w:t>- 43 -</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AEA3FB">
    <w:pPr>
      <w:pStyle w:val="14"/>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40CAFBF2">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- 5 -</w:t>
                    </w:r>
                    <w:r>
                      <w:rPr>
                        <w:rFonts w:hint="eastAsia"/>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90F96F">
    <w:pPr>
      <w:pStyle w:val="1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CD87E1">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03C33">
    <w:pPr>
      <w:rPr>
        <w:i w:val="0"/>
        <w:iCs/>
      </w:rPr>
    </w:pPr>
    <w:r>
      <w:rPr>
        <w:rFonts w:hint="eastAsia"/>
        <w:b/>
        <w:i w:val="0"/>
        <w:iCs/>
        <w:color w:val="000000"/>
        <w:kern w:val="0"/>
        <w:sz w:val="18"/>
        <w:u w:val="single"/>
      </w:rPr>
      <w:t>政府采购</w:t>
    </w:r>
    <w:r>
      <w:rPr>
        <w:rFonts w:hint="eastAsia"/>
        <w:b/>
        <w:i w:val="0"/>
        <w:iCs/>
        <w:color w:val="000000"/>
        <w:kern w:val="0"/>
        <w:sz w:val="18"/>
        <w:u w:val="single"/>
        <w:lang w:val="en-US" w:eastAsia="zh-CN"/>
      </w:rPr>
      <w:t>竞争性磋商</w:t>
    </w:r>
    <w:r>
      <w:rPr>
        <w:rFonts w:hint="eastAsia"/>
        <w:b/>
        <w:i w:val="0"/>
        <w:iCs/>
        <w:color w:val="000000"/>
        <w:kern w:val="0"/>
        <w:sz w:val="18"/>
        <w:u w:val="single"/>
        <w:lang w:eastAsia="zh-CN"/>
      </w:rPr>
      <w:t>文件</w:t>
    </w:r>
    <w:r>
      <w:rPr>
        <w:b/>
        <w:i w:val="0"/>
        <w:iCs/>
        <w:color w:val="000000"/>
        <w:kern w:val="0"/>
        <w:sz w:val="18"/>
        <w:u w:val="single"/>
      </w:rPr>
      <w:t>--</w:t>
    </w:r>
    <w:r>
      <w:rPr>
        <w:rFonts w:hint="eastAsia"/>
        <w:b/>
        <w:i w:val="0"/>
        <w:iCs/>
        <w:color w:val="000000"/>
        <w:kern w:val="0"/>
        <w:sz w:val="18"/>
        <w:u w:val="single"/>
        <w:lang w:val="en-US" w:eastAsia="zh-CN"/>
      </w:rPr>
      <w:t>拔尖人才早期培养及化学竞赛项目</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63A965">
    <w:pPr>
      <w:pStyle w:val="1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2AF8EF">
    <w:pPr>
      <w:pStyle w:val="15"/>
    </w:pPr>
    <w:r>
      <w:drawing>
        <wp:anchor distT="0" distB="0" distL="114300" distR="114300" simplePos="0" relativeHeight="251660288" behindDoc="1" locked="0" layoutInCell="0" allowOverlap="1">
          <wp:simplePos x="0" y="0"/>
          <wp:positionH relativeFrom="margin">
            <wp:align>center</wp:align>
          </wp:positionH>
          <wp:positionV relativeFrom="margin">
            <wp:align>center</wp:align>
          </wp:positionV>
          <wp:extent cx="7560945" cy="10658475"/>
          <wp:effectExtent l="0" t="0" r="8255" b="9525"/>
          <wp:wrapNone/>
          <wp:docPr id="3" name="WordPictureWatermark176654066"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ordPictureWatermark176654066"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6620C6">
    <w:pPr>
      <w:pStyle w:val="15"/>
    </w:pPr>
    <w:r>
      <w:drawing>
        <wp:anchor distT="0" distB="0" distL="114300" distR="114300" simplePos="0" relativeHeight="251659264" behindDoc="1" locked="0" layoutInCell="0" allowOverlap="1">
          <wp:simplePos x="0" y="0"/>
          <wp:positionH relativeFrom="margin">
            <wp:align>center</wp:align>
          </wp:positionH>
          <wp:positionV relativeFrom="margin">
            <wp:align>center</wp:align>
          </wp:positionV>
          <wp:extent cx="7560945" cy="10658475"/>
          <wp:effectExtent l="0" t="0" r="8255" b="9525"/>
          <wp:wrapNone/>
          <wp:docPr id="1" name="WordPictureWatermark176654065" descr="永安A4封面底图(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76654065" descr="永安A4封面底图(5)"/>
                  <pic:cNvPicPr>
                    <a:picLocks noChangeAspect="1"/>
                  </pic:cNvPicPr>
                </pic:nvPicPr>
                <pic:blipFill>
                  <a:blip r:embed="rId1"/>
                  <a:stretch>
                    <a:fillRect/>
                  </a:stretch>
                </pic:blipFill>
                <pic:spPr>
                  <a:xfrm>
                    <a:off x="0" y="0"/>
                    <a:ext cx="7560945" cy="106584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B658AB"/>
    <w:multiLevelType w:val="singleLevel"/>
    <w:tmpl w:val="C9B658AB"/>
    <w:lvl w:ilvl="0" w:tentative="0">
      <w:start w:val="1"/>
      <w:numFmt w:val="decimal"/>
      <w:suff w:val="nothing"/>
      <w:lvlText w:val="%1、"/>
      <w:lvlJc w:val="left"/>
    </w:lvl>
  </w:abstractNum>
  <w:abstractNum w:abstractNumId="1">
    <w:nsid w:val="471E06A1"/>
    <w:multiLevelType w:val="singleLevel"/>
    <w:tmpl w:val="471E06A1"/>
    <w:lvl w:ilvl="0" w:tentative="0">
      <w:start w:val="1"/>
      <w:numFmt w:val="japaneseCounting"/>
      <w:lvlText w:val="%1、"/>
      <w:lvlJc w:val="left"/>
      <w:pPr>
        <w:tabs>
          <w:tab w:val="left" w:pos="960"/>
        </w:tabs>
        <w:ind w:left="960" w:hanging="600"/>
      </w:pPr>
      <w:rPr>
        <w:rFonts w:hint="eastAsia" w:cs="Times New Roman"/>
      </w:rPr>
    </w:lvl>
  </w:abstractNum>
  <w:abstractNum w:abstractNumId="2">
    <w:nsid w:val="770A450F"/>
    <w:multiLevelType w:val="singleLevel"/>
    <w:tmpl w:val="770A450F"/>
    <w:lvl w:ilvl="0" w:tentative="0">
      <w:start w:val="2"/>
      <w:numFmt w:val="chineseCounting"/>
      <w:suff w:val="space"/>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0"/>
  <w:displayBackgroundShape w:val="1"/>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M3MGY4ODYxYTJmOGU5MjE1YjUzOGFlOWUyNmI5YTkifQ=="/>
  </w:docVars>
  <w:rsids>
    <w:rsidRoot w:val="00BE3149"/>
    <w:rsid w:val="0008396C"/>
    <w:rsid w:val="003C6577"/>
    <w:rsid w:val="00532108"/>
    <w:rsid w:val="006C42F4"/>
    <w:rsid w:val="009B7365"/>
    <w:rsid w:val="009C6908"/>
    <w:rsid w:val="009E7B9B"/>
    <w:rsid w:val="00B95117"/>
    <w:rsid w:val="00BE3149"/>
    <w:rsid w:val="00D27694"/>
    <w:rsid w:val="00E04ED8"/>
    <w:rsid w:val="00FA3415"/>
    <w:rsid w:val="00FF74E6"/>
    <w:rsid w:val="01B57647"/>
    <w:rsid w:val="01D70B06"/>
    <w:rsid w:val="02380D19"/>
    <w:rsid w:val="02F97313"/>
    <w:rsid w:val="03320476"/>
    <w:rsid w:val="036C1E9F"/>
    <w:rsid w:val="041338AE"/>
    <w:rsid w:val="043F7FC4"/>
    <w:rsid w:val="04466BB8"/>
    <w:rsid w:val="04785EAF"/>
    <w:rsid w:val="04E65DCF"/>
    <w:rsid w:val="04F512AE"/>
    <w:rsid w:val="052341BD"/>
    <w:rsid w:val="0601391E"/>
    <w:rsid w:val="067363FE"/>
    <w:rsid w:val="073967B1"/>
    <w:rsid w:val="07685A63"/>
    <w:rsid w:val="076A5AA3"/>
    <w:rsid w:val="07D22E0A"/>
    <w:rsid w:val="08390248"/>
    <w:rsid w:val="08AC4158"/>
    <w:rsid w:val="09001A02"/>
    <w:rsid w:val="09492528"/>
    <w:rsid w:val="09846D45"/>
    <w:rsid w:val="09E03F7D"/>
    <w:rsid w:val="09F33DD0"/>
    <w:rsid w:val="0A071FFD"/>
    <w:rsid w:val="0A2C1FBC"/>
    <w:rsid w:val="0A520D34"/>
    <w:rsid w:val="0AB3646A"/>
    <w:rsid w:val="0AF64F0D"/>
    <w:rsid w:val="0B8001A4"/>
    <w:rsid w:val="0B891AF0"/>
    <w:rsid w:val="0BA172EE"/>
    <w:rsid w:val="0C181AC6"/>
    <w:rsid w:val="0CFA4EFD"/>
    <w:rsid w:val="0D1F4CD0"/>
    <w:rsid w:val="0D88328D"/>
    <w:rsid w:val="0D9953BA"/>
    <w:rsid w:val="0E0F138C"/>
    <w:rsid w:val="0E706BEC"/>
    <w:rsid w:val="0EC6046D"/>
    <w:rsid w:val="0ED2632B"/>
    <w:rsid w:val="0F122F26"/>
    <w:rsid w:val="0F7E6199"/>
    <w:rsid w:val="0FE74D1C"/>
    <w:rsid w:val="101C5C8C"/>
    <w:rsid w:val="10452B67"/>
    <w:rsid w:val="109F080C"/>
    <w:rsid w:val="11E77423"/>
    <w:rsid w:val="11FA3DFE"/>
    <w:rsid w:val="121665CB"/>
    <w:rsid w:val="12704EB7"/>
    <w:rsid w:val="12EC03CE"/>
    <w:rsid w:val="12FA02EB"/>
    <w:rsid w:val="13BF45A5"/>
    <w:rsid w:val="14785C9E"/>
    <w:rsid w:val="149451F4"/>
    <w:rsid w:val="15065976"/>
    <w:rsid w:val="159E68EB"/>
    <w:rsid w:val="15A76829"/>
    <w:rsid w:val="165C24F7"/>
    <w:rsid w:val="166D6045"/>
    <w:rsid w:val="168339D9"/>
    <w:rsid w:val="168B0076"/>
    <w:rsid w:val="16D072F8"/>
    <w:rsid w:val="16D70F66"/>
    <w:rsid w:val="17047DD8"/>
    <w:rsid w:val="171D6CDD"/>
    <w:rsid w:val="17461D47"/>
    <w:rsid w:val="17981ECF"/>
    <w:rsid w:val="17B10D95"/>
    <w:rsid w:val="17B23AF1"/>
    <w:rsid w:val="17D14D06"/>
    <w:rsid w:val="17D2330C"/>
    <w:rsid w:val="183D4CE5"/>
    <w:rsid w:val="18754787"/>
    <w:rsid w:val="191533D1"/>
    <w:rsid w:val="19474367"/>
    <w:rsid w:val="19864C92"/>
    <w:rsid w:val="1AA22976"/>
    <w:rsid w:val="1B0E2C71"/>
    <w:rsid w:val="1B521E3D"/>
    <w:rsid w:val="1B6603B7"/>
    <w:rsid w:val="1BC0155F"/>
    <w:rsid w:val="1CBF0303"/>
    <w:rsid w:val="1CC61F19"/>
    <w:rsid w:val="1CC7243E"/>
    <w:rsid w:val="1D465475"/>
    <w:rsid w:val="1DA031B3"/>
    <w:rsid w:val="1E1F7201"/>
    <w:rsid w:val="1F162724"/>
    <w:rsid w:val="1F4F69F4"/>
    <w:rsid w:val="2012057A"/>
    <w:rsid w:val="20181953"/>
    <w:rsid w:val="201C7B31"/>
    <w:rsid w:val="203F2146"/>
    <w:rsid w:val="20750A06"/>
    <w:rsid w:val="20AA0083"/>
    <w:rsid w:val="20ED3C16"/>
    <w:rsid w:val="21492AD8"/>
    <w:rsid w:val="221F36B8"/>
    <w:rsid w:val="223A2AB8"/>
    <w:rsid w:val="224700DF"/>
    <w:rsid w:val="22482582"/>
    <w:rsid w:val="23FA686C"/>
    <w:rsid w:val="243D5372"/>
    <w:rsid w:val="246A443F"/>
    <w:rsid w:val="24AA5BCC"/>
    <w:rsid w:val="255B67E8"/>
    <w:rsid w:val="25B31792"/>
    <w:rsid w:val="25D20519"/>
    <w:rsid w:val="25D33FD6"/>
    <w:rsid w:val="26B8513F"/>
    <w:rsid w:val="277E06D7"/>
    <w:rsid w:val="27AC425F"/>
    <w:rsid w:val="28032FE3"/>
    <w:rsid w:val="28D80E9E"/>
    <w:rsid w:val="29320DF3"/>
    <w:rsid w:val="29694112"/>
    <w:rsid w:val="298430E1"/>
    <w:rsid w:val="299D7AFA"/>
    <w:rsid w:val="29E63530"/>
    <w:rsid w:val="2A8138F9"/>
    <w:rsid w:val="2AF74AFF"/>
    <w:rsid w:val="2B2C7B14"/>
    <w:rsid w:val="2B430715"/>
    <w:rsid w:val="2CDC7C10"/>
    <w:rsid w:val="2D942570"/>
    <w:rsid w:val="2DD30B59"/>
    <w:rsid w:val="2E3142A5"/>
    <w:rsid w:val="2EBE2906"/>
    <w:rsid w:val="2EEF2FD0"/>
    <w:rsid w:val="2F607C49"/>
    <w:rsid w:val="2F7B1BB4"/>
    <w:rsid w:val="2FAF0F3B"/>
    <w:rsid w:val="2FCC2EC1"/>
    <w:rsid w:val="2FD75A57"/>
    <w:rsid w:val="30150257"/>
    <w:rsid w:val="30194228"/>
    <w:rsid w:val="305A68F0"/>
    <w:rsid w:val="309703E8"/>
    <w:rsid w:val="30CF5D28"/>
    <w:rsid w:val="30F24A05"/>
    <w:rsid w:val="31813005"/>
    <w:rsid w:val="31B43A06"/>
    <w:rsid w:val="323740AF"/>
    <w:rsid w:val="328B6879"/>
    <w:rsid w:val="342101FC"/>
    <w:rsid w:val="34772ADD"/>
    <w:rsid w:val="34AE7FED"/>
    <w:rsid w:val="351836BE"/>
    <w:rsid w:val="35590177"/>
    <w:rsid w:val="35A4464D"/>
    <w:rsid w:val="35B65126"/>
    <w:rsid w:val="362A1767"/>
    <w:rsid w:val="36D706BD"/>
    <w:rsid w:val="36DB71B3"/>
    <w:rsid w:val="36DF4838"/>
    <w:rsid w:val="38054CB6"/>
    <w:rsid w:val="38357FC3"/>
    <w:rsid w:val="397114CB"/>
    <w:rsid w:val="3A286983"/>
    <w:rsid w:val="3A316D41"/>
    <w:rsid w:val="3A791AB3"/>
    <w:rsid w:val="3A7A6F1E"/>
    <w:rsid w:val="3AE12ADB"/>
    <w:rsid w:val="3BD804EA"/>
    <w:rsid w:val="3C016C71"/>
    <w:rsid w:val="3C203FE1"/>
    <w:rsid w:val="3C690932"/>
    <w:rsid w:val="3D326006"/>
    <w:rsid w:val="3D843DB4"/>
    <w:rsid w:val="3DB3569D"/>
    <w:rsid w:val="3E2B5399"/>
    <w:rsid w:val="3E4E6F02"/>
    <w:rsid w:val="3E5D59EE"/>
    <w:rsid w:val="3EA305F2"/>
    <w:rsid w:val="3F077B8D"/>
    <w:rsid w:val="3F0B192B"/>
    <w:rsid w:val="3F95513E"/>
    <w:rsid w:val="416F0E3A"/>
    <w:rsid w:val="423E1A86"/>
    <w:rsid w:val="439E152D"/>
    <w:rsid w:val="4412111F"/>
    <w:rsid w:val="45076FD2"/>
    <w:rsid w:val="45185FC7"/>
    <w:rsid w:val="457C209A"/>
    <w:rsid w:val="470216C0"/>
    <w:rsid w:val="47605F31"/>
    <w:rsid w:val="47750EA6"/>
    <w:rsid w:val="47C11F07"/>
    <w:rsid w:val="47D6229D"/>
    <w:rsid w:val="47E83667"/>
    <w:rsid w:val="4A007A95"/>
    <w:rsid w:val="4A254C05"/>
    <w:rsid w:val="4A41632B"/>
    <w:rsid w:val="4A6A77A1"/>
    <w:rsid w:val="4A802F02"/>
    <w:rsid w:val="4ABA63BB"/>
    <w:rsid w:val="4B137686"/>
    <w:rsid w:val="4B4F2424"/>
    <w:rsid w:val="4C2E3605"/>
    <w:rsid w:val="4C392F39"/>
    <w:rsid w:val="4CD669C1"/>
    <w:rsid w:val="4CF72E0A"/>
    <w:rsid w:val="4CFC26F0"/>
    <w:rsid w:val="4D190A3D"/>
    <w:rsid w:val="4D9B5E2B"/>
    <w:rsid w:val="4E2813A3"/>
    <w:rsid w:val="4E3623E0"/>
    <w:rsid w:val="4E590CD0"/>
    <w:rsid w:val="4F4966DE"/>
    <w:rsid w:val="4F8B0F00"/>
    <w:rsid w:val="4FFF3FFD"/>
    <w:rsid w:val="500432B7"/>
    <w:rsid w:val="50972888"/>
    <w:rsid w:val="513371C0"/>
    <w:rsid w:val="518E7928"/>
    <w:rsid w:val="51F54737"/>
    <w:rsid w:val="524B29D2"/>
    <w:rsid w:val="527354B0"/>
    <w:rsid w:val="53240DE2"/>
    <w:rsid w:val="54CF56D2"/>
    <w:rsid w:val="551410ED"/>
    <w:rsid w:val="554479B3"/>
    <w:rsid w:val="557309A7"/>
    <w:rsid w:val="55B12017"/>
    <w:rsid w:val="55FC25AC"/>
    <w:rsid w:val="5622038C"/>
    <w:rsid w:val="56AC697A"/>
    <w:rsid w:val="578F4550"/>
    <w:rsid w:val="57977A16"/>
    <w:rsid w:val="57D85939"/>
    <w:rsid w:val="58032CCB"/>
    <w:rsid w:val="580F411A"/>
    <w:rsid w:val="5A5A375F"/>
    <w:rsid w:val="5A8457CD"/>
    <w:rsid w:val="5ACE03B2"/>
    <w:rsid w:val="5AE55A3B"/>
    <w:rsid w:val="5AFA0CD5"/>
    <w:rsid w:val="5BBC3082"/>
    <w:rsid w:val="5BF04E33"/>
    <w:rsid w:val="5C8A42C3"/>
    <w:rsid w:val="5E5C1146"/>
    <w:rsid w:val="5E9C5841"/>
    <w:rsid w:val="5ECC6D02"/>
    <w:rsid w:val="5F0D2C6F"/>
    <w:rsid w:val="605D4301"/>
    <w:rsid w:val="607D6651"/>
    <w:rsid w:val="60BD1FFE"/>
    <w:rsid w:val="611A0EA3"/>
    <w:rsid w:val="61E70C8F"/>
    <w:rsid w:val="621E0E7C"/>
    <w:rsid w:val="62EA0127"/>
    <w:rsid w:val="64870CAA"/>
    <w:rsid w:val="650C6EA7"/>
    <w:rsid w:val="66950943"/>
    <w:rsid w:val="672C1B65"/>
    <w:rsid w:val="672E1E7F"/>
    <w:rsid w:val="67401C19"/>
    <w:rsid w:val="68064BFC"/>
    <w:rsid w:val="68877B1A"/>
    <w:rsid w:val="6A035AFF"/>
    <w:rsid w:val="6A914A15"/>
    <w:rsid w:val="6AAB5773"/>
    <w:rsid w:val="6AD81AFC"/>
    <w:rsid w:val="6B0242A5"/>
    <w:rsid w:val="6B4A0080"/>
    <w:rsid w:val="6C830331"/>
    <w:rsid w:val="6CB57DDF"/>
    <w:rsid w:val="6D8C73BD"/>
    <w:rsid w:val="6D946B00"/>
    <w:rsid w:val="6DA018A4"/>
    <w:rsid w:val="6DBF1822"/>
    <w:rsid w:val="6F156B47"/>
    <w:rsid w:val="6F4126A8"/>
    <w:rsid w:val="6F52577A"/>
    <w:rsid w:val="6F5C678A"/>
    <w:rsid w:val="6F833530"/>
    <w:rsid w:val="6F95389D"/>
    <w:rsid w:val="701C6432"/>
    <w:rsid w:val="722A41A8"/>
    <w:rsid w:val="7253624D"/>
    <w:rsid w:val="72C548FE"/>
    <w:rsid w:val="72CE7DF1"/>
    <w:rsid w:val="738C49D4"/>
    <w:rsid w:val="744E387C"/>
    <w:rsid w:val="748266FC"/>
    <w:rsid w:val="75BB0C3B"/>
    <w:rsid w:val="767D593D"/>
    <w:rsid w:val="769F2A99"/>
    <w:rsid w:val="76A136BE"/>
    <w:rsid w:val="76D43F8B"/>
    <w:rsid w:val="770A7D21"/>
    <w:rsid w:val="772265F9"/>
    <w:rsid w:val="77B0242F"/>
    <w:rsid w:val="788E3E3C"/>
    <w:rsid w:val="78BC2207"/>
    <w:rsid w:val="78C31106"/>
    <w:rsid w:val="78E41C51"/>
    <w:rsid w:val="78FA1692"/>
    <w:rsid w:val="792D6B6B"/>
    <w:rsid w:val="79693483"/>
    <w:rsid w:val="79F008E2"/>
    <w:rsid w:val="7A0B68C7"/>
    <w:rsid w:val="7A2E539A"/>
    <w:rsid w:val="7A392143"/>
    <w:rsid w:val="7A940E65"/>
    <w:rsid w:val="7AE07CFD"/>
    <w:rsid w:val="7B0E0BB9"/>
    <w:rsid w:val="7B376CA9"/>
    <w:rsid w:val="7B7503BA"/>
    <w:rsid w:val="7BE4149E"/>
    <w:rsid w:val="7C3E24DF"/>
    <w:rsid w:val="7CD24121"/>
    <w:rsid w:val="7D8F6DE4"/>
    <w:rsid w:val="7DAA5FB8"/>
    <w:rsid w:val="7DFB0316"/>
    <w:rsid w:val="7E4E7602"/>
    <w:rsid w:val="7E723EF0"/>
    <w:rsid w:val="7ECE10A0"/>
    <w:rsid w:val="7F766ADF"/>
    <w:rsid w:val="7FB36445"/>
    <w:rsid w:val="7FD46F50"/>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0"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nhideWhenUsed="0" w:uiPriority="0" w:semiHidden="0"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autoRedefine/>
    <w:qFormat/>
    <w:uiPriority w:val="0"/>
    <w:pPr>
      <w:keepNext/>
      <w:spacing w:line="360" w:lineRule="auto"/>
      <w:jc w:val="center"/>
      <w:outlineLvl w:val="0"/>
    </w:pPr>
    <w:rPr>
      <w:rFonts w:ascii="Arial" w:hAnsi="Arial" w:eastAsia="华文中宋"/>
      <w:b/>
      <w:color w:val="000000"/>
      <w:sz w:val="32"/>
    </w:rPr>
  </w:style>
  <w:style w:type="paragraph" w:styleId="4">
    <w:name w:val="heading 2"/>
    <w:basedOn w:val="1"/>
    <w:next w:val="1"/>
    <w:autoRedefine/>
    <w:qFormat/>
    <w:uiPriority w:val="0"/>
    <w:pPr>
      <w:keepNext/>
      <w:keepLines/>
      <w:widowControl/>
      <w:spacing w:before="260" w:after="260" w:line="416" w:lineRule="auto"/>
      <w:jc w:val="left"/>
      <w:outlineLvl w:val="1"/>
    </w:pPr>
    <w:rPr>
      <w:rFonts w:ascii="Arial" w:hAnsi="Arial" w:eastAsia="黑体"/>
      <w:b/>
      <w:bCs/>
      <w:sz w:val="32"/>
      <w:szCs w:val="32"/>
    </w:rPr>
  </w:style>
  <w:style w:type="paragraph" w:styleId="5">
    <w:name w:val="heading 3"/>
    <w:basedOn w:val="1"/>
    <w:next w:val="1"/>
    <w:autoRedefine/>
    <w:qFormat/>
    <w:uiPriority w:val="0"/>
    <w:pPr>
      <w:keepNext/>
      <w:keepLines/>
      <w:spacing w:before="260" w:after="260" w:line="360" w:lineRule="auto"/>
      <w:ind w:firstLine="602" w:firstLineChars="200"/>
      <w:outlineLvl w:val="2"/>
    </w:pPr>
    <w:rPr>
      <w:rFonts w:ascii="仿宋_GB2312" w:eastAsia="仿宋_GB2312"/>
      <w:b/>
      <w:bCs/>
      <w:sz w:val="30"/>
      <w:szCs w:val="20"/>
    </w:rPr>
  </w:style>
  <w:style w:type="character" w:default="1" w:styleId="24">
    <w:name w:val="Default Paragraph Font"/>
    <w:autoRedefine/>
    <w:semiHidden/>
    <w:unhideWhenUsed/>
    <w:qFormat/>
    <w:uiPriority w:val="1"/>
  </w:style>
  <w:style w:type="table" w:default="1" w:styleId="22">
    <w:name w:val="Normal Table"/>
    <w:autoRedefine/>
    <w:semiHidden/>
    <w:unhideWhenUsed/>
    <w:qFormat/>
    <w:uiPriority w:val="99"/>
    <w:tblPr>
      <w:tblCellMar>
        <w:top w:w="0" w:type="dxa"/>
        <w:left w:w="108" w:type="dxa"/>
        <w:bottom w:w="0" w:type="dxa"/>
        <w:right w:w="108" w:type="dxa"/>
      </w:tblCellMar>
    </w:tblPr>
  </w:style>
  <w:style w:type="paragraph" w:customStyle="1" w:styleId="2">
    <w:name w:val="[Normal]"/>
    <w:autoRedefine/>
    <w:qFormat/>
    <w:uiPriority w:val="0"/>
    <w:rPr>
      <w:rFonts w:ascii="宋体" w:hAnsi="宋体" w:eastAsia="宋体" w:cs="Times New Roman"/>
      <w:sz w:val="24"/>
      <w:szCs w:val="22"/>
      <w:lang w:val="zh-CN" w:eastAsia="zh-CN" w:bidi="ar-SA"/>
    </w:rPr>
  </w:style>
  <w:style w:type="paragraph" w:styleId="6">
    <w:name w:val="Normal Indent"/>
    <w:basedOn w:val="1"/>
    <w:next w:val="7"/>
    <w:autoRedefine/>
    <w:qFormat/>
    <w:uiPriority w:val="0"/>
    <w:pPr>
      <w:ind w:firstLine="420"/>
    </w:pPr>
    <w:rPr>
      <w:szCs w:val="20"/>
    </w:rPr>
  </w:style>
  <w:style w:type="paragraph" w:styleId="7">
    <w:name w:val="toc 2"/>
    <w:basedOn w:val="1"/>
    <w:next w:val="1"/>
    <w:autoRedefine/>
    <w:qFormat/>
    <w:uiPriority w:val="0"/>
    <w:pPr>
      <w:tabs>
        <w:tab w:val="right" w:leader="dot" w:pos="10070"/>
      </w:tabs>
      <w:spacing w:line="480" w:lineRule="auto"/>
      <w:ind w:leftChars="200"/>
    </w:pPr>
  </w:style>
  <w:style w:type="paragraph" w:styleId="8">
    <w:name w:val="Body Text"/>
    <w:basedOn w:val="1"/>
    <w:next w:val="9"/>
    <w:link w:val="33"/>
    <w:autoRedefine/>
    <w:semiHidden/>
    <w:unhideWhenUsed/>
    <w:qFormat/>
    <w:uiPriority w:val="99"/>
    <w:pPr>
      <w:spacing w:after="120"/>
    </w:pPr>
  </w:style>
  <w:style w:type="paragraph" w:styleId="9">
    <w:name w:val="Body Text First Indent"/>
    <w:basedOn w:val="8"/>
    <w:next w:val="1"/>
    <w:autoRedefine/>
    <w:qFormat/>
    <w:uiPriority w:val="0"/>
    <w:pPr>
      <w:ind w:firstLine="420" w:firstLineChars="100"/>
    </w:pPr>
  </w:style>
  <w:style w:type="paragraph" w:styleId="10">
    <w:name w:val="Body Text Indent"/>
    <w:basedOn w:val="1"/>
    <w:next w:val="1"/>
    <w:link w:val="34"/>
    <w:autoRedefine/>
    <w:qFormat/>
    <w:uiPriority w:val="99"/>
    <w:pPr>
      <w:spacing w:after="120"/>
      <w:ind w:left="420" w:leftChars="200"/>
    </w:pPr>
  </w:style>
  <w:style w:type="paragraph" w:styleId="11">
    <w:name w:val="Plain Text"/>
    <w:basedOn w:val="1"/>
    <w:next w:val="12"/>
    <w:autoRedefine/>
    <w:qFormat/>
    <w:uiPriority w:val="0"/>
    <w:rPr>
      <w:rFonts w:ascii="宋体" w:hAnsi="Courier New" w:cstheme="minorBidi"/>
    </w:rPr>
  </w:style>
  <w:style w:type="paragraph" w:styleId="12">
    <w:name w:val="Date"/>
    <w:basedOn w:val="1"/>
    <w:next w:val="1"/>
    <w:autoRedefine/>
    <w:qFormat/>
    <w:uiPriority w:val="99"/>
    <w:pPr>
      <w:ind w:left="2500" w:leftChars="2500"/>
    </w:pPr>
    <w:rPr>
      <w:rFonts w:ascii="Calibri" w:hAnsi="Calibri" w:eastAsia="楷体_GB2312"/>
      <w:sz w:val="32"/>
      <w:szCs w:val="22"/>
    </w:rPr>
  </w:style>
  <w:style w:type="paragraph" w:styleId="13">
    <w:name w:val="Balloon Text"/>
    <w:basedOn w:val="1"/>
    <w:link w:val="35"/>
    <w:autoRedefine/>
    <w:semiHidden/>
    <w:unhideWhenUsed/>
    <w:qFormat/>
    <w:uiPriority w:val="99"/>
    <w:rPr>
      <w:sz w:val="18"/>
      <w:szCs w:val="18"/>
    </w:rPr>
  </w:style>
  <w:style w:type="paragraph" w:styleId="14">
    <w:name w:val="footer"/>
    <w:basedOn w:val="1"/>
    <w:link w:val="32"/>
    <w:autoRedefine/>
    <w:semiHidden/>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5">
    <w:name w:val="header"/>
    <w:basedOn w:val="1"/>
    <w:link w:val="31"/>
    <w:autoRedefine/>
    <w:semiHidden/>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6">
    <w:name w:val="toc 1"/>
    <w:basedOn w:val="1"/>
    <w:next w:val="1"/>
    <w:autoRedefine/>
    <w:qFormat/>
    <w:uiPriority w:val="39"/>
    <w:pPr>
      <w:widowControl/>
      <w:tabs>
        <w:tab w:val="right" w:leader="dot" w:pos="9060"/>
      </w:tabs>
      <w:spacing w:before="120" w:after="120"/>
      <w:jc w:val="left"/>
    </w:pPr>
    <w:rPr>
      <w:b/>
      <w:bCs/>
      <w:caps/>
      <w:kern w:val="0"/>
      <w:sz w:val="24"/>
      <w:szCs w:val="24"/>
      <w:lang w:eastAsia="en-US" w:bidi="en-US"/>
    </w:rPr>
  </w:style>
  <w:style w:type="paragraph" w:styleId="17">
    <w:name w:val="footnote text"/>
    <w:basedOn w:val="1"/>
    <w:autoRedefine/>
    <w:qFormat/>
    <w:uiPriority w:val="0"/>
    <w:pPr>
      <w:snapToGrid w:val="0"/>
      <w:jc w:val="left"/>
    </w:pPr>
    <w:rPr>
      <w:rFonts w:eastAsia="仿宋_GB2312"/>
      <w:sz w:val="18"/>
      <w:szCs w:val="20"/>
    </w:rPr>
  </w:style>
  <w:style w:type="paragraph" w:styleId="18">
    <w:name w:val="HTML Preformatted"/>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19">
    <w:name w:val="Normal (Web)"/>
    <w:basedOn w:val="1"/>
    <w:autoRedefine/>
    <w:qFormat/>
    <w:uiPriority w:val="99"/>
    <w:pPr>
      <w:widowControl/>
      <w:spacing w:before="100" w:beforeAutospacing="1" w:after="100" w:afterAutospacing="1"/>
      <w:jc w:val="left"/>
    </w:pPr>
    <w:rPr>
      <w:rFonts w:ascii="宋体" w:hAnsi="宋体"/>
      <w:kern w:val="0"/>
      <w:sz w:val="24"/>
    </w:rPr>
  </w:style>
  <w:style w:type="paragraph" w:styleId="20">
    <w:name w:val="Title"/>
    <w:basedOn w:val="1"/>
    <w:next w:val="1"/>
    <w:autoRedefine/>
    <w:qFormat/>
    <w:uiPriority w:val="0"/>
    <w:pPr>
      <w:autoSpaceDE w:val="0"/>
      <w:autoSpaceDN w:val="0"/>
      <w:adjustRightInd w:val="0"/>
      <w:spacing w:before="240" w:after="60"/>
      <w:jc w:val="center"/>
      <w:outlineLvl w:val="0"/>
    </w:pPr>
    <w:rPr>
      <w:rFonts w:ascii="Cambria" w:hAnsi="Cambria"/>
      <w:b/>
      <w:color w:val="000000"/>
      <w:kern w:val="0"/>
      <w:sz w:val="32"/>
      <w:szCs w:val="32"/>
    </w:rPr>
  </w:style>
  <w:style w:type="paragraph" w:styleId="21">
    <w:name w:val="Body Text First Indent 2"/>
    <w:basedOn w:val="10"/>
    <w:next w:val="1"/>
    <w:autoRedefine/>
    <w:qFormat/>
    <w:uiPriority w:val="0"/>
    <w:pPr>
      <w:ind w:firstLine="420"/>
    </w:pPr>
  </w:style>
  <w:style w:type="table" w:styleId="23">
    <w:name w:val="Table Grid"/>
    <w:basedOn w:val="2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5">
    <w:name w:val="Strong"/>
    <w:autoRedefine/>
    <w:qFormat/>
    <w:uiPriority w:val="0"/>
    <w:rPr>
      <w:rFonts w:ascii="Tahoma" w:hAnsi="Tahoma" w:cs="Tahoma"/>
      <w:b/>
      <w:sz w:val="24"/>
    </w:rPr>
  </w:style>
  <w:style w:type="character" w:styleId="26">
    <w:name w:val="page number"/>
    <w:basedOn w:val="24"/>
    <w:autoRedefine/>
    <w:qFormat/>
    <w:uiPriority w:val="0"/>
  </w:style>
  <w:style w:type="character" w:styleId="27">
    <w:name w:val="Hyperlink"/>
    <w:basedOn w:val="24"/>
    <w:autoRedefine/>
    <w:unhideWhenUsed/>
    <w:qFormat/>
    <w:uiPriority w:val="0"/>
    <w:rPr>
      <w:color w:val="0000FF"/>
      <w:u w:val="single"/>
    </w:rPr>
  </w:style>
  <w:style w:type="character" w:styleId="28">
    <w:name w:val="footnote reference"/>
    <w:autoRedefine/>
    <w:qFormat/>
    <w:uiPriority w:val="0"/>
    <w:rPr>
      <w:vertAlign w:val="superscript"/>
    </w:rPr>
  </w:style>
  <w:style w:type="paragraph" w:customStyle="1" w:styleId="29">
    <w:name w:val="正文首行缩进1"/>
    <w:basedOn w:val="8"/>
    <w:autoRedefine/>
    <w:qFormat/>
    <w:uiPriority w:val="0"/>
    <w:pPr>
      <w:ind w:firstLine="420" w:firstLineChars="100"/>
    </w:pPr>
  </w:style>
  <w:style w:type="paragraph" w:customStyle="1" w:styleId="30">
    <w:name w:val="正文（首行缩进2字符）"/>
    <w:basedOn w:val="1"/>
    <w:autoRedefine/>
    <w:qFormat/>
    <w:uiPriority w:val="0"/>
    <w:pPr>
      <w:ind w:firstLine="480" w:firstLineChars="200"/>
    </w:pPr>
    <w:rPr>
      <w:sz w:val="24"/>
      <w:szCs w:val="20"/>
    </w:rPr>
  </w:style>
  <w:style w:type="character" w:customStyle="1" w:styleId="31">
    <w:name w:val="页眉 Char"/>
    <w:basedOn w:val="24"/>
    <w:link w:val="15"/>
    <w:autoRedefine/>
    <w:semiHidden/>
    <w:qFormat/>
    <w:uiPriority w:val="99"/>
    <w:rPr>
      <w:sz w:val="18"/>
      <w:szCs w:val="18"/>
    </w:rPr>
  </w:style>
  <w:style w:type="character" w:customStyle="1" w:styleId="32">
    <w:name w:val="页脚 Char"/>
    <w:basedOn w:val="24"/>
    <w:link w:val="14"/>
    <w:autoRedefine/>
    <w:semiHidden/>
    <w:qFormat/>
    <w:uiPriority w:val="99"/>
    <w:rPr>
      <w:sz w:val="18"/>
      <w:szCs w:val="18"/>
    </w:rPr>
  </w:style>
  <w:style w:type="character" w:customStyle="1" w:styleId="33">
    <w:name w:val="正文文本 Char"/>
    <w:basedOn w:val="24"/>
    <w:link w:val="8"/>
    <w:autoRedefine/>
    <w:semiHidden/>
    <w:qFormat/>
    <w:uiPriority w:val="99"/>
    <w:rPr>
      <w:rFonts w:ascii="Times New Roman" w:hAnsi="Times New Roman" w:eastAsia="宋体" w:cs="Times New Roman"/>
      <w:szCs w:val="24"/>
    </w:rPr>
  </w:style>
  <w:style w:type="character" w:customStyle="1" w:styleId="34">
    <w:name w:val="正文文本缩进 Char"/>
    <w:basedOn w:val="24"/>
    <w:link w:val="10"/>
    <w:autoRedefine/>
    <w:qFormat/>
    <w:uiPriority w:val="99"/>
    <w:rPr>
      <w:rFonts w:ascii="Times New Roman" w:hAnsi="Times New Roman" w:eastAsia="宋体" w:cs="Times New Roman"/>
      <w:szCs w:val="24"/>
    </w:rPr>
  </w:style>
  <w:style w:type="character" w:customStyle="1" w:styleId="35">
    <w:name w:val="批注框文本 Char"/>
    <w:basedOn w:val="24"/>
    <w:link w:val="13"/>
    <w:autoRedefine/>
    <w:semiHidden/>
    <w:qFormat/>
    <w:uiPriority w:val="99"/>
    <w:rPr>
      <w:rFonts w:ascii="Times New Roman" w:hAnsi="Times New Roman" w:eastAsia="宋体" w:cs="Times New Roman"/>
      <w:sz w:val="18"/>
      <w:szCs w:val="18"/>
    </w:rPr>
  </w:style>
  <w:style w:type="character" w:customStyle="1" w:styleId="36">
    <w:name w:val="无"/>
    <w:autoRedefine/>
    <w:qFormat/>
    <w:uiPriority w:val="99"/>
  </w:style>
  <w:style w:type="paragraph" w:customStyle="1" w:styleId="37">
    <w:name w:val="表格文字"/>
    <w:basedOn w:val="1"/>
    <w:next w:val="8"/>
    <w:autoRedefine/>
    <w:qFormat/>
    <w:uiPriority w:val="99"/>
    <w:pPr>
      <w:adjustRightInd w:val="0"/>
      <w:spacing w:line="420" w:lineRule="atLeast"/>
      <w:jc w:val="left"/>
      <w:textAlignment w:val="baseline"/>
    </w:pPr>
    <w:rPr>
      <w:kern w:val="0"/>
    </w:rPr>
  </w:style>
  <w:style w:type="paragraph" w:customStyle="1" w:styleId="38">
    <w:name w:val="正文_8_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39">
    <w:name w:val="正文_10_0"/>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40">
    <w:name w:val="reader-word-layer"/>
    <w:basedOn w:val="1"/>
    <w:autoRedefine/>
    <w:qFormat/>
    <w:uiPriority w:val="99"/>
    <w:pPr>
      <w:widowControl/>
      <w:spacing w:before="100" w:beforeAutospacing="1" w:after="100" w:afterAutospacing="1"/>
      <w:jc w:val="left"/>
    </w:pPr>
    <w:rPr>
      <w:rFonts w:ascii="宋体" w:hAnsi="宋体" w:cs="宋体"/>
      <w:kern w:val="0"/>
      <w:sz w:val="24"/>
    </w:rPr>
  </w:style>
  <w:style w:type="paragraph" w:customStyle="1" w:styleId="41">
    <w:name w:val="正文_3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正文_14"/>
    <w:autoRedefine/>
    <w:qFormat/>
    <w:uiPriority w:val="99"/>
    <w:rPr>
      <w:rFonts w:ascii="Times New Roman" w:hAnsi="Times New Roman" w:eastAsia="宋体" w:cs="Times New Roman"/>
      <w:sz w:val="21"/>
      <w:szCs w:val="22"/>
      <w:lang w:val="en-US" w:eastAsia="zh-CN" w:bidi="ar-SA"/>
    </w:rPr>
  </w:style>
  <w:style w:type="paragraph" w:customStyle="1" w:styleId="43">
    <w:name w:val="正文_4"/>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4">
    <w:name w:val="正文_5"/>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5">
    <w:name w:val="正文_1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6">
    <w:name w:val="纯文本_3"/>
    <w:basedOn w:val="45"/>
    <w:autoRedefine/>
    <w:qFormat/>
    <w:uiPriority w:val="99"/>
    <w:pPr>
      <w:widowControl/>
      <w:jc w:val="left"/>
    </w:pPr>
    <w:rPr>
      <w:rFonts w:ascii="宋体" w:hAnsi="Courier New"/>
      <w:szCs w:val="21"/>
    </w:rPr>
  </w:style>
  <w:style w:type="paragraph" w:customStyle="1" w:styleId="47">
    <w:name w:val="纯文本_0_1"/>
    <w:basedOn w:val="1"/>
    <w:autoRedefine/>
    <w:qFormat/>
    <w:uiPriority w:val="99"/>
    <w:pPr>
      <w:widowControl/>
      <w:jc w:val="left"/>
    </w:pPr>
    <w:rPr>
      <w:rFonts w:ascii="宋体" w:hAnsi="Courier New"/>
      <w:szCs w:val="21"/>
    </w:rPr>
  </w:style>
  <w:style w:type="paragraph" w:customStyle="1" w:styleId="48">
    <w:name w:val="正文_17"/>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_2_0"/>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0">
    <w:name w:val="正文_6"/>
    <w:autoRedefine/>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51">
    <w:name w:val="Normal_15"/>
    <w:autoRedefine/>
    <w:qFormat/>
    <w:uiPriority w:val="99"/>
    <w:pPr>
      <w:widowControl w:val="0"/>
      <w:jc w:val="both"/>
    </w:pPr>
    <w:rPr>
      <w:rFonts w:ascii="Calibri" w:hAnsi="Calibri" w:eastAsia="宋体" w:cs="Times New Roman"/>
      <w:kern w:val="2"/>
      <w:sz w:val="21"/>
      <w:szCs w:val="22"/>
      <w:lang w:val="en-US" w:eastAsia="zh-CN" w:bidi="ar-SA"/>
    </w:rPr>
  </w:style>
  <w:style w:type="paragraph" w:customStyle="1" w:styleId="52">
    <w:name w:val="正文1"/>
    <w:next w:val="1"/>
    <w:autoRedefine/>
    <w:qFormat/>
    <w:uiPriority w:val="0"/>
    <w:pPr>
      <w:widowControl w:val="0"/>
      <w:adjustRightInd w:val="0"/>
      <w:spacing w:line="240" w:lineRule="atLeast"/>
      <w:jc w:val="both"/>
    </w:pPr>
    <w:rPr>
      <w:rFonts w:ascii="宋体" w:hAnsi="Times New Roman" w:eastAsia="宋体" w:cs="Times New Roman"/>
      <w:sz w:val="34"/>
      <w:lang w:val="en-US" w:eastAsia="zh-CN" w:bidi="ar-SA"/>
    </w:rPr>
  </w:style>
  <w:style w:type="paragraph" w:customStyle="1" w:styleId="53">
    <w:name w:val="p0"/>
    <w:basedOn w:val="1"/>
    <w:autoRedefine/>
    <w:qFormat/>
    <w:uiPriority w:val="0"/>
    <w:pPr>
      <w:widowControl/>
    </w:pPr>
    <w:rPr>
      <w:rFonts w:ascii="Calibri" w:hAnsi="Calibri" w:cs="宋体"/>
      <w:kern w:val="0"/>
      <w:szCs w:val="21"/>
    </w:rPr>
  </w:style>
  <w:style w:type="paragraph" w:styleId="54">
    <w:name w:val="List Paragraph"/>
    <w:basedOn w:val="1"/>
    <w:autoRedefine/>
    <w:qFormat/>
    <w:uiPriority w:val="0"/>
    <w:pPr>
      <w:ind w:firstLine="420" w:firstLineChars="200"/>
    </w:pPr>
    <w:rPr>
      <w:szCs w:val="24"/>
    </w:rPr>
  </w:style>
  <w:style w:type="paragraph" w:customStyle="1" w:styleId="55">
    <w:name w:val="纯文本1"/>
    <w:basedOn w:val="52"/>
    <w:autoRedefine/>
    <w:qFormat/>
    <w:uiPriority w:val="0"/>
    <w:pPr>
      <w:widowControl/>
      <w:jc w:val="left"/>
    </w:pPr>
    <w:rPr>
      <w:rFonts w:ascii="宋体" w:hAnsi="Courier New"/>
      <w:szCs w:val="20"/>
    </w:rPr>
  </w:style>
  <w:style w:type="character" w:customStyle="1" w:styleId="56">
    <w:name w:val="NormalCharacter"/>
    <w:autoRedefine/>
    <w:semiHidden/>
    <w:qFormat/>
    <w:uiPriority w:val="0"/>
  </w:style>
  <w:style w:type="paragraph" w:customStyle="1" w:styleId="57">
    <w:name w:val="正文2"/>
    <w:basedOn w:val="1"/>
    <w:autoRedefine/>
    <w:qFormat/>
    <w:uiPriority w:val="0"/>
    <w:pPr>
      <w:spacing w:before="156" w:line="360" w:lineRule="auto"/>
      <w:ind w:firstLine="51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header" Target="header3.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2.png"/><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57</Pages>
  <Words>27283</Words>
  <Characters>28925</Characters>
  <Lines>1</Lines>
  <Paragraphs>1</Paragraphs>
  <TotalTime>2</TotalTime>
  <ScaleCrop>false</ScaleCrop>
  <LinksUpToDate>false</LinksUpToDate>
  <CharactersWithSpaces>29872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2020-03-20T03:00:00Z</dcterms:created>
  <dc:creator>苏彬</dc:creator>
  <cp:lastModifiedBy>Samiha</cp:lastModifiedBy>
  <dcterms:modified xsi:type="dcterms:W3CDTF">2025-03-27T05:57:52Z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D830E0D35C9D4A78A7593F89C12A5EFC</vt:lpwstr>
  </property>
  <property fmtid="{D5CDD505-2E9C-101B-9397-08002B2CF9AE}" pid="4" name="commondata">
    <vt:lpwstr>eyJoZGlkIjoiNmNiNWQzMTIyZDkyNWQ5MzYxMmQ5MTE1ZmU3YjE0M2QifQ==</vt:lpwstr>
  </property>
  <property fmtid="{D5CDD505-2E9C-101B-9397-08002B2CF9AE}" pid="5" name="KSOTemplateDocerSaveRecord">
    <vt:lpwstr>eyJoZGlkIjoiOWJlZDQ2NmIwYjgzZjdjYWM1MjQ5OTk3YTcyYzMxMzIiLCJ1c2VySWQiOiIzMjE5MDY1OTEifQ==</vt:lpwstr>
  </property>
</Properties>
</file>