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CEF69">
      <w:pPr>
        <w:widowControl/>
        <w:spacing w:line="336" w:lineRule="auto"/>
        <w:jc w:val="center"/>
        <w:rPr>
          <w:rStyle w:val="10"/>
          <w:color w:val="000000"/>
          <w:szCs w:val="22"/>
        </w:rPr>
      </w:pPr>
      <w:r>
        <w:rPr>
          <w:rStyle w:val="10"/>
          <w:rFonts w:hint="eastAsia"/>
          <w:color w:val="000000"/>
          <w:szCs w:val="22"/>
        </w:rPr>
        <w:t>采购需求</w:t>
      </w:r>
      <w:bookmarkStart w:id="0" w:name="_Toc31973"/>
      <w:bookmarkStart w:id="1" w:name="_Toc21034"/>
    </w:p>
    <w:bookmarkEnd w:id="0"/>
    <w:bookmarkEnd w:id="1"/>
    <w:p w14:paraId="2EEB5A45">
      <w:pPr>
        <w:pStyle w:val="5"/>
        <w:spacing w:line="324" w:lineRule="auto"/>
        <w:rPr>
          <w:rFonts w:ascii="宋体" w:hAnsi="宋体" w:cs="宋体"/>
          <w:color w:val="000000"/>
        </w:rPr>
      </w:pPr>
      <w:bookmarkStart w:id="2" w:name="_Toc19938"/>
      <w:bookmarkStart w:id="3" w:name="_Toc12829"/>
      <w:bookmarkStart w:id="4" w:name="_Toc12085"/>
      <w:bookmarkStart w:id="5" w:name="_Toc332878095"/>
      <w:bookmarkStart w:id="6" w:name="_Toc10748"/>
      <w:bookmarkStart w:id="7" w:name="_Toc15018"/>
      <w:r>
        <w:rPr>
          <w:rFonts w:hint="eastAsia" w:ascii="宋体" w:hAnsi="宋体" w:cs="宋体"/>
          <w:color w:val="000000"/>
          <w:kern w:val="0"/>
          <w:szCs w:val="21"/>
        </w:rPr>
        <w:t>一、</w:t>
      </w:r>
      <w:bookmarkEnd w:id="2"/>
      <w:bookmarkEnd w:id="3"/>
      <w:bookmarkEnd w:id="4"/>
      <w:bookmarkEnd w:id="5"/>
      <w:bookmarkEnd w:id="6"/>
      <w:r>
        <w:rPr>
          <w:rFonts w:hint="eastAsia" w:ascii="宋体" w:hAnsi="宋体" w:cs="宋体"/>
          <w:color w:val="000000"/>
        </w:rPr>
        <w:t>采购内容</w:t>
      </w:r>
      <w:bookmarkEnd w:id="7"/>
    </w:p>
    <w:p w14:paraId="3FDF624C">
      <w:pPr>
        <w:snapToGrid w:val="0"/>
        <w:spacing w:line="324" w:lineRule="auto"/>
        <w:ind w:firstLine="420" w:firstLineChars="200"/>
        <w:rPr>
          <w:rFonts w:ascii="宋体" w:hAnsi="宋体" w:cs="宋体"/>
          <w:bCs/>
          <w:color w:val="000000"/>
          <w:szCs w:val="21"/>
        </w:rPr>
      </w:pPr>
      <w:r>
        <w:rPr>
          <w:rFonts w:hint="eastAsia" w:ascii="宋体" w:hAnsi="宋体" w:cs="宋体"/>
          <w:bCs/>
          <w:color w:val="000000"/>
          <w:szCs w:val="21"/>
        </w:rPr>
        <w:t>为进一步加强学校安全保卫工作，切实保障全体师生员工生命安全和学校财产安全，维护校园正常教学工作和生活秩序，确保校园安全稳定。</w:t>
      </w:r>
    </w:p>
    <w:tbl>
      <w:tblPr>
        <w:tblStyle w:val="8"/>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604"/>
        <w:gridCol w:w="660"/>
        <w:gridCol w:w="654"/>
        <w:gridCol w:w="1140"/>
        <w:gridCol w:w="2919"/>
      </w:tblGrid>
      <w:tr w14:paraId="3324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82" w:type="dxa"/>
            <w:noWrap/>
            <w:vAlign w:val="center"/>
          </w:tcPr>
          <w:p w14:paraId="3C6E9AEF">
            <w:pPr>
              <w:snapToGrid w:val="0"/>
              <w:jc w:val="center"/>
              <w:rPr>
                <w:rFonts w:ascii="宋体" w:hAnsi="宋体" w:cs="宋体"/>
                <w:b/>
                <w:color w:val="000000"/>
                <w:sz w:val="22"/>
                <w:szCs w:val="22"/>
              </w:rPr>
            </w:pPr>
            <w:bookmarkStart w:id="8" w:name="_Toc8765"/>
            <w:bookmarkStart w:id="9" w:name="_Toc26936"/>
            <w:bookmarkStart w:id="10" w:name="_Toc1380"/>
            <w:r>
              <w:rPr>
                <w:rFonts w:hint="eastAsia" w:ascii="宋体" w:hAnsi="宋体" w:cs="宋体"/>
                <w:b/>
                <w:color w:val="000000"/>
                <w:sz w:val="22"/>
                <w:szCs w:val="22"/>
              </w:rPr>
              <w:t>序号</w:t>
            </w:r>
          </w:p>
        </w:tc>
        <w:tc>
          <w:tcPr>
            <w:tcW w:w="2604" w:type="dxa"/>
            <w:noWrap/>
            <w:vAlign w:val="center"/>
          </w:tcPr>
          <w:p w14:paraId="663AEE26">
            <w:pPr>
              <w:snapToGrid w:val="0"/>
              <w:jc w:val="center"/>
              <w:rPr>
                <w:rFonts w:ascii="宋体" w:hAnsi="宋体" w:cs="宋体"/>
                <w:b/>
                <w:color w:val="000000"/>
                <w:sz w:val="22"/>
                <w:szCs w:val="22"/>
              </w:rPr>
            </w:pPr>
            <w:r>
              <w:rPr>
                <w:rFonts w:hint="eastAsia" w:ascii="宋体" w:hAnsi="宋体" w:cs="宋体"/>
                <w:b/>
                <w:color w:val="000000"/>
                <w:sz w:val="22"/>
                <w:szCs w:val="22"/>
              </w:rPr>
              <w:t>采购内容</w:t>
            </w:r>
          </w:p>
        </w:tc>
        <w:tc>
          <w:tcPr>
            <w:tcW w:w="660" w:type="dxa"/>
            <w:noWrap/>
            <w:vAlign w:val="center"/>
          </w:tcPr>
          <w:p w14:paraId="331BEF15">
            <w:pPr>
              <w:snapToGrid w:val="0"/>
              <w:jc w:val="center"/>
              <w:rPr>
                <w:rFonts w:ascii="宋体" w:hAnsi="宋体" w:cs="宋体"/>
                <w:b/>
                <w:color w:val="000000"/>
                <w:sz w:val="22"/>
                <w:szCs w:val="22"/>
              </w:rPr>
            </w:pPr>
            <w:r>
              <w:rPr>
                <w:rFonts w:hint="eastAsia" w:ascii="宋体" w:hAnsi="宋体" w:cs="宋体"/>
                <w:b/>
                <w:bCs/>
                <w:color w:val="000000"/>
                <w:szCs w:val="21"/>
              </w:rPr>
              <w:t>数量</w:t>
            </w:r>
          </w:p>
        </w:tc>
        <w:tc>
          <w:tcPr>
            <w:tcW w:w="654" w:type="dxa"/>
            <w:noWrap/>
            <w:vAlign w:val="center"/>
          </w:tcPr>
          <w:p w14:paraId="35F65241">
            <w:pPr>
              <w:snapToGrid w:val="0"/>
              <w:jc w:val="center"/>
              <w:rPr>
                <w:rFonts w:ascii="宋体" w:hAnsi="宋体" w:cs="宋体"/>
                <w:b/>
                <w:color w:val="000000"/>
                <w:kern w:val="0"/>
                <w:sz w:val="22"/>
                <w:szCs w:val="22"/>
              </w:rPr>
            </w:pPr>
            <w:r>
              <w:rPr>
                <w:rFonts w:hint="eastAsia" w:ascii="宋体" w:hAnsi="宋体" w:cs="宋体"/>
                <w:b/>
                <w:bCs/>
                <w:color w:val="000000"/>
                <w:szCs w:val="21"/>
              </w:rPr>
              <w:t>单位</w:t>
            </w:r>
          </w:p>
        </w:tc>
        <w:tc>
          <w:tcPr>
            <w:tcW w:w="1140" w:type="dxa"/>
            <w:noWrap/>
            <w:vAlign w:val="center"/>
          </w:tcPr>
          <w:p w14:paraId="7389BBEF">
            <w:pPr>
              <w:widowControl/>
              <w:snapToGrid w:val="0"/>
              <w:jc w:val="center"/>
              <w:rPr>
                <w:rFonts w:ascii="宋体" w:hAnsi="宋体" w:cs="宋体"/>
                <w:b/>
                <w:color w:val="000000"/>
                <w:kern w:val="0"/>
                <w:sz w:val="22"/>
                <w:szCs w:val="22"/>
              </w:rPr>
            </w:pPr>
            <w:r>
              <w:rPr>
                <w:rFonts w:hint="eastAsia" w:ascii="宋体" w:hAnsi="宋体" w:cs="宋体"/>
                <w:b/>
                <w:color w:val="000000"/>
                <w:kern w:val="0"/>
                <w:sz w:val="22"/>
                <w:szCs w:val="22"/>
              </w:rPr>
              <w:t>预算金额(元)</w:t>
            </w:r>
          </w:p>
        </w:tc>
        <w:tc>
          <w:tcPr>
            <w:tcW w:w="2919" w:type="dxa"/>
            <w:noWrap/>
            <w:vAlign w:val="center"/>
          </w:tcPr>
          <w:p w14:paraId="06A2AD41">
            <w:pPr>
              <w:widowControl/>
              <w:snapToGrid w:val="0"/>
              <w:jc w:val="center"/>
              <w:rPr>
                <w:rFonts w:ascii="宋体" w:hAnsi="宋体" w:cs="宋体"/>
                <w:b/>
                <w:color w:val="000000"/>
                <w:kern w:val="0"/>
                <w:sz w:val="22"/>
                <w:szCs w:val="22"/>
              </w:rPr>
            </w:pPr>
            <w:r>
              <w:rPr>
                <w:rFonts w:hint="eastAsia" w:ascii="宋体" w:hAnsi="宋体" w:cs="宋体"/>
                <w:b/>
                <w:color w:val="000000"/>
                <w:kern w:val="0"/>
                <w:sz w:val="22"/>
                <w:szCs w:val="22"/>
              </w:rPr>
              <w:t>备注</w:t>
            </w:r>
          </w:p>
        </w:tc>
      </w:tr>
      <w:tr w14:paraId="3C5A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82" w:type="dxa"/>
            <w:noWrap/>
            <w:vAlign w:val="center"/>
          </w:tcPr>
          <w:p w14:paraId="2D9C0FBA">
            <w:pPr>
              <w:snapToGrid w:val="0"/>
              <w:spacing w:line="324" w:lineRule="auto"/>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604" w:type="dxa"/>
            <w:noWrap/>
            <w:vAlign w:val="center"/>
          </w:tcPr>
          <w:p w14:paraId="3EC8EE2E">
            <w:pPr>
              <w:pStyle w:val="7"/>
              <w:snapToGrid w:val="0"/>
              <w:spacing w:before="75" w:beforeAutospacing="0" w:after="75" w:afterAutospacing="0"/>
              <w:jc w:val="center"/>
              <w:rPr>
                <w:color w:val="000000"/>
                <w:kern w:val="2"/>
                <w:sz w:val="22"/>
                <w:szCs w:val="22"/>
              </w:rPr>
            </w:pPr>
            <w:r>
              <w:rPr>
                <w:rFonts w:hint="eastAsia"/>
                <w:color w:val="000000"/>
                <w:kern w:val="2"/>
                <w:sz w:val="22"/>
                <w:szCs w:val="22"/>
                <w:lang w:val="en-US" w:eastAsia="zh-CN"/>
              </w:rPr>
              <w:t>浙江省</w:t>
            </w:r>
            <w:r>
              <w:rPr>
                <w:rFonts w:hint="eastAsia"/>
                <w:color w:val="000000"/>
                <w:kern w:val="2"/>
                <w:sz w:val="22"/>
                <w:szCs w:val="22"/>
              </w:rPr>
              <w:t xml:space="preserve">青田县中学 </w:t>
            </w:r>
          </w:p>
          <w:p w14:paraId="5D1739E7">
            <w:pPr>
              <w:pStyle w:val="7"/>
              <w:snapToGrid w:val="0"/>
              <w:spacing w:before="75" w:beforeAutospacing="0" w:after="75" w:afterAutospacing="0"/>
              <w:jc w:val="center"/>
              <w:rPr>
                <w:color w:val="000000"/>
                <w:kern w:val="2"/>
                <w:sz w:val="22"/>
                <w:szCs w:val="22"/>
              </w:rPr>
            </w:pPr>
            <w:r>
              <w:rPr>
                <w:rFonts w:hint="eastAsia"/>
                <w:color w:val="000000"/>
                <w:kern w:val="2"/>
                <w:sz w:val="22"/>
                <w:szCs w:val="22"/>
              </w:rPr>
              <w:t>202</w:t>
            </w:r>
            <w:r>
              <w:rPr>
                <w:rFonts w:hint="eastAsia"/>
                <w:color w:val="000000"/>
                <w:kern w:val="2"/>
                <w:sz w:val="22"/>
                <w:szCs w:val="22"/>
                <w:lang w:val="en-US" w:eastAsia="zh-CN"/>
              </w:rPr>
              <w:t>5</w:t>
            </w:r>
            <w:r>
              <w:rPr>
                <w:rFonts w:hint="eastAsia"/>
                <w:color w:val="000000"/>
                <w:kern w:val="2"/>
                <w:sz w:val="22"/>
                <w:szCs w:val="22"/>
              </w:rPr>
              <w:t>学年校园安保服务</w:t>
            </w:r>
          </w:p>
        </w:tc>
        <w:tc>
          <w:tcPr>
            <w:tcW w:w="660" w:type="dxa"/>
            <w:noWrap/>
            <w:vAlign w:val="center"/>
          </w:tcPr>
          <w:p w14:paraId="378C4C4D">
            <w:pPr>
              <w:snapToGrid w:val="0"/>
              <w:jc w:val="center"/>
              <w:rPr>
                <w:rFonts w:ascii="宋体" w:hAnsi="宋体" w:cs="宋体"/>
                <w:color w:val="000000"/>
                <w:sz w:val="22"/>
                <w:szCs w:val="22"/>
              </w:rPr>
            </w:pPr>
            <w:r>
              <w:rPr>
                <w:rFonts w:hint="eastAsia" w:ascii="宋体" w:hAnsi="宋体" w:cs="宋体"/>
                <w:color w:val="000000"/>
                <w:sz w:val="22"/>
                <w:szCs w:val="22"/>
              </w:rPr>
              <w:t>1</w:t>
            </w:r>
          </w:p>
        </w:tc>
        <w:tc>
          <w:tcPr>
            <w:tcW w:w="654" w:type="dxa"/>
            <w:noWrap/>
            <w:vAlign w:val="center"/>
          </w:tcPr>
          <w:p w14:paraId="56AC4781">
            <w:pPr>
              <w:snapToGrid w:val="0"/>
              <w:jc w:val="center"/>
              <w:rPr>
                <w:rFonts w:ascii="宋体" w:hAnsi="宋体" w:cs="宋体"/>
                <w:color w:val="000000"/>
                <w:sz w:val="22"/>
                <w:szCs w:val="22"/>
              </w:rPr>
            </w:pPr>
            <w:r>
              <w:rPr>
                <w:rFonts w:hint="eastAsia" w:ascii="宋体" w:hAnsi="宋体" w:cs="宋体"/>
                <w:color w:val="000000"/>
                <w:sz w:val="22"/>
                <w:szCs w:val="22"/>
              </w:rPr>
              <w:t>年</w:t>
            </w:r>
          </w:p>
        </w:tc>
        <w:tc>
          <w:tcPr>
            <w:tcW w:w="1140" w:type="dxa"/>
            <w:noWrap/>
            <w:vAlign w:val="center"/>
          </w:tcPr>
          <w:p w14:paraId="18F592AF">
            <w:pPr>
              <w:snapToGrid w:val="0"/>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403500</w:t>
            </w:r>
          </w:p>
        </w:tc>
        <w:tc>
          <w:tcPr>
            <w:tcW w:w="2919" w:type="dxa"/>
            <w:noWrap/>
            <w:vAlign w:val="center"/>
          </w:tcPr>
          <w:p w14:paraId="7592295F">
            <w:pPr>
              <w:snapToGrid w:val="0"/>
              <w:jc w:val="center"/>
              <w:rPr>
                <w:rFonts w:ascii="宋体" w:hAnsi="宋体" w:cs="宋体"/>
                <w:color w:val="000000"/>
                <w:sz w:val="22"/>
                <w:szCs w:val="22"/>
              </w:rPr>
            </w:pPr>
            <w:r>
              <w:rPr>
                <w:rFonts w:hint="eastAsia" w:ascii="宋体" w:hAnsi="宋体" w:cs="宋体"/>
                <w:color w:val="000000"/>
                <w:sz w:val="22"/>
                <w:szCs w:val="22"/>
              </w:rPr>
              <w:t xml:space="preserve">  供应商报价不得超过预算金额，否则作无效标处理。</w:t>
            </w:r>
          </w:p>
        </w:tc>
      </w:tr>
      <w:bookmarkEnd w:id="8"/>
      <w:bookmarkEnd w:id="9"/>
      <w:bookmarkEnd w:id="10"/>
    </w:tbl>
    <w:p w14:paraId="7B98EC83">
      <w:pPr>
        <w:snapToGrid w:val="0"/>
        <w:spacing w:before="156" w:beforeLines="50" w:line="324" w:lineRule="auto"/>
        <w:ind w:firstLine="420" w:firstLineChars="200"/>
        <w:rPr>
          <w:rFonts w:ascii="宋体" w:hAnsi="宋体" w:cs="宋体"/>
          <w:bCs/>
          <w:color w:val="000000"/>
          <w:szCs w:val="21"/>
        </w:rPr>
      </w:pPr>
      <w:r>
        <w:rPr>
          <w:rFonts w:hint="eastAsia" w:ascii="宋体" w:hAnsi="宋体" w:cs="宋体"/>
          <w:bCs/>
          <w:color w:val="000000"/>
          <w:szCs w:val="21"/>
        </w:rPr>
        <w:t xml:space="preserve">服务期限：一年，具体起始时间以合同签订时间为准。 </w:t>
      </w:r>
    </w:p>
    <w:p w14:paraId="48A8F5DF">
      <w:pPr>
        <w:pStyle w:val="5"/>
        <w:spacing w:line="324" w:lineRule="auto"/>
        <w:rPr>
          <w:rFonts w:ascii="宋体" w:hAnsi="宋体" w:cs="宋体"/>
          <w:color w:val="000000"/>
        </w:rPr>
      </w:pPr>
      <w:bookmarkStart w:id="11" w:name="_Toc3535"/>
      <w:r>
        <w:rPr>
          <w:rFonts w:hint="eastAsia" w:ascii="宋体" w:hAnsi="宋体" w:cs="宋体"/>
          <w:color w:val="000000"/>
        </w:rPr>
        <w:t>二、人员配备</w:t>
      </w:r>
      <w:bookmarkEnd w:id="11"/>
    </w:p>
    <w:p w14:paraId="7A86936D">
      <w:pPr>
        <w:snapToGrid w:val="0"/>
        <w:spacing w:line="324" w:lineRule="auto"/>
        <w:ind w:left="420" w:leftChars="200"/>
        <w:rPr>
          <w:rFonts w:hint="eastAsia" w:ascii="宋体" w:hAnsi="宋体" w:cs="宋体"/>
          <w:bCs/>
          <w:color w:val="000000"/>
          <w:szCs w:val="21"/>
        </w:rPr>
      </w:pPr>
      <w:r>
        <w:rPr>
          <w:rFonts w:hint="eastAsia" w:ascii="宋体" w:hAnsi="宋体" w:cs="宋体"/>
          <w:bCs/>
          <w:color w:val="000000"/>
          <w:szCs w:val="21"/>
        </w:rPr>
        <w:t>1.人员配置：根据《青田县校园保安力量配备标准》和实际工作需要，拟招聘专职保安</w:t>
      </w:r>
      <w:r>
        <w:rPr>
          <w:rFonts w:hint="eastAsia" w:ascii="宋体" w:hAnsi="宋体" w:cs="宋体"/>
          <w:bCs/>
          <w:color w:val="000000"/>
          <w:szCs w:val="21"/>
          <w:lang w:val="en-US" w:eastAsia="zh-CN"/>
        </w:rPr>
        <w:t>10</w:t>
      </w:r>
      <w:r>
        <w:rPr>
          <w:rFonts w:hint="eastAsia" w:ascii="宋体" w:hAnsi="宋体" w:cs="宋体"/>
          <w:bCs/>
          <w:color w:val="000000"/>
          <w:szCs w:val="21"/>
        </w:rPr>
        <w:t>人。为学校提供门岗、巡逻、消防、交通、治安、监（消）控、应急处理突发事件等全天候24小时不间断的校园安全保卫工作，平均每周执勤时间符合国家规定。</w:t>
      </w:r>
    </w:p>
    <w:p w14:paraId="45BDE201">
      <w:pPr>
        <w:snapToGrid w:val="0"/>
        <w:spacing w:line="324" w:lineRule="auto"/>
        <w:ind w:left="420" w:leftChars="200"/>
        <w:rPr>
          <w:rFonts w:ascii="宋体" w:hAnsi="宋体" w:cs="宋体"/>
          <w:bCs/>
          <w:color w:val="000000"/>
          <w:szCs w:val="21"/>
        </w:rPr>
      </w:pPr>
      <w:r>
        <w:rPr>
          <w:rFonts w:hint="eastAsia" w:ascii="宋体" w:hAnsi="宋体" w:cs="宋体"/>
          <w:bCs/>
          <w:color w:val="000000"/>
          <w:szCs w:val="21"/>
        </w:rPr>
        <w:t>2.岗位设置</w:t>
      </w:r>
    </w:p>
    <w:p w14:paraId="19783BE7">
      <w:pPr>
        <w:snapToGrid w:val="0"/>
        <w:spacing w:line="324" w:lineRule="auto"/>
        <w:ind w:firstLine="420" w:firstLineChars="200"/>
        <w:rPr>
          <w:rFonts w:ascii="宋体" w:hAnsi="宋体" w:cs="宋体"/>
          <w:bCs/>
          <w:color w:val="000000"/>
          <w:szCs w:val="21"/>
        </w:rPr>
      </w:pPr>
      <w:r>
        <w:rPr>
          <w:rFonts w:hint="eastAsia" w:ascii="宋体" w:hAnsi="宋体" w:cs="宋体"/>
          <w:bCs/>
          <w:color w:val="000000"/>
          <w:szCs w:val="21"/>
        </w:rPr>
        <w:t>（1）岗位配置：</w:t>
      </w:r>
    </w:p>
    <w:tbl>
      <w:tblPr>
        <w:tblStyle w:val="8"/>
        <w:tblW w:w="8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3380"/>
        <w:gridCol w:w="2015"/>
        <w:gridCol w:w="2040"/>
      </w:tblGrid>
      <w:tr w14:paraId="1FE8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56" w:type="dxa"/>
            <w:noWrap/>
            <w:vAlign w:val="center"/>
          </w:tcPr>
          <w:p w14:paraId="639C7FB9">
            <w:pPr>
              <w:snapToGrid w:val="0"/>
              <w:spacing w:line="324" w:lineRule="auto"/>
              <w:jc w:val="center"/>
              <w:rPr>
                <w:rFonts w:ascii="宋体" w:hAnsi="宋体"/>
                <w:b/>
                <w:color w:val="000000"/>
                <w:szCs w:val="21"/>
              </w:rPr>
            </w:pPr>
            <w:r>
              <w:rPr>
                <w:rFonts w:hint="eastAsia" w:ascii="宋体" w:hAnsi="宋体" w:eastAsia="Times New Roman"/>
                <w:b/>
                <w:color w:val="000000"/>
                <w:szCs w:val="21"/>
              </w:rPr>
              <w:t>序号</w:t>
            </w:r>
          </w:p>
        </w:tc>
        <w:tc>
          <w:tcPr>
            <w:tcW w:w="3380" w:type="dxa"/>
            <w:noWrap/>
            <w:vAlign w:val="center"/>
          </w:tcPr>
          <w:p w14:paraId="6847BA91">
            <w:pPr>
              <w:snapToGrid w:val="0"/>
              <w:spacing w:line="324" w:lineRule="auto"/>
              <w:jc w:val="center"/>
              <w:rPr>
                <w:rFonts w:ascii="宋体" w:hAnsi="宋体"/>
                <w:b/>
                <w:color w:val="000000"/>
                <w:szCs w:val="21"/>
              </w:rPr>
            </w:pPr>
            <w:r>
              <w:rPr>
                <w:rFonts w:hint="eastAsia" w:ascii="宋体" w:hAnsi="宋体" w:eastAsia="Times New Roman"/>
                <w:b/>
                <w:color w:val="000000"/>
                <w:szCs w:val="21"/>
              </w:rPr>
              <w:t>工作区域</w:t>
            </w:r>
          </w:p>
        </w:tc>
        <w:tc>
          <w:tcPr>
            <w:tcW w:w="2015" w:type="dxa"/>
            <w:noWrap/>
            <w:vAlign w:val="center"/>
          </w:tcPr>
          <w:p w14:paraId="089CF210">
            <w:pPr>
              <w:snapToGrid w:val="0"/>
              <w:spacing w:line="324" w:lineRule="auto"/>
              <w:jc w:val="center"/>
              <w:rPr>
                <w:rFonts w:ascii="宋体" w:hAnsi="宋体" w:eastAsia="Times New Roman"/>
                <w:b/>
                <w:color w:val="000000"/>
                <w:szCs w:val="21"/>
              </w:rPr>
            </w:pPr>
            <w:r>
              <w:rPr>
                <w:rFonts w:hint="eastAsia" w:ascii="宋体" w:hAnsi="宋体" w:eastAsia="Times New Roman"/>
                <w:b/>
                <w:color w:val="000000"/>
                <w:szCs w:val="21"/>
              </w:rPr>
              <w:t>按标准配备</w:t>
            </w:r>
          </w:p>
          <w:p w14:paraId="5897B571">
            <w:pPr>
              <w:snapToGrid w:val="0"/>
              <w:spacing w:line="324" w:lineRule="auto"/>
              <w:jc w:val="center"/>
              <w:rPr>
                <w:rFonts w:ascii="宋体" w:hAnsi="宋体" w:eastAsia="Times New Roman"/>
                <w:b/>
                <w:color w:val="000000"/>
                <w:szCs w:val="21"/>
              </w:rPr>
            </w:pPr>
            <w:r>
              <w:rPr>
                <w:rFonts w:hint="eastAsia" w:ascii="宋体" w:hAnsi="宋体" w:eastAsia="Times New Roman"/>
                <w:b/>
                <w:color w:val="000000"/>
                <w:szCs w:val="21"/>
              </w:rPr>
              <w:t>保安数</w:t>
            </w:r>
          </w:p>
        </w:tc>
        <w:tc>
          <w:tcPr>
            <w:tcW w:w="2040" w:type="dxa"/>
            <w:noWrap/>
            <w:vAlign w:val="center"/>
          </w:tcPr>
          <w:p w14:paraId="207C52A7">
            <w:pPr>
              <w:snapToGrid w:val="0"/>
              <w:spacing w:line="324" w:lineRule="auto"/>
              <w:jc w:val="center"/>
              <w:rPr>
                <w:rFonts w:ascii="宋体" w:hAnsi="宋体"/>
                <w:b/>
                <w:color w:val="000000"/>
                <w:szCs w:val="21"/>
              </w:rPr>
            </w:pPr>
            <w:r>
              <w:rPr>
                <w:rFonts w:hint="eastAsia" w:ascii="宋体" w:hAnsi="宋体" w:eastAsia="Times New Roman"/>
                <w:b/>
                <w:color w:val="000000"/>
                <w:szCs w:val="21"/>
              </w:rPr>
              <w:t>工作内容</w:t>
            </w:r>
          </w:p>
        </w:tc>
      </w:tr>
      <w:tr w14:paraId="6A01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56" w:type="dxa"/>
            <w:noWrap/>
            <w:vAlign w:val="center"/>
          </w:tcPr>
          <w:p w14:paraId="2E2C3779">
            <w:pPr>
              <w:snapToGrid w:val="0"/>
              <w:spacing w:line="324" w:lineRule="auto"/>
              <w:jc w:val="center"/>
              <w:rPr>
                <w:rFonts w:ascii="宋体" w:hAnsi="宋体"/>
                <w:color w:val="000000"/>
                <w:szCs w:val="21"/>
              </w:rPr>
            </w:pPr>
            <w:r>
              <w:rPr>
                <w:rFonts w:hint="eastAsia" w:ascii="宋体" w:hAnsi="宋体" w:eastAsia="Times New Roman"/>
                <w:color w:val="000000"/>
                <w:szCs w:val="21"/>
              </w:rPr>
              <w:t>1</w:t>
            </w:r>
          </w:p>
        </w:tc>
        <w:tc>
          <w:tcPr>
            <w:tcW w:w="3380" w:type="dxa"/>
            <w:noWrap/>
            <w:vAlign w:val="center"/>
          </w:tcPr>
          <w:p w14:paraId="343682DE">
            <w:pPr>
              <w:snapToGrid w:val="0"/>
              <w:spacing w:line="324" w:lineRule="auto"/>
              <w:jc w:val="center"/>
            </w:pPr>
            <w:r>
              <w:rPr>
                <w:rFonts w:hint="eastAsia" w:ascii="宋体" w:hAnsi="宋体" w:eastAsia="宋体" w:cs="宋体"/>
                <w:color w:val="auto"/>
                <w:kern w:val="2"/>
                <w:sz w:val="21"/>
                <w:szCs w:val="21"/>
                <w:highlight w:val="none"/>
                <w:lang w:val="en-US" w:eastAsia="zh-CN" w:bidi="ar"/>
              </w:rPr>
              <w:t>日班（两个校门口岗亭）</w:t>
            </w:r>
          </w:p>
        </w:tc>
        <w:tc>
          <w:tcPr>
            <w:tcW w:w="2015" w:type="dxa"/>
            <w:vMerge w:val="restart"/>
            <w:noWrap/>
            <w:vAlign w:val="center"/>
          </w:tcPr>
          <w:p w14:paraId="7824225A">
            <w:pPr>
              <w:snapToGrid w:val="0"/>
              <w:spacing w:line="324" w:lineRule="auto"/>
              <w:jc w:val="center"/>
              <w:rPr>
                <w:rFonts w:ascii="宋体" w:hAnsi="宋体"/>
                <w:color w:val="000000"/>
                <w:szCs w:val="21"/>
              </w:rPr>
            </w:pPr>
            <w:r>
              <w:rPr>
                <w:rFonts w:hint="eastAsia" w:ascii="宋体" w:hAnsi="宋体"/>
                <w:color w:val="000000"/>
                <w:szCs w:val="21"/>
                <w:lang w:val="en-US" w:eastAsia="zh-CN"/>
              </w:rPr>
              <w:t>10</w:t>
            </w:r>
            <w:r>
              <w:rPr>
                <w:rFonts w:hint="eastAsia" w:ascii="宋体" w:hAnsi="宋体" w:eastAsia="Times New Roman"/>
                <w:color w:val="000000"/>
                <w:szCs w:val="21"/>
              </w:rPr>
              <w:t>人，学校根据岗位实际需求进行安排人员。</w:t>
            </w:r>
          </w:p>
        </w:tc>
        <w:tc>
          <w:tcPr>
            <w:tcW w:w="2040" w:type="dxa"/>
            <w:vMerge w:val="restart"/>
            <w:noWrap/>
            <w:vAlign w:val="center"/>
          </w:tcPr>
          <w:p w14:paraId="711BD43D">
            <w:pPr>
              <w:snapToGrid w:val="0"/>
              <w:spacing w:line="324" w:lineRule="auto"/>
              <w:jc w:val="center"/>
              <w:rPr>
                <w:rFonts w:ascii="宋体" w:hAnsi="宋体" w:eastAsia="Times New Roman"/>
                <w:color w:val="000000"/>
                <w:szCs w:val="21"/>
              </w:rPr>
            </w:pPr>
            <w:r>
              <w:rPr>
                <w:rFonts w:hint="eastAsia" w:ascii="宋体" w:hAnsi="宋体" w:cs="宋体"/>
                <w:bCs/>
                <w:color w:val="000000"/>
                <w:szCs w:val="21"/>
              </w:rPr>
              <w:t>门岗管理、校园巡查</w:t>
            </w:r>
          </w:p>
        </w:tc>
      </w:tr>
      <w:tr w14:paraId="38EA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56" w:type="dxa"/>
            <w:noWrap/>
            <w:vAlign w:val="center"/>
          </w:tcPr>
          <w:p w14:paraId="7B04F223">
            <w:pPr>
              <w:snapToGrid w:val="0"/>
              <w:spacing w:line="324" w:lineRule="auto"/>
              <w:jc w:val="center"/>
              <w:rPr>
                <w:rFonts w:hint="eastAsia" w:ascii="宋体" w:hAnsi="宋体" w:eastAsia="宋体"/>
                <w:color w:val="000000"/>
                <w:szCs w:val="21"/>
                <w:lang w:val="en-US" w:eastAsia="zh-CN"/>
              </w:rPr>
            </w:pPr>
            <w:r>
              <w:rPr>
                <w:rFonts w:hint="eastAsia" w:ascii="宋体" w:hAnsi="宋体"/>
                <w:color w:val="000000"/>
                <w:szCs w:val="21"/>
                <w:lang w:val="en-US" w:eastAsia="zh-CN"/>
              </w:rPr>
              <w:t>2</w:t>
            </w:r>
          </w:p>
        </w:tc>
        <w:tc>
          <w:tcPr>
            <w:tcW w:w="3380" w:type="dxa"/>
            <w:noWrap/>
            <w:vAlign w:val="center"/>
          </w:tcPr>
          <w:p w14:paraId="65764D96">
            <w:pPr>
              <w:snapToGrid w:val="0"/>
              <w:spacing w:line="324"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校内巡逻</w:t>
            </w:r>
          </w:p>
        </w:tc>
        <w:tc>
          <w:tcPr>
            <w:tcW w:w="2015" w:type="dxa"/>
            <w:vMerge w:val="continue"/>
            <w:noWrap/>
            <w:vAlign w:val="center"/>
          </w:tcPr>
          <w:p w14:paraId="610AAE32">
            <w:pPr>
              <w:snapToGrid w:val="0"/>
              <w:spacing w:line="324" w:lineRule="auto"/>
              <w:jc w:val="center"/>
              <w:rPr>
                <w:rFonts w:hint="eastAsia" w:ascii="宋体" w:hAnsi="宋体" w:eastAsia="Times New Roman"/>
                <w:color w:val="000000"/>
                <w:szCs w:val="21"/>
              </w:rPr>
            </w:pPr>
          </w:p>
        </w:tc>
        <w:tc>
          <w:tcPr>
            <w:tcW w:w="2040" w:type="dxa"/>
            <w:vMerge w:val="continue"/>
            <w:noWrap/>
            <w:vAlign w:val="center"/>
          </w:tcPr>
          <w:p w14:paraId="2674EE2C">
            <w:pPr>
              <w:snapToGrid w:val="0"/>
              <w:spacing w:line="324" w:lineRule="auto"/>
              <w:jc w:val="center"/>
              <w:rPr>
                <w:rFonts w:hint="eastAsia" w:ascii="宋体" w:hAnsi="宋体" w:eastAsia="Times New Roman"/>
                <w:color w:val="000000"/>
                <w:szCs w:val="21"/>
              </w:rPr>
            </w:pPr>
          </w:p>
        </w:tc>
      </w:tr>
      <w:tr w14:paraId="2F69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exact"/>
          <w:jc w:val="center"/>
        </w:trPr>
        <w:tc>
          <w:tcPr>
            <w:tcW w:w="4236" w:type="dxa"/>
            <w:gridSpan w:val="2"/>
            <w:noWrap/>
            <w:vAlign w:val="center"/>
          </w:tcPr>
          <w:p w14:paraId="0B8E4EF1">
            <w:pPr>
              <w:snapToGrid w:val="0"/>
              <w:spacing w:line="324" w:lineRule="auto"/>
              <w:jc w:val="center"/>
              <w:rPr>
                <w:rFonts w:ascii="宋体" w:hAnsi="宋体" w:eastAsia="Times New Roman"/>
                <w:color w:val="000000"/>
                <w:szCs w:val="21"/>
              </w:rPr>
            </w:pPr>
            <w:r>
              <w:rPr>
                <w:rFonts w:hint="eastAsia" w:ascii="宋体" w:hAnsi="宋体" w:eastAsia="Times New Roman"/>
                <w:color w:val="000000"/>
                <w:szCs w:val="21"/>
              </w:rPr>
              <w:t>合计</w:t>
            </w:r>
          </w:p>
        </w:tc>
        <w:tc>
          <w:tcPr>
            <w:tcW w:w="2015" w:type="dxa"/>
            <w:vMerge w:val="continue"/>
            <w:noWrap/>
            <w:vAlign w:val="center"/>
          </w:tcPr>
          <w:p w14:paraId="6303DFEA">
            <w:pPr>
              <w:snapToGrid w:val="0"/>
              <w:spacing w:line="324" w:lineRule="auto"/>
              <w:jc w:val="center"/>
              <w:rPr>
                <w:rFonts w:ascii="宋体" w:hAnsi="宋体" w:eastAsia="Times New Roman"/>
                <w:color w:val="000000"/>
                <w:szCs w:val="21"/>
              </w:rPr>
            </w:pPr>
          </w:p>
        </w:tc>
        <w:tc>
          <w:tcPr>
            <w:tcW w:w="2040" w:type="dxa"/>
            <w:vMerge w:val="continue"/>
            <w:noWrap/>
          </w:tcPr>
          <w:p w14:paraId="17E1248C">
            <w:pPr>
              <w:snapToGrid w:val="0"/>
              <w:spacing w:line="324" w:lineRule="auto"/>
              <w:rPr>
                <w:rFonts w:ascii="宋体" w:hAnsi="宋体" w:eastAsia="Times New Roman"/>
                <w:color w:val="000000"/>
                <w:szCs w:val="21"/>
              </w:rPr>
            </w:pPr>
          </w:p>
        </w:tc>
      </w:tr>
    </w:tbl>
    <w:p w14:paraId="42044A96">
      <w:pPr>
        <w:snapToGrid w:val="0"/>
        <w:spacing w:line="324" w:lineRule="auto"/>
        <w:ind w:left="420" w:leftChars="200"/>
        <w:rPr>
          <w:rFonts w:hint="eastAsia" w:ascii="宋体" w:hAnsi="宋体" w:cs="宋体"/>
          <w:bCs/>
          <w:color w:val="000000"/>
          <w:szCs w:val="21"/>
        </w:rPr>
      </w:pPr>
      <w:r>
        <w:rPr>
          <w:rFonts w:hint="eastAsia" w:ascii="宋体" w:hAnsi="宋体" w:cs="宋体"/>
          <w:bCs/>
          <w:color w:val="000000"/>
          <w:szCs w:val="21"/>
        </w:rPr>
        <w:t>备注:①夜班 22:00-6:00每个点位按1人/班次进行排班；</w:t>
      </w:r>
    </w:p>
    <w:p w14:paraId="51E31652">
      <w:pPr>
        <w:snapToGrid w:val="0"/>
        <w:spacing w:line="324" w:lineRule="auto"/>
        <w:ind w:firstLine="420" w:firstLineChars="200"/>
        <w:rPr>
          <w:rFonts w:hint="eastAsia" w:ascii="宋体" w:hAnsi="宋体" w:cs="宋体"/>
          <w:bCs/>
          <w:color w:val="000000"/>
          <w:szCs w:val="21"/>
        </w:rPr>
      </w:pPr>
      <w:r>
        <w:rPr>
          <w:rFonts w:hint="eastAsia" w:ascii="宋体" w:hAnsi="宋体" w:cs="宋体"/>
          <w:bCs/>
          <w:color w:val="000000"/>
          <w:szCs w:val="21"/>
        </w:rPr>
        <w:t>②白班6:00-22:00每个点位按2人/班次进行排班。</w:t>
      </w:r>
    </w:p>
    <w:p w14:paraId="505E7FC4">
      <w:pPr>
        <w:snapToGrid w:val="0"/>
        <w:spacing w:line="324" w:lineRule="auto"/>
        <w:ind w:left="420" w:leftChars="200"/>
        <w:rPr>
          <w:rFonts w:ascii="宋体" w:hAnsi="宋体" w:cs="宋体"/>
          <w:bCs/>
          <w:color w:val="000000"/>
          <w:szCs w:val="21"/>
        </w:rPr>
      </w:pPr>
      <w:r>
        <w:rPr>
          <w:rFonts w:hint="eastAsia" w:ascii="宋体" w:hAnsi="宋体" w:cs="宋体"/>
          <w:bCs/>
          <w:color w:val="000000"/>
          <w:szCs w:val="21"/>
        </w:rPr>
        <w:t>（2）管辖范围：校园内外设定区域。</w:t>
      </w:r>
    </w:p>
    <w:p w14:paraId="7D2AA78E">
      <w:pPr>
        <w:snapToGrid w:val="0"/>
        <w:spacing w:line="324" w:lineRule="auto"/>
        <w:ind w:left="420" w:leftChars="200"/>
        <w:rPr>
          <w:rFonts w:ascii="宋体" w:hAnsi="宋体" w:cs="宋体"/>
          <w:bCs/>
          <w:color w:val="000000"/>
          <w:szCs w:val="21"/>
        </w:rPr>
      </w:pPr>
      <w:r>
        <w:rPr>
          <w:rFonts w:hint="eastAsia" w:ascii="宋体" w:hAnsi="宋体" w:cs="宋体"/>
          <w:bCs/>
          <w:color w:val="000000"/>
          <w:szCs w:val="21"/>
        </w:rPr>
        <w:t>3.保安素质要求</w:t>
      </w:r>
    </w:p>
    <w:p w14:paraId="05DE5307">
      <w:pPr>
        <w:snapToGrid w:val="0"/>
        <w:spacing w:line="324" w:lineRule="auto"/>
        <w:ind w:firstLine="420" w:firstLineChars="200"/>
        <w:rPr>
          <w:rFonts w:ascii="宋体" w:hAnsi="宋体" w:cs="宋体"/>
          <w:bCs/>
          <w:color w:val="000000"/>
          <w:szCs w:val="21"/>
        </w:rPr>
      </w:pPr>
      <w:r>
        <w:rPr>
          <w:rFonts w:hint="eastAsia" w:ascii="宋体" w:hAnsi="宋体" w:cs="宋体"/>
          <w:bCs/>
          <w:color w:val="000000"/>
          <w:szCs w:val="21"/>
        </w:rPr>
        <w:t>（1）人员要求：持有效期内的保安上岗证，身体健康，无不良嗜好，无任何不良社会记录，年龄男性不超过</w:t>
      </w:r>
      <w:r>
        <w:rPr>
          <w:rFonts w:ascii="宋体" w:hAnsi="宋体" w:cs="宋体"/>
          <w:bCs/>
          <w:color w:val="000000"/>
          <w:szCs w:val="21"/>
        </w:rPr>
        <w:t>60</w:t>
      </w:r>
      <w:r>
        <w:rPr>
          <w:rFonts w:hint="eastAsia" w:ascii="宋体" w:hAnsi="宋体" w:cs="宋体"/>
          <w:bCs/>
          <w:color w:val="000000"/>
          <w:szCs w:val="21"/>
        </w:rPr>
        <w:t>周岁、女性不超5</w:t>
      </w:r>
      <w:r>
        <w:rPr>
          <w:rFonts w:ascii="宋体" w:hAnsi="宋体" w:cs="宋体"/>
          <w:bCs/>
          <w:color w:val="000000"/>
          <w:szCs w:val="21"/>
        </w:rPr>
        <w:t>5周岁</w:t>
      </w:r>
      <w:r>
        <w:rPr>
          <w:rFonts w:hint="eastAsia" w:ascii="宋体" w:hAnsi="宋体" w:cs="宋体"/>
          <w:bCs/>
          <w:color w:val="000000"/>
          <w:szCs w:val="21"/>
        </w:rPr>
        <w:t>。</w:t>
      </w:r>
    </w:p>
    <w:p w14:paraId="41C3D991">
      <w:pPr>
        <w:snapToGrid w:val="0"/>
        <w:spacing w:line="324" w:lineRule="auto"/>
        <w:ind w:firstLine="420" w:firstLineChars="200"/>
        <w:rPr>
          <w:rFonts w:ascii="宋体" w:hAnsi="宋体" w:cs="宋体"/>
          <w:bCs/>
          <w:color w:val="000000"/>
          <w:szCs w:val="21"/>
        </w:rPr>
      </w:pPr>
      <w:r>
        <w:rPr>
          <w:rFonts w:hint="eastAsia" w:ascii="宋体" w:hAnsi="宋体" w:cs="宋体"/>
          <w:bCs/>
          <w:color w:val="000000"/>
          <w:szCs w:val="21"/>
        </w:rPr>
        <w:t>（2）合同期间保安人员须符合《保安服务管理条例》的相关规定。</w:t>
      </w:r>
    </w:p>
    <w:p w14:paraId="7C1204C7">
      <w:pPr>
        <w:snapToGrid w:val="0"/>
        <w:spacing w:line="324" w:lineRule="auto"/>
        <w:ind w:firstLine="420" w:firstLineChars="200"/>
        <w:rPr>
          <w:rFonts w:ascii="宋体" w:hAnsi="宋体" w:cs="宋体"/>
          <w:bCs/>
          <w:color w:val="000000"/>
          <w:szCs w:val="21"/>
        </w:rPr>
      </w:pPr>
      <w:r>
        <w:rPr>
          <w:rFonts w:hint="eastAsia" w:ascii="宋体" w:hAnsi="宋体" w:cs="宋体"/>
          <w:bCs/>
          <w:color w:val="000000"/>
          <w:szCs w:val="21"/>
        </w:rPr>
        <w:t>（3）保安人员身着统一的保安服装，保安服装的设计和制作符合国家规定执行，费用均已包含在报价中。</w:t>
      </w:r>
    </w:p>
    <w:p w14:paraId="3BFDCDC5">
      <w:pPr>
        <w:snapToGrid w:val="0"/>
        <w:spacing w:line="324" w:lineRule="auto"/>
        <w:ind w:firstLine="420" w:firstLineChars="200"/>
        <w:rPr>
          <w:rFonts w:ascii="宋体" w:hAnsi="宋体" w:cs="宋体"/>
          <w:bCs/>
          <w:color w:val="000000"/>
          <w:szCs w:val="21"/>
        </w:rPr>
      </w:pPr>
      <w:r>
        <w:rPr>
          <w:rFonts w:hint="eastAsia" w:ascii="宋体" w:hAnsi="宋体" w:cs="宋体"/>
          <w:bCs/>
          <w:color w:val="000000"/>
          <w:szCs w:val="21"/>
        </w:rPr>
        <w:t>（4）保安人员能胜任日常的保安工作，正确保管和使用消防器材、其他器材等，具备一定的安保救防知识和应对突发事件的能力。</w:t>
      </w:r>
    </w:p>
    <w:p w14:paraId="547AC261">
      <w:pPr>
        <w:snapToGrid w:val="0"/>
        <w:spacing w:line="324" w:lineRule="auto"/>
        <w:ind w:left="420" w:leftChars="200"/>
        <w:rPr>
          <w:rFonts w:ascii="宋体" w:hAnsi="宋体" w:cs="宋体"/>
          <w:bCs/>
          <w:color w:val="000000"/>
          <w:szCs w:val="21"/>
        </w:rPr>
      </w:pPr>
      <w:r>
        <w:rPr>
          <w:rFonts w:hint="eastAsia" w:ascii="宋体" w:hAnsi="宋体" w:cs="宋体"/>
          <w:bCs/>
          <w:color w:val="000000"/>
          <w:szCs w:val="21"/>
        </w:rPr>
        <w:t>（5）保安人员必须配合学校做好节能工作 ，爱护学校设施。</w:t>
      </w:r>
    </w:p>
    <w:p w14:paraId="2C602D3D">
      <w:pPr>
        <w:snapToGrid w:val="0"/>
        <w:spacing w:line="324" w:lineRule="auto"/>
        <w:ind w:left="420" w:leftChars="200"/>
        <w:rPr>
          <w:rFonts w:ascii="宋体" w:hAnsi="宋体" w:cs="宋体"/>
          <w:bCs/>
          <w:color w:val="000000"/>
          <w:szCs w:val="21"/>
        </w:rPr>
      </w:pPr>
      <w:r>
        <w:rPr>
          <w:rFonts w:hint="eastAsia" w:ascii="宋体" w:hAnsi="宋体" w:cs="宋体"/>
          <w:bCs/>
          <w:color w:val="000000"/>
          <w:szCs w:val="21"/>
        </w:rPr>
        <w:t>（6）保安人员遵守上班纪律，不迟到、不早退、不脱岗，严禁酒后上班及上班喝酒。</w:t>
      </w:r>
    </w:p>
    <w:p w14:paraId="347A668D">
      <w:pPr>
        <w:snapToGrid w:val="0"/>
        <w:spacing w:line="324" w:lineRule="auto"/>
        <w:ind w:left="420" w:leftChars="200"/>
        <w:rPr>
          <w:rFonts w:hint="eastAsia" w:ascii="宋体" w:hAnsi="宋体" w:cs="宋体"/>
          <w:bCs/>
          <w:color w:val="000000"/>
          <w:szCs w:val="21"/>
        </w:rPr>
      </w:pPr>
      <w:r>
        <w:rPr>
          <w:rFonts w:hint="eastAsia" w:ascii="宋体" w:hAnsi="宋体" w:cs="宋体"/>
          <w:bCs/>
          <w:color w:val="000000"/>
          <w:szCs w:val="21"/>
        </w:rPr>
        <w:t>（7）保安人员具有良好的精神风貌，流动执勤，两人一组，分开巡逻，严禁玩手机。</w:t>
      </w:r>
    </w:p>
    <w:p w14:paraId="60A87CB8">
      <w:pPr>
        <w:pStyle w:val="2"/>
        <w:ind w:firstLine="420" w:firstLineChars="200"/>
        <w:rPr>
          <w:rFonts w:hint="eastAsia"/>
        </w:rPr>
      </w:pPr>
      <w:r>
        <w:rPr>
          <w:rFonts w:hint="eastAsia"/>
        </w:rPr>
        <w:t>（</w:t>
      </w:r>
      <w:r>
        <w:rPr>
          <w:rFonts w:hint="eastAsia"/>
          <w:lang w:val="en-US" w:eastAsia="zh-CN"/>
        </w:rPr>
        <w:t>8</w:t>
      </w:r>
      <w:r>
        <w:rPr>
          <w:rFonts w:hint="eastAsia"/>
        </w:rPr>
        <w:t>）夜间值班保安员应配合学校管理工作要求，负责学校各场所的安全巡检、校内各区域（球场、架空层、走廊、卫生间、门厅等）照明灯源关闭（关灯）等工作。</w:t>
      </w:r>
    </w:p>
    <w:p w14:paraId="10C4640A">
      <w:pPr>
        <w:pStyle w:val="2"/>
        <w:ind w:firstLine="420" w:firstLineChars="200"/>
        <w:rPr>
          <w:rFonts w:hint="eastAsia"/>
        </w:rPr>
      </w:pPr>
      <w:r>
        <w:rPr>
          <w:rFonts w:hint="eastAsia"/>
          <w:lang w:val="en-US" w:eastAsia="zh-CN"/>
        </w:rPr>
        <w:t>4</w:t>
      </w:r>
      <w:r>
        <w:rPr>
          <w:rFonts w:hint="eastAsia"/>
        </w:rPr>
        <w:t>.投标人负责保安人员的招聘、使用、调配和辞退，投标人推荐的派驻的保安人员必须经采购人（学校保卫处）审核合格后方能上岗，如发现所配人员有不符合要求的，将清退该人员并要求投标人整改补齐合格人员。保安人员的食宿等均由投标人自行负责解决，执勤期间用餐不得离岗。</w:t>
      </w:r>
    </w:p>
    <w:p w14:paraId="76BE5D06">
      <w:pPr>
        <w:pStyle w:val="2"/>
        <w:ind w:firstLine="420" w:firstLineChars="200"/>
        <w:rPr>
          <w:rFonts w:hint="eastAsia"/>
        </w:rPr>
      </w:pPr>
      <w:r>
        <w:rPr>
          <w:rFonts w:hint="eastAsia"/>
          <w:lang w:val="en-US" w:eastAsia="zh-CN"/>
        </w:rPr>
        <w:t>5</w:t>
      </w:r>
      <w:r>
        <w:rPr>
          <w:rFonts w:hint="eastAsia"/>
        </w:rPr>
        <w:t>. 投标人负责对保安人员进行岗前培训，定期组织保安进行学习教育，开展业务培训和应急预案演练，做到业务熟练、预案熟悉、反应迅速、处置有力。日常工作做到严格管理，责任明确，措施到位，防止保安发生违法违纪问题和安全事故。</w:t>
      </w:r>
    </w:p>
    <w:p w14:paraId="5E593271">
      <w:pPr>
        <w:pStyle w:val="2"/>
        <w:ind w:firstLine="420" w:firstLineChars="200"/>
        <w:rPr>
          <w:rFonts w:hint="eastAsia"/>
        </w:rPr>
      </w:pPr>
      <w:r>
        <w:rPr>
          <w:rFonts w:hint="eastAsia"/>
          <w:lang w:val="en-US" w:eastAsia="zh-CN"/>
        </w:rPr>
        <w:t>6</w:t>
      </w:r>
      <w:r>
        <w:rPr>
          <w:rFonts w:hint="eastAsia"/>
        </w:rPr>
        <w:t>. 投标人应与采购人保持密切联系沟通，发现问题及时整改，保安人员接受保安公司和学校的双重管理，采购人有权对保安服务工作进行考核，如发现保安人员不能胜任保安工作或指出错误屡教不改的，投标人应在三日内完成更换。</w:t>
      </w:r>
    </w:p>
    <w:p w14:paraId="46653883">
      <w:pPr>
        <w:pStyle w:val="2"/>
        <w:ind w:firstLine="420" w:firstLineChars="200"/>
        <w:rPr>
          <w:rFonts w:hint="eastAsia"/>
        </w:rPr>
      </w:pPr>
      <w:r>
        <w:rPr>
          <w:rFonts w:hint="eastAsia"/>
          <w:lang w:val="en-US" w:eastAsia="zh-CN"/>
        </w:rPr>
        <w:t>7</w:t>
      </w:r>
      <w:r>
        <w:rPr>
          <w:rFonts w:hint="eastAsia"/>
        </w:rPr>
        <w:t>. 投标人应确保保安队伍稳定，合同期限内原则上不得更换保安人员，确因个人原因需离开原岗位，应提前1个月通知校方，更换其他人员要提前告知；保安应聘、录用、离职等管理档案规范，手续齐全，相关资料必须报采购人备案，禁止已辞退保安再次录用。</w:t>
      </w:r>
    </w:p>
    <w:p w14:paraId="7B431850">
      <w:pPr>
        <w:pStyle w:val="2"/>
        <w:ind w:firstLine="420" w:firstLineChars="200"/>
        <w:rPr>
          <w:rFonts w:hint="eastAsia"/>
        </w:rPr>
      </w:pPr>
      <w:r>
        <w:rPr>
          <w:rFonts w:hint="eastAsia"/>
          <w:lang w:val="en-US" w:eastAsia="zh-CN"/>
        </w:rPr>
        <w:t>8</w:t>
      </w:r>
      <w:r>
        <w:rPr>
          <w:rFonts w:hint="eastAsia"/>
        </w:rPr>
        <w:t>.鉴于采购人的工作特点，若遇有重大活动或应急事件，保安力量不足，应按采购人要求积极增派援助加班。</w:t>
      </w:r>
    </w:p>
    <w:p w14:paraId="671BB096">
      <w:pPr>
        <w:pStyle w:val="5"/>
        <w:spacing w:line="324" w:lineRule="auto"/>
        <w:rPr>
          <w:rFonts w:ascii="宋体" w:hAnsi="宋体" w:cs="宋体"/>
          <w:color w:val="000000"/>
        </w:rPr>
      </w:pPr>
      <w:bookmarkStart w:id="12" w:name="_Toc2198"/>
      <w:bookmarkStart w:id="13" w:name="_Toc20404"/>
      <w:r>
        <w:rPr>
          <w:rFonts w:hint="eastAsia" w:ascii="宋体" w:hAnsi="宋体" w:cs="宋体"/>
          <w:color w:val="000000"/>
        </w:rPr>
        <w:t>三、采购要求</w:t>
      </w:r>
      <w:bookmarkEnd w:id="12"/>
      <w:bookmarkEnd w:id="13"/>
    </w:p>
    <w:p w14:paraId="71A796D9">
      <w:pPr>
        <w:snapToGrid w:val="0"/>
        <w:spacing w:line="324" w:lineRule="auto"/>
        <w:rPr>
          <w:rFonts w:ascii="宋体" w:hAnsi="宋体" w:cs="宋体"/>
          <w:b/>
          <w:color w:val="000000"/>
          <w:szCs w:val="21"/>
        </w:rPr>
      </w:pPr>
      <w:r>
        <w:rPr>
          <w:rFonts w:hint="eastAsia" w:ascii="宋体" w:hAnsi="宋体" w:cs="宋体"/>
          <w:b/>
          <w:color w:val="000000"/>
          <w:szCs w:val="21"/>
        </w:rPr>
        <w:t xml:space="preserve">   1.对</w:t>
      </w:r>
      <w:r>
        <w:rPr>
          <w:rFonts w:hint="eastAsia" w:ascii="Arial" w:hAnsi="Arial"/>
          <w:b/>
          <w:bCs/>
          <w:color w:val="000000"/>
        </w:rPr>
        <w:t>成交供应商</w:t>
      </w:r>
      <w:r>
        <w:rPr>
          <w:rFonts w:hint="eastAsia" w:ascii="宋体" w:hAnsi="宋体" w:cs="宋体"/>
          <w:b/>
          <w:color w:val="000000"/>
          <w:szCs w:val="21"/>
        </w:rPr>
        <w:t>要求</w:t>
      </w:r>
    </w:p>
    <w:p w14:paraId="48F7E939">
      <w:pPr>
        <w:snapToGrid w:val="0"/>
        <w:spacing w:line="324" w:lineRule="auto"/>
        <w:ind w:firstLine="420" w:firstLineChars="200"/>
        <w:rPr>
          <w:rFonts w:ascii="宋体" w:hAnsi="宋体" w:cs="宋体"/>
          <w:bCs/>
          <w:color w:val="000000"/>
          <w:szCs w:val="21"/>
        </w:rPr>
      </w:pPr>
      <w:r>
        <w:rPr>
          <w:rFonts w:hint="eastAsia" w:ascii="宋体" w:hAnsi="宋体" w:cs="宋体"/>
          <w:bCs/>
          <w:color w:val="000000"/>
          <w:szCs w:val="21"/>
        </w:rPr>
        <w:t>（1）</w:t>
      </w:r>
      <w:r>
        <w:rPr>
          <w:rFonts w:hint="eastAsia" w:ascii="宋体" w:hAnsi="宋体"/>
          <w:color w:val="000000"/>
        </w:rPr>
        <w:t>成交供应商</w:t>
      </w:r>
      <w:r>
        <w:rPr>
          <w:rFonts w:hint="eastAsia" w:ascii="宋体" w:hAnsi="宋体" w:cs="宋体"/>
          <w:bCs/>
          <w:color w:val="000000"/>
          <w:szCs w:val="21"/>
        </w:rPr>
        <w:t>必须指定一位保安班长，全权代表其负责管理承包项目服务工作，并与采购人保持密切联系，协调、沟通并做好服务工作。</w:t>
      </w:r>
    </w:p>
    <w:p w14:paraId="219C8BBC">
      <w:pPr>
        <w:snapToGrid w:val="0"/>
        <w:spacing w:line="324" w:lineRule="auto"/>
        <w:ind w:firstLine="420" w:firstLineChars="200"/>
        <w:rPr>
          <w:rFonts w:ascii="宋体" w:hAnsi="宋体" w:cs="宋体"/>
          <w:bCs/>
          <w:color w:val="000000"/>
          <w:szCs w:val="21"/>
        </w:rPr>
      </w:pPr>
      <w:r>
        <w:rPr>
          <w:rFonts w:hint="eastAsia" w:ascii="宋体" w:hAnsi="宋体" w:cs="宋体"/>
          <w:bCs/>
          <w:color w:val="000000"/>
          <w:szCs w:val="21"/>
        </w:rPr>
        <w:t>（2）</w:t>
      </w:r>
      <w:r>
        <w:rPr>
          <w:rFonts w:hint="eastAsia" w:ascii="宋体" w:hAnsi="宋体"/>
          <w:color w:val="000000"/>
        </w:rPr>
        <w:t>成交供应商</w:t>
      </w:r>
      <w:r>
        <w:rPr>
          <w:rFonts w:hint="eastAsia" w:ascii="宋体" w:hAnsi="宋体" w:cs="宋体"/>
          <w:bCs/>
          <w:color w:val="000000"/>
          <w:szCs w:val="21"/>
        </w:rPr>
        <w:t>必须符合劳动部门有关用工规定，不得违反国家相关政策规定。</w:t>
      </w:r>
    </w:p>
    <w:p w14:paraId="7F727DB4">
      <w:pPr>
        <w:snapToGrid w:val="0"/>
        <w:spacing w:line="324" w:lineRule="auto"/>
        <w:ind w:firstLine="420" w:firstLineChars="200"/>
        <w:rPr>
          <w:rFonts w:ascii="宋体" w:hAnsi="宋体" w:cs="宋体"/>
          <w:bCs/>
          <w:color w:val="000000"/>
          <w:szCs w:val="21"/>
        </w:rPr>
      </w:pPr>
      <w:r>
        <w:rPr>
          <w:rFonts w:hint="eastAsia" w:ascii="宋体" w:hAnsi="宋体" w:cs="宋体"/>
          <w:bCs/>
          <w:color w:val="000000"/>
          <w:szCs w:val="21"/>
        </w:rPr>
        <w:t>（3）</w:t>
      </w:r>
      <w:r>
        <w:rPr>
          <w:rFonts w:hint="eastAsia" w:ascii="宋体" w:hAnsi="宋体"/>
          <w:color w:val="000000"/>
        </w:rPr>
        <w:t>成交供应商</w:t>
      </w:r>
      <w:r>
        <w:rPr>
          <w:rFonts w:hint="eastAsia" w:ascii="宋体" w:hAnsi="宋体" w:cs="宋体"/>
          <w:bCs/>
          <w:color w:val="000000"/>
          <w:szCs w:val="21"/>
        </w:rPr>
        <w:t>除学校提供的安保设备外，</w:t>
      </w:r>
      <w:r>
        <w:rPr>
          <w:rFonts w:hint="eastAsia" w:ascii="宋体" w:hAnsi="宋体"/>
          <w:color w:val="000000"/>
        </w:rPr>
        <w:t>还</w:t>
      </w:r>
      <w:r>
        <w:rPr>
          <w:rFonts w:hint="eastAsia" w:ascii="宋体" w:hAnsi="宋体" w:cs="宋体"/>
          <w:bCs/>
          <w:color w:val="000000"/>
          <w:szCs w:val="21"/>
        </w:rPr>
        <w:t>应当根据保安服务岗位的需要为保安人员配备所需的装备，装备配备标准按国务院公安部门的有关规定执行，费用均已包含在报价中。</w:t>
      </w:r>
    </w:p>
    <w:p w14:paraId="7BE0379D">
      <w:pPr>
        <w:snapToGrid w:val="0"/>
        <w:spacing w:line="324" w:lineRule="auto"/>
        <w:ind w:firstLine="420" w:firstLineChars="200"/>
        <w:rPr>
          <w:rFonts w:ascii="宋体" w:hAnsi="宋体" w:cs="宋体"/>
          <w:bCs/>
          <w:color w:val="000000"/>
          <w:szCs w:val="21"/>
        </w:rPr>
      </w:pPr>
      <w:r>
        <w:rPr>
          <w:rFonts w:hint="eastAsia" w:ascii="宋体" w:hAnsi="宋体" w:cs="宋体"/>
          <w:bCs/>
          <w:color w:val="000000"/>
          <w:szCs w:val="21"/>
        </w:rPr>
        <w:t>（4）采购人有权对成交供应商员工的工作行为进行监督，如发现成交供应商员工有违反采购人规定的考核制度或行为的，采购人将要求其改正，态度恶劣拒不改正的，采购人有权要求成交供应商予以辞退，成交供应商必须无条件接受并及时补足人员。</w:t>
      </w:r>
    </w:p>
    <w:p w14:paraId="09159DD5">
      <w:pPr>
        <w:snapToGrid w:val="0"/>
        <w:spacing w:line="324" w:lineRule="auto"/>
        <w:ind w:firstLine="420" w:firstLineChars="200"/>
        <w:rPr>
          <w:rFonts w:ascii="宋体" w:hAnsi="宋体" w:cs="宋体"/>
          <w:bCs/>
          <w:color w:val="000000"/>
          <w:szCs w:val="21"/>
        </w:rPr>
      </w:pPr>
      <w:r>
        <w:rPr>
          <w:rFonts w:hint="eastAsia" w:ascii="宋体" w:hAnsi="宋体" w:cs="宋体"/>
          <w:bCs/>
          <w:color w:val="000000"/>
          <w:szCs w:val="21"/>
        </w:rPr>
        <w:t>（5）遇突发事件或安全检查时，成交供应商必须配合有关部门执行任务，并指定专职人员协助工作直至完成。</w:t>
      </w:r>
    </w:p>
    <w:p w14:paraId="70F89AF7">
      <w:pPr>
        <w:snapToGrid w:val="0"/>
        <w:spacing w:line="324" w:lineRule="auto"/>
        <w:ind w:firstLine="420" w:firstLineChars="200"/>
        <w:rPr>
          <w:rFonts w:ascii="宋体" w:hAnsi="宋体" w:cs="宋体"/>
          <w:bCs/>
          <w:color w:val="000000"/>
          <w:szCs w:val="21"/>
        </w:rPr>
      </w:pPr>
      <w:r>
        <w:rPr>
          <w:rFonts w:hint="eastAsia" w:ascii="宋体" w:hAnsi="宋体" w:cs="宋体"/>
          <w:bCs/>
          <w:color w:val="000000"/>
          <w:szCs w:val="21"/>
        </w:rPr>
        <w:t>（6）成交供应商应自觉遵守保安行业有关的法律、法规及规章制度。</w:t>
      </w:r>
    </w:p>
    <w:p w14:paraId="153E8A9D">
      <w:pPr>
        <w:snapToGrid w:val="0"/>
        <w:spacing w:line="324" w:lineRule="auto"/>
        <w:ind w:firstLine="420" w:firstLineChars="200"/>
        <w:rPr>
          <w:rFonts w:ascii="宋体" w:hAnsi="宋体" w:cs="宋体"/>
          <w:bCs/>
          <w:color w:val="000000"/>
          <w:szCs w:val="21"/>
        </w:rPr>
      </w:pPr>
      <w:r>
        <w:rPr>
          <w:rFonts w:hint="eastAsia" w:ascii="宋体" w:hAnsi="宋体" w:cs="宋体"/>
          <w:bCs/>
          <w:color w:val="000000"/>
          <w:szCs w:val="21"/>
        </w:rPr>
        <w:t>（7）成交供应商达不到采购人要求及磋商时各项服务承诺，采购人有权要求其整改，直至扣款或终止合同。</w:t>
      </w:r>
    </w:p>
    <w:p w14:paraId="23583211">
      <w:pPr>
        <w:pStyle w:val="2"/>
        <w:ind w:firstLineChars="200"/>
        <w:rPr>
          <w:color w:val="000000"/>
        </w:rPr>
      </w:pPr>
      <w:r>
        <w:rPr>
          <w:rFonts w:hint="eastAsia"/>
          <w:color w:val="000000"/>
        </w:rPr>
        <w:t>（8）成交供应商须按政策为每位保安人员缴纳五险，费用均已包含在报价中。</w:t>
      </w:r>
    </w:p>
    <w:p w14:paraId="3BF141D4">
      <w:pPr>
        <w:snapToGrid w:val="0"/>
        <w:spacing w:line="324" w:lineRule="auto"/>
        <w:rPr>
          <w:rFonts w:ascii="宋体" w:hAnsi="宋体" w:cs="宋体"/>
          <w:b/>
          <w:color w:val="000000"/>
          <w:szCs w:val="21"/>
        </w:rPr>
      </w:pPr>
      <w:r>
        <w:rPr>
          <w:rFonts w:hint="eastAsia" w:ascii="宋体" w:hAnsi="宋体" w:cs="宋体"/>
          <w:b/>
          <w:color w:val="000000"/>
          <w:szCs w:val="21"/>
        </w:rPr>
        <w:t xml:space="preserve">  2.安全要求</w:t>
      </w:r>
    </w:p>
    <w:p w14:paraId="697FE976">
      <w:pPr>
        <w:snapToGrid w:val="0"/>
        <w:spacing w:line="324" w:lineRule="auto"/>
        <w:ind w:firstLine="420" w:firstLineChars="200"/>
        <w:jc w:val="left"/>
        <w:rPr>
          <w:rFonts w:ascii="宋体" w:hAnsi="宋体" w:cs="宋体"/>
          <w:color w:val="000000"/>
          <w:szCs w:val="21"/>
        </w:rPr>
      </w:pPr>
      <w:r>
        <w:rPr>
          <w:rFonts w:hint="eastAsia" w:ascii="宋体" w:hAnsi="宋体" w:cs="宋体"/>
          <w:color w:val="000000"/>
          <w:szCs w:val="21"/>
        </w:rPr>
        <w:t>（1）</w:t>
      </w:r>
      <w:r>
        <w:rPr>
          <w:rFonts w:hint="eastAsia" w:ascii="宋体" w:hAnsi="宋体"/>
          <w:color w:val="000000"/>
        </w:rPr>
        <w:t>成交供应商</w:t>
      </w:r>
      <w:r>
        <w:rPr>
          <w:rFonts w:hint="eastAsia" w:ascii="宋体" w:hAnsi="宋体" w:cs="宋体"/>
          <w:color w:val="000000"/>
          <w:szCs w:val="21"/>
        </w:rPr>
        <w:t>在签订合同时，采购人可要求其签订安全生产责任书，不愿签订责任书的，将视为</w:t>
      </w:r>
      <w:r>
        <w:rPr>
          <w:rFonts w:hint="eastAsia" w:ascii="宋体" w:hAnsi="宋体"/>
          <w:color w:val="000000"/>
        </w:rPr>
        <w:t>成交供应商</w:t>
      </w:r>
      <w:r>
        <w:rPr>
          <w:rFonts w:hint="eastAsia" w:ascii="宋体" w:hAnsi="宋体" w:cs="宋体"/>
          <w:color w:val="000000"/>
          <w:szCs w:val="21"/>
        </w:rPr>
        <w:t>自动放弃成交资格。</w:t>
      </w:r>
    </w:p>
    <w:p w14:paraId="3068990A">
      <w:pPr>
        <w:snapToGrid w:val="0"/>
        <w:spacing w:line="324" w:lineRule="auto"/>
        <w:ind w:firstLine="420" w:firstLineChars="200"/>
        <w:jc w:val="left"/>
        <w:rPr>
          <w:rFonts w:ascii="宋体" w:hAnsi="宋体" w:cs="宋体"/>
          <w:color w:val="000000"/>
          <w:szCs w:val="21"/>
        </w:rPr>
      </w:pPr>
      <w:r>
        <w:rPr>
          <w:rFonts w:hint="eastAsia" w:ascii="宋体" w:hAnsi="宋体" w:cs="宋体"/>
          <w:color w:val="000000"/>
          <w:szCs w:val="21"/>
        </w:rPr>
        <w:t>（2）</w:t>
      </w:r>
      <w:r>
        <w:rPr>
          <w:rFonts w:hint="eastAsia" w:ascii="宋体" w:hAnsi="宋体"/>
          <w:color w:val="000000"/>
        </w:rPr>
        <w:t>成交供应商</w:t>
      </w:r>
      <w:r>
        <w:rPr>
          <w:rFonts w:hint="eastAsia" w:ascii="宋体" w:hAnsi="宋体" w:cs="宋体"/>
          <w:color w:val="000000"/>
          <w:szCs w:val="21"/>
        </w:rPr>
        <w:t>应当为其工作人员投保，除必须的工伤保险外，还应包括员工人身意外保险，</w:t>
      </w:r>
      <w:r>
        <w:rPr>
          <w:rFonts w:hint="eastAsia" w:ascii="宋体" w:hAnsi="宋体"/>
          <w:color w:val="000000"/>
        </w:rPr>
        <w:t>成交供应商</w:t>
      </w:r>
      <w:r>
        <w:rPr>
          <w:rFonts w:hint="eastAsia" w:ascii="宋体" w:hAnsi="宋体" w:cs="宋体"/>
          <w:color w:val="000000"/>
          <w:szCs w:val="21"/>
        </w:rPr>
        <w:t>须向采购人提供保险单，采购人不单独</w:t>
      </w:r>
      <w:r>
        <w:rPr>
          <w:rFonts w:hint="eastAsia" w:ascii="宋体" w:hAnsi="宋体"/>
          <w:color w:val="000000"/>
        </w:rPr>
        <w:t>另行支付</w:t>
      </w:r>
      <w:r>
        <w:rPr>
          <w:rFonts w:hint="eastAsia" w:ascii="宋体" w:hAnsi="宋体" w:cs="宋体"/>
          <w:color w:val="000000"/>
          <w:szCs w:val="21"/>
        </w:rPr>
        <w:t>，</w:t>
      </w:r>
      <w:r>
        <w:rPr>
          <w:rFonts w:hint="eastAsia" w:ascii="宋体" w:hAnsi="宋体"/>
          <w:color w:val="000000"/>
        </w:rPr>
        <w:t>费用已在成交供应商的磋商报价中</w:t>
      </w:r>
      <w:r>
        <w:rPr>
          <w:rFonts w:hint="eastAsia" w:ascii="宋体" w:hAnsi="宋体" w:cs="宋体"/>
          <w:color w:val="000000"/>
          <w:szCs w:val="21"/>
        </w:rPr>
        <w:t>。</w:t>
      </w:r>
      <w:r>
        <w:rPr>
          <w:rFonts w:hint="eastAsia" w:ascii="宋体" w:hAnsi="宋体"/>
          <w:color w:val="000000"/>
        </w:rPr>
        <w:t>因成交供应商未及时替员工交纳保险而发生员工索偿的，由成交供应商自行全部承担法律责任及赔偿。</w:t>
      </w:r>
    </w:p>
    <w:p w14:paraId="5BECD0FD">
      <w:pPr>
        <w:snapToGrid w:val="0"/>
        <w:spacing w:line="324" w:lineRule="auto"/>
        <w:ind w:firstLine="420" w:firstLineChars="200"/>
        <w:jc w:val="left"/>
        <w:rPr>
          <w:rFonts w:ascii="宋体" w:hAnsi="宋体" w:cs="宋体"/>
          <w:color w:val="000000"/>
          <w:szCs w:val="21"/>
        </w:rPr>
      </w:pPr>
      <w:r>
        <w:rPr>
          <w:rFonts w:hint="eastAsia" w:ascii="宋体" w:hAnsi="宋体" w:cs="宋体"/>
          <w:color w:val="000000"/>
          <w:szCs w:val="21"/>
        </w:rPr>
        <w:t>（3）</w:t>
      </w:r>
      <w:r>
        <w:rPr>
          <w:rFonts w:hint="eastAsia" w:ascii="宋体" w:hAnsi="宋体"/>
          <w:color w:val="000000"/>
        </w:rPr>
        <w:t>成交供应商</w:t>
      </w:r>
      <w:r>
        <w:rPr>
          <w:rFonts w:hint="eastAsia" w:ascii="宋体" w:hAnsi="宋体" w:cs="宋体"/>
          <w:color w:val="000000"/>
          <w:szCs w:val="21"/>
        </w:rPr>
        <w:t>应自觉遵守安全生产有关法律、法规及规章制度。</w:t>
      </w:r>
    </w:p>
    <w:p w14:paraId="386969C1">
      <w:pPr>
        <w:snapToGrid w:val="0"/>
        <w:spacing w:line="324" w:lineRule="auto"/>
        <w:ind w:firstLine="420" w:firstLineChars="200"/>
        <w:jc w:val="left"/>
        <w:rPr>
          <w:rFonts w:ascii="宋体" w:hAnsi="宋体" w:cs="宋体"/>
          <w:color w:val="000000"/>
          <w:szCs w:val="21"/>
        </w:rPr>
      </w:pPr>
      <w:r>
        <w:rPr>
          <w:rFonts w:hint="eastAsia" w:ascii="宋体" w:hAnsi="宋体" w:cs="宋体"/>
          <w:color w:val="000000"/>
          <w:szCs w:val="21"/>
        </w:rPr>
        <w:t>（4）保安人员上岗前必须进行安全教育和培训，并做好记录，工作人员进行工作时应注意安全。</w:t>
      </w:r>
    </w:p>
    <w:p w14:paraId="031D3292">
      <w:pPr>
        <w:snapToGrid w:val="0"/>
        <w:spacing w:line="324" w:lineRule="auto"/>
        <w:ind w:firstLine="420" w:firstLineChars="200"/>
        <w:jc w:val="left"/>
        <w:rPr>
          <w:rFonts w:ascii="宋体" w:hAnsi="宋体" w:cs="宋体"/>
          <w:color w:val="000000"/>
          <w:szCs w:val="21"/>
        </w:rPr>
      </w:pPr>
      <w:r>
        <w:rPr>
          <w:rFonts w:hint="eastAsia" w:ascii="宋体" w:hAnsi="宋体" w:cs="宋体"/>
          <w:color w:val="000000"/>
          <w:szCs w:val="21"/>
        </w:rPr>
        <w:t>（5）</w:t>
      </w:r>
      <w:r>
        <w:rPr>
          <w:rFonts w:hint="eastAsia" w:ascii="宋体" w:hAnsi="宋体"/>
          <w:color w:val="000000"/>
        </w:rPr>
        <w:t>成交供应商</w:t>
      </w:r>
      <w:r>
        <w:rPr>
          <w:rFonts w:hint="eastAsia" w:ascii="宋体" w:hAnsi="宋体" w:cs="宋体"/>
          <w:color w:val="000000"/>
          <w:szCs w:val="21"/>
        </w:rPr>
        <w:t>在履约期内发生任何安全责任事故的，所有损失及责任均由</w:t>
      </w:r>
      <w:r>
        <w:rPr>
          <w:rFonts w:hint="eastAsia" w:ascii="宋体" w:hAnsi="宋体"/>
          <w:color w:val="000000"/>
        </w:rPr>
        <w:t>成交供应商</w:t>
      </w:r>
      <w:r>
        <w:rPr>
          <w:rFonts w:hint="eastAsia" w:ascii="宋体" w:hAnsi="宋体" w:cs="宋体"/>
          <w:color w:val="000000"/>
          <w:szCs w:val="21"/>
        </w:rPr>
        <w:t>自行承担。</w:t>
      </w:r>
    </w:p>
    <w:p w14:paraId="6131B963">
      <w:pPr>
        <w:pStyle w:val="5"/>
        <w:spacing w:line="324" w:lineRule="auto"/>
        <w:rPr>
          <w:rFonts w:ascii="宋体" w:hAnsi="宋体" w:cs="宋体"/>
          <w:color w:val="000000"/>
        </w:rPr>
      </w:pPr>
      <w:bookmarkStart w:id="14" w:name="_Toc29772"/>
      <w:r>
        <w:rPr>
          <w:rFonts w:hint="eastAsia" w:ascii="宋体" w:hAnsi="宋体" w:cs="宋体"/>
          <w:color w:val="000000"/>
        </w:rPr>
        <w:t>四、款项支付</w:t>
      </w:r>
      <w:bookmarkEnd w:id="14"/>
    </w:p>
    <w:p w14:paraId="53CFBD91">
      <w:pPr>
        <w:snapToGrid w:val="0"/>
        <w:spacing w:line="324" w:lineRule="auto"/>
        <w:ind w:firstLine="420" w:firstLineChars="200"/>
        <w:jc w:val="left"/>
        <w:rPr>
          <w:rFonts w:ascii="宋体" w:hAnsi="宋体" w:cs="宋体"/>
          <w:color w:val="000000"/>
          <w:szCs w:val="21"/>
        </w:rPr>
      </w:pPr>
      <w:r>
        <w:rPr>
          <w:rFonts w:hint="eastAsia" w:ascii="宋体" w:hAnsi="宋体" w:cs="宋体"/>
          <w:color w:val="000000"/>
          <w:szCs w:val="21"/>
        </w:rPr>
        <w:t>1.成交供应商次月5日前向采购人提供上一个月所有员工银行工资发放清单以及税务发票后，采购人7个工作日内予以支付该月承包经费。考核奖金采购人在最后一个月一次性结清。</w:t>
      </w:r>
    </w:p>
    <w:p w14:paraId="0AD292C7">
      <w:pPr>
        <w:snapToGrid w:val="0"/>
        <w:spacing w:line="324" w:lineRule="auto"/>
        <w:ind w:firstLine="420" w:firstLineChars="200"/>
        <w:jc w:val="left"/>
        <w:rPr>
          <w:rFonts w:ascii="宋体" w:hAnsi="宋体" w:cs="宋体"/>
          <w:color w:val="000000"/>
          <w:szCs w:val="21"/>
        </w:rPr>
      </w:pPr>
      <w:r>
        <w:rPr>
          <w:rFonts w:hint="eastAsia" w:ascii="宋体" w:hAnsi="宋体" w:cs="宋体"/>
          <w:color w:val="000000"/>
          <w:szCs w:val="21"/>
        </w:rPr>
        <w:t>2.费用结算：按月结算，每</w:t>
      </w:r>
      <w:r>
        <w:rPr>
          <w:rFonts w:hint="eastAsia" w:ascii="宋体" w:hAnsi="宋体" w:cs="宋体"/>
          <w:color w:val="000000"/>
          <w:szCs w:val="21"/>
          <w:lang w:val="zh-CN"/>
        </w:rPr>
        <w:t>月所得经费=（合同价-考核奖金）÷</w:t>
      </w:r>
      <w:r>
        <w:rPr>
          <w:rFonts w:hint="eastAsia" w:ascii="宋体" w:hAnsi="宋体" w:cs="宋体"/>
          <w:color w:val="000000"/>
          <w:szCs w:val="21"/>
        </w:rPr>
        <w:t>12</w:t>
      </w:r>
      <w:r>
        <w:rPr>
          <w:rFonts w:hint="eastAsia" w:ascii="宋体" w:hAnsi="宋体" w:cs="宋体"/>
          <w:color w:val="000000"/>
          <w:szCs w:val="21"/>
          <w:lang w:val="zh-CN"/>
        </w:rPr>
        <w:t>个月×当月</w:t>
      </w:r>
      <w:r>
        <w:rPr>
          <w:rFonts w:hint="eastAsia" w:ascii="宋体" w:hAnsi="宋体" w:cs="宋体"/>
          <w:color w:val="000000"/>
          <w:szCs w:val="21"/>
        </w:rPr>
        <w:t>经采购人确认的</w:t>
      </w:r>
      <w:r>
        <w:rPr>
          <w:rFonts w:hint="eastAsia" w:ascii="宋体" w:hAnsi="宋体" w:cs="宋体"/>
          <w:color w:val="000000"/>
          <w:szCs w:val="21"/>
          <w:lang w:val="zh-CN"/>
        </w:rPr>
        <w:t>实际到位的工作人员数量-相应罚款（</w:t>
      </w:r>
      <w:r>
        <w:rPr>
          <w:rFonts w:hint="eastAsia" w:ascii="宋体" w:hAnsi="宋体" w:cs="宋体"/>
          <w:color w:val="000000"/>
          <w:szCs w:val="21"/>
        </w:rPr>
        <w:t>如有</w:t>
      </w:r>
      <w:r>
        <w:rPr>
          <w:rFonts w:hint="eastAsia" w:ascii="宋体" w:hAnsi="宋体" w:cs="宋体"/>
          <w:color w:val="000000"/>
          <w:szCs w:val="21"/>
          <w:lang w:val="zh-CN"/>
        </w:rPr>
        <w:t>）。</w:t>
      </w:r>
    </w:p>
    <w:p w14:paraId="0268E3BA">
      <w:pPr>
        <w:snapToGrid w:val="0"/>
        <w:spacing w:line="324" w:lineRule="auto"/>
        <w:ind w:firstLine="420" w:firstLineChars="200"/>
        <w:jc w:val="left"/>
        <w:rPr>
          <w:rFonts w:ascii="宋体" w:hAnsi="宋体" w:cs="宋体"/>
          <w:color w:val="000000"/>
          <w:szCs w:val="21"/>
        </w:rPr>
      </w:pPr>
      <w:r>
        <w:rPr>
          <w:rFonts w:hint="eastAsia" w:ascii="宋体" w:hAnsi="宋体" w:cs="宋体"/>
          <w:color w:val="000000"/>
          <w:szCs w:val="21"/>
        </w:rPr>
        <w:t>3.采购人向供应商支付款项前，供应商需提供经采购人确定金额的税务发票，因供应商未及时向采购人提供税务发票而导致采购人未及时支付款项的，由此产生的责任及风险均由供应商自行承担。</w:t>
      </w:r>
    </w:p>
    <w:p w14:paraId="30132249">
      <w:pPr>
        <w:snapToGrid w:val="0"/>
        <w:spacing w:line="324" w:lineRule="auto"/>
        <w:ind w:firstLine="420" w:firstLineChars="200"/>
        <w:jc w:val="left"/>
        <w:rPr>
          <w:rFonts w:ascii="宋体" w:hAnsi="宋体" w:cs="宋体"/>
          <w:color w:val="000000"/>
          <w:szCs w:val="21"/>
        </w:rPr>
      </w:pPr>
      <w:r>
        <w:rPr>
          <w:rFonts w:hint="eastAsia" w:ascii="宋体" w:hAnsi="宋体" w:cs="宋体"/>
          <w:color w:val="000000"/>
          <w:szCs w:val="21"/>
        </w:rPr>
        <w:t>4.合同款在合同期内最后一个月结清，经采购人扣除的费用，直至合同结束，采购人均不再补该笔费用。</w:t>
      </w:r>
    </w:p>
    <w:p w14:paraId="4FB4C2B9">
      <w:pPr>
        <w:pStyle w:val="5"/>
        <w:rPr>
          <w:rFonts w:ascii="宋体" w:hAnsi="宋体" w:cs="宋体"/>
          <w:color w:val="000000"/>
        </w:rPr>
      </w:pPr>
      <w:bookmarkStart w:id="15" w:name="_Toc13045"/>
      <w:r>
        <w:rPr>
          <w:rFonts w:hint="eastAsia" w:ascii="宋体" w:hAnsi="宋体" w:cs="宋体"/>
          <w:color w:val="000000"/>
        </w:rPr>
        <w:t>五、规章制度</w:t>
      </w:r>
      <w:bookmarkEnd w:id="15"/>
    </w:p>
    <w:p w14:paraId="4B997A46">
      <w:pPr>
        <w:snapToGrid w:val="0"/>
        <w:spacing w:line="324" w:lineRule="auto"/>
        <w:ind w:firstLine="420" w:firstLineChars="200"/>
        <w:rPr>
          <w:rFonts w:ascii="宋体" w:hAnsi="宋体" w:cs="宋体"/>
          <w:b/>
          <w:bCs/>
          <w:color w:val="000000"/>
          <w:szCs w:val="21"/>
        </w:rPr>
      </w:pPr>
      <w:r>
        <w:rPr>
          <w:rFonts w:hint="eastAsia" w:ascii="宋体" w:hAnsi="宋体" w:cs="宋体"/>
          <w:color w:val="000000"/>
          <w:szCs w:val="21"/>
        </w:rPr>
        <w:t>1.«保安管理制度»«保安岗位职责»«保安管理奖惩办法»附后，在项目实施过程中，采购人有权根据实际情况对其进行修改或调整，供应商需无条件服从。</w:t>
      </w:r>
    </w:p>
    <w:p w14:paraId="6BE24598">
      <w:pPr>
        <w:pStyle w:val="2"/>
        <w:ind w:firstLineChars="200"/>
        <w:rPr>
          <w:color w:val="000000"/>
        </w:rPr>
      </w:pPr>
      <w:r>
        <w:rPr>
          <w:rFonts w:hint="eastAsia" w:ascii="宋体" w:hAnsi="宋体" w:cs="宋体"/>
          <w:color w:val="000000"/>
          <w:szCs w:val="21"/>
        </w:rPr>
        <w:t>2.供应商一经参与本项目采购磋商活动，均视为认同上述规章制度等，若成交并按其要求执行。</w:t>
      </w:r>
    </w:p>
    <w:p w14:paraId="6ED2D264">
      <w:pPr>
        <w:tabs>
          <w:tab w:val="left" w:pos="540"/>
        </w:tabs>
        <w:jc w:val="center"/>
        <w:rPr>
          <w:rFonts w:hint="eastAsia" w:ascii="宋体" w:hAnsi="宋体" w:cs="仿宋_GB2312"/>
          <w:b/>
          <w:color w:val="000000"/>
          <w:sz w:val="28"/>
          <w:szCs w:val="28"/>
        </w:rPr>
      </w:pPr>
    </w:p>
    <w:p w14:paraId="139A616C">
      <w:pPr>
        <w:tabs>
          <w:tab w:val="left" w:pos="540"/>
        </w:tabs>
        <w:jc w:val="center"/>
        <w:rPr>
          <w:rFonts w:ascii="宋体" w:hAnsi="宋体" w:cs="仿宋_GB2312"/>
          <w:b/>
          <w:color w:val="000000"/>
          <w:sz w:val="28"/>
          <w:szCs w:val="28"/>
        </w:rPr>
      </w:pPr>
      <w:r>
        <w:rPr>
          <w:rFonts w:hint="eastAsia" w:ascii="宋体" w:hAnsi="宋体" w:cs="仿宋_GB2312"/>
          <w:b/>
          <w:color w:val="000000"/>
          <w:sz w:val="28"/>
          <w:szCs w:val="28"/>
        </w:rPr>
        <w:t>（一）保安管理制度</w:t>
      </w:r>
    </w:p>
    <w:p w14:paraId="1F86E917">
      <w:pPr>
        <w:tabs>
          <w:tab w:val="left" w:pos="540"/>
        </w:tabs>
        <w:ind w:firstLine="420" w:firstLineChars="200"/>
        <w:rPr>
          <w:rFonts w:ascii="宋体" w:hAnsi="宋体" w:cs="仿宋_GB2312"/>
          <w:color w:val="000000"/>
          <w:szCs w:val="21"/>
        </w:rPr>
      </w:pPr>
    </w:p>
    <w:p w14:paraId="33620EDA">
      <w:pPr>
        <w:snapToGrid w:val="0"/>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一、学校保安是学校安保工作的重中之重，必须高度重视，严格管理，完备制度，责任到人。学校制定保安管理制度，有利于学校监督，使学校保安管理逐步实现系统化、制度化、规范化、标准化。</w:t>
      </w:r>
    </w:p>
    <w:p w14:paraId="285E3FBA">
      <w:pPr>
        <w:snapToGrid w:val="0"/>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二、学校门岗由专职安保人员负责管理。</w:t>
      </w:r>
    </w:p>
    <w:p w14:paraId="00C40ABF">
      <w:pPr>
        <w:snapToGrid w:val="0"/>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三、学校保安肩负维护校园秩序，保障师生安全的重任，在岗人员要遵纪守法，坚守岗位，严格把关，文明值勤，努力将学校门岗建成展示学校良好形象的窗口。</w:t>
      </w:r>
    </w:p>
    <w:p w14:paraId="3D5B2D3A">
      <w:pPr>
        <w:snapToGrid w:val="0"/>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四、学校保安必须严格执行学校会客制度，来访者应该进行登记，填写《来客登记表》，写明来客身份、被访人及进出校的时间，由保安电话联系，经确认可以接待后方可入校。如被访者遇上课或开会，保安应安排来访者在校外等候。</w:t>
      </w:r>
    </w:p>
    <w:p w14:paraId="0F01A56D">
      <w:pPr>
        <w:snapToGrid w:val="0"/>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五、学校保安应严控学生课间擅自离校，因特殊情况需出校门的学生应持有离校证明（如请假单）方可放行。上课期间禁止家长和社会闲杂人员随意进校。</w:t>
      </w:r>
    </w:p>
    <w:p w14:paraId="1E268485">
      <w:pPr>
        <w:snapToGrid w:val="0"/>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六、学校门口要严把货物、车辆进出关。货物出校门，需凭相关部门证明（出门单）经确认后予以放行。本校及上级部门机动车辆进校，应指引其到指定停车区停放，不随意进入学生生活区、教学区。校外机动车辆一律不准入内（特殊情况除外，厢式车应开厢查验）。自行车进出校门时，必须下车推行，并在指定地方停放。</w:t>
      </w:r>
    </w:p>
    <w:p w14:paraId="59112E1E">
      <w:pPr>
        <w:snapToGrid w:val="0"/>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七、学校保安要确保暂放的资料、票据等及时准确发送，尽快通知本人或相关科室签收。</w:t>
      </w:r>
    </w:p>
    <w:p w14:paraId="1AD4ABDF">
      <w:pPr>
        <w:snapToGrid w:val="0"/>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八、学校保安要做好安保巡视工作，特别要加强夜间巡逻。要正确开启警报装置，一旦发生情况迅速查明原因，积极保护现场，协助警方处理。</w:t>
      </w:r>
    </w:p>
    <w:p w14:paraId="5AAD9A77">
      <w:pPr>
        <w:snapToGrid w:val="0"/>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九、学校保安要有完整交接班制度，保安接班时，必须互相询问情况，移交值班记录，巡视相关场所。保安人员请假需事先办理手续；经有关人员批准并安排好替代人员方可离岗。学校门岗严禁串岗，脱岗现象发生。</w:t>
      </w:r>
    </w:p>
    <w:p w14:paraId="48AB6A4C">
      <w:pPr>
        <w:snapToGrid w:val="0"/>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十、学校保安要确保校门左右30米内无设摊，校门口内外通道畅通无障碍；周边绿化景观无破坏；值班室内外环境整洁无杂物，在学校的安保人员认真努力工作，在派出单位和用人单位的共同管理和合作下努力将学校保安创建成安全窗口。</w:t>
      </w:r>
    </w:p>
    <w:p w14:paraId="017C11B2">
      <w:pPr>
        <w:snapToGrid w:val="0"/>
        <w:spacing w:line="360" w:lineRule="auto"/>
        <w:ind w:firstLine="422" w:firstLineChars="200"/>
        <w:rPr>
          <w:rFonts w:ascii="宋体" w:hAnsi="宋体"/>
          <w:b/>
          <w:color w:val="000000"/>
          <w:szCs w:val="21"/>
        </w:rPr>
      </w:pPr>
    </w:p>
    <w:p w14:paraId="7EC21B82">
      <w:pPr>
        <w:jc w:val="center"/>
        <w:rPr>
          <w:rFonts w:ascii="宋体" w:hAnsi="宋体" w:cs="仿宋_GB2312"/>
          <w:b/>
          <w:color w:val="000000"/>
        </w:rPr>
      </w:pPr>
    </w:p>
    <w:p w14:paraId="04293C68">
      <w:pPr>
        <w:jc w:val="both"/>
        <w:rPr>
          <w:rFonts w:ascii="宋体" w:hAnsi="宋体" w:cs="仿宋_GB2312"/>
          <w:b/>
          <w:color w:val="000000"/>
        </w:rPr>
      </w:pPr>
    </w:p>
    <w:p w14:paraId="5187F990">
      <w:pPr>
        <w:tabs>
          <w:tab w:val="left" w:pos="540"/>
        </w:tabs>
        <w:jc w:val="center"/>
        <w:rPr>
          <w:rFonts w:ascii="宋体" w:hAnsi="宋体" w:cs="仿宋_GB2312"/>
          <w:b/>
          <w:color w:val="000000"/>
          <w:sz w:val="28"/>
          <w:szCs w:val="28"/>
        </w:rPr>
      </w:pPr>
      <w:r>
        <w:rPr>
          <w:rFonts w:hint="eastAsia" w:ascii="宋体" w:hAnsi="宋体" w:cs="仿宋_GB2312"/>
          <w:b/>
          <w:color w:val="000000"/>
          <w:sz w:val="28"/>
          <w:szCs w:val="28"/>
        </w:rPr>
        <w:t>（二）保安岗位职责</w:t>
      </w:r>
    </w:p>
    <w:p w14:paraId="7DA7A0CB">
      <w:pPr>
        <w:tabs>
          <w:tab w:val="left" w:pos="540"/>
        </w:tabs>
        <w:snapToGrid w:val="0"/>
        <w:spacing w:line="360" w:lineRule="auto"/>
        <w:ind w:firstLine="420" w:firstLineChars="200"/>
        <w:rPr>
          <w:rFonts w:ascii="宋体" w:hAnsi="宋体" w:cs="宋体"/>
          <w:color w:val="000000"/>
          <w:szCs w:val="21"/>
        </w:rPr>
      </w:pPr>
    </w:p>
    <w:p w14:paraId="43AD25A9">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一、校门口及次校门口</w:t>
      </w:r>
    </w:p>
    <w:p w14:paraId="3C5A549F">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1.执行24小时值班制度，不得擅自离岗、空岗，按时交接班并做好交接记录,发现问题及时报告。</w:t>
      </w:r>
    </w:p>
    <w:p w14:paraId="6D6974A3">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2.严格落实校门开闭制度，学生上课时间应保持校门关闭。</w:t>
      </w:r>
    </w:p>
    <w:p w14:paraId="35B301E4">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3.严格执行大门和出入人员管理制度，来访人员需进行严格验证，并依据学校有关会客登记制度履行登记手续。严禁无关人员进入校园。上课期间，学生必须持有班主任开具的出门证，方可出校。</w:t>
      </w:r>
    </w:p>
    <w:p w14:paraId="4F9613FB">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4.发现可疑人、事、物或其他治安信息，及时向相关领导或部门汇报。必要时，启动报警器或向110报警，并配合公安机关做好处置工作。</w:t>
      </w:r>
    </w:p>
    <w:p w14:paraId="0A36D96F">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5.对出入人员和车辆所携带、装运的物品、物资进行严格的检验、核查，禁止私自将危险或违禁物品带入。严防学校物资流失。</w:t>
      </w:r>
    </w:p>
    <w:p w14:paraId="632991F3">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6.疏导出入车辆和行人，清理门卫责任区内的无关人员，保证进出车辆畅通，人员出入有序无阻。</w:t>
      </w:r>
    </w:p>
    <w:p w14:paraId="5C0940C9">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7.任何人不得在警卫室从事与该室工作无关的活动，不得存放或代人存放贵重物品、现金和危险品。</w:t>
      </w:r>
    </w:p>
    <w:p w14:paraId="707772CB">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8.做好</w:t>
      </w:r>
      <w:r>
        <w:rPr>
          <w:rFonts w:ascii="宋体" w:hAnsi="宋体" w:cs="宋体"/>
          <w:color w:val="000000"/>
          <w:szCs w:val="21"/>
        </w:rPr>
        <w:t>教学办公区域</w:t>
      </w:r>
      <w:r>
        <w:rPr>
          <w:rFonts w:hint="eastAsia" w:ascii="宋体" w:hAnsi="宋体" w:cs="宋体"/>
          <w:color w:val="000000"/>
          <w:szCs w:val="21"/>
        </w:rPr>
        <w:t>的消防安全</w:t>
      </w:r>
      <w:r>
        <w:rPr>
          <w:rFonts w:ascii="宋体" w:hAnsi="宋体" w:cs="宋体"/>
          <w:color w:val="000000"/>
          <w:szCs w:val="21"/>
        </w:rPr>
        <w:t>检查</w:t>
      </w:r>
      <w:r>
        <w:rPr>
          <w:rFonts w:hint="eastAsia" w:ascii="宋体" w:hAnsi="宋体" w:cs="宋体"/>
          <w:color w:val="000000"/>
          <w:szCs w:val="21"/>
        </w:rPr>
        <w:t>，确保灭火器材的充足、完好和有效，定期检查插头、电线，发现问题及时报修。</w:t>
      </w:r>
    </w:p>
    <w:p w14:paraId="7AEA95EB">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9.妥善保管、定期检查、熟练使用技防工具，在危急时刻充分发挥技防工具的作用，确保师生安全。</w:t>
      </w:r>
    </w:p>
    <w:p w14:paraId="5072AD43">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10.在岗期间不与无关人员聊天，不干私活，不饮酒。</w:t>
      </w:r>
    </w:p>
    <w:p w14:paraId="3FF9FE6D">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11.完成领导小组交办的其它安全工作。</w:t>
      </w:r>
    </w:p>
    <w:p w14:paraId="3AFCDE79">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二、监控室</w:t>
      </w:r>
    </w:p>
    <w:p w14:paraId="759504FF">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1.在</w:t>
      </w:r>
      <w:r>
        <w:rPr>
          <w:rFonts w:hint="eastAsia" w:ascii="宋体" w:hAnsi="宋体" w:cs="宋体"/>
          <w:color w:val="000000"/>
          <w:szCs w:val="21"/>
          <w:lang w:val="en-US" w:eastAsia="zh-CN"/>
        </w:rPr>
        <w:t>政教</w:t>
      </w:r>
      <w:r>
        <w:rPr>
          <w:rFonts w:ascii="宋体" w:hAnsi="宋体" w:cs="宋体"/>
          <w:color w:val="000000"/>
          <w:szCs w:val="21"/>
        </w:rPr>
        <w:t>处</w:t>
      </w:r>
      <w:r>
        <w:rPr>
          <w:rFonts w:hint="eastAsia" w:ascii="宋体" w:hAnsi="宋体" w:cs="宋体"/>
          <w:color w:val="000000"/>
          <w:szCs w:val="21"/>
        </w:rPr>
        <w:t>的领导下开展工作，落实相关部门及学校保卫工作规章制度和要求，按时参加上级部门的保卫工作会议，并及时向领导汇报。</w:t>
      </w:r>
    </w:p>
    <w:p w14:paraId="39EE5972">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2.熟悉业务，熟练操作电脑，会校园监控回放，提高防范破案能力，记录并协助有关部门处理学校发生的案件，确保师生安全。</w:t>
      </w:r>
    </w:p>
    <w:p w14:paraId="0E54B5B7">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3.做好平时的值班，及时解决值班中出现的问题，并及时记录在册。</w:t>
      </w:r>
    </w:p>
    <w:p w14:paraId="07D7F9A9">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4.在不妨碍保安日常工作的前提下，协助其它部门做好服务工作。</w:t>
      </w:r>
    </w:p>
    <w:p w14:paraId="0E6A7C4C">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5.按时完成上级交办的其它安全工作。</w:t>
      </w:r>
    </w:p>
    <w:p w14:paraId="104453ED">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6.做好所在区域的卫生工作。</w:t>
      </w:r>
    </w:p>
    <w:p w14:paraId="369B4732">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三、校内楼宇</w:t>
      </w:r>
    </w:p>
    <w:p w14:paraId="012127B6">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1.校内巡逻，发现安全隐患及时整改或向相关领导报告，提出整改意见。</w:t>
      </w:r>
    </w:p>
    <w:p w14:paraId="5E8E34ED">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2.完成三化一日五巡和日渐工作；完成每月灭火器的检查和记录。</w:t>
      </w:r>
    </w:p>
    <w:p w14:paraId="3696F32D">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3.完成消防自主平台的每日巡查和上传工作。</w:t>
      </w:r>
    </w:p>
    <w:p w14:paraId="513B0FE1">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4.每天下班前关好楼道电源。</w:t>
      </w:r>
    </w:p>
    <w:p w14:paraId="71986C4B">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5.保持与班主任、任课教师的联系，加强对个别不遵纪守法学生的法制安全教育，协助做好违法青少年的帮教工作。</w:t>
      </w:r>
    </w:p>
    <w:p w14:paraId="0D48E1C1">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6.保护学校财产和师生人身安全不受侵害，发现问题及时处理。</w:t>
      </w:r>
    </w:p>
    <w:p w14:paraId="4E56E453">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7.完成领导小组交办的其它安全工作。</w:t>
      </w:r>
    </w:p>
    <w:p w14:paraId="0FC1F4B9">
      <w:pPr>
        <w:tabs>
          <w:tab w:val="left" w:pos="540"/>
        </w:tabs>
        <w:jc w:val="center"/>
        <w:rPr>
          <w:rFonts w:hint="eastAsia" w:ascii="宋体" w:hAnsi="宋体" w:cs="仿宋_GB2312"/>
          <w:b/>
          <w:color w:val="000000"/>
          <w:sz w:val="28"/>
          <w:szCs w:val="28"/>
        </w:rPr>
      </w:pPr>
    </w:p>
    <w:p w14:paraId="1A0DEEB6">
      <w:pPr>
        <w:tabs>
          <w:tab w:val="left" w:pos="540"/>
        </w:tabs>
        <w:jc w:val="center"/>
        <w:rPr>
          <w:rFonts w:hint="eastAsia" w:ascii="宋体" w:hAnsi="宋体" w:cs="仿宋_GB2312"/>
          <w:b/>
          <w:color w:val="000000"/>
          <w:sz w:val="28"/>
          <w:szCs w:val="28"/>
        </w:rPr>
      </w:pPr>
    </w:p>
    <w:p w14:paraId="16684AF9">
      <w:pPr>
        <w:tabs>
          <w:tab w:val="left" w:pos="540"/>
        </w:tabs>
        <w:jc w:val="center"/>
        <w:rPr>
          <w:rFonts w:hint="eastAsia" w:ascii="宋体" w:hAnsi="宋体" w:cs="仿宋_GB2312"/>
          <w:b/>
          <w:color w:val="000000"/>
          <w:sz w:val="28"/>
          <w:szCs w:val="28"/>
        </w:rPr>
      </w:pPr>
    </w:p>
    <w:p w14:paraId="15C11EFF">
      <w:pPr>
        <w:tabs>
          <w:tab w:val="left" w:pos="540"/>
        </w:tabs>
        <w:jc w:val="center"/>
        <w:rPr>
          <w:rFonts w:ascii="宋体" w:hAnsi="宋体" w:cs="仿宋_GB2312"/>
          <w:b/>
          <w:color w:val="000000"/>
          <w:sz w:val="28"/>
          <w:szCs w:val="28"/>
        </w:rPr>
      </w:pPr>
      <w:r>
        <w:rPr>
          <w:rFonts w:hint="eastAsia" w:ascii="宋体" w:hAnsi="宋体" w:cs="仿宋_GB2312"/>
          <w:b/>
          <w:color w:val="000000"/>
          <w:sz w:val="28"/>
          <w:szCs w:val="28"/>
        </w:rPr>
        <w:t>（三）保安管理奖惩办法</w:t>
      </w:r>
    </w:p>
    <w:p w14:paraId="0B97F155">
      <w:pPr>
        <w:tabs>
          <w:tab w:val="left" w:pos="540"/>
        </w:tabs>
        <w:jc w:val="center"/>
        <w:rPr>
          <w:rFonts w:ascii="宋体" w:hAnsi="宋体" w:cs="仿宋_GB2312"/>
          <w:color w:val="000000"/>
          <w:szCs w:val="21"/>
        </w:rPr>
      </w:pPr>
      <w:r>
        <w:rPr>
          <w:rFonts w:hint="eastAsia" w:ascii="宋体" w:hAnsi="宋体" w:cs="仿宋_GB2312"/>
          <w:color w:val="000000"/>
          <w:szCs w:val="21"/>
        </w:rPr>
        <w:t>（试行）</w:t>
      </w:r>
    </w:p>
    <w:p w14:paraId="56C2EA52">
      <w:pPr>
        <w:tabs>
          <w:tab w:val="left" w:pos="540"/>
        </w:tabs>
        <w:snapToGrid w:val="0"/>
        <w:spacing w:before="312" w:beforeLines="100" w:line="360" w:lineRule="auto"/>
        <w:ind w:firstLine="420" w:firstLineChars="200"/>
        <w:rPr>
          <w:rFonts w:ascii="宋体" w:hAnsi="宋体" w:cs="宋体"/>
          <w:color w:val="000000"/>
          <w:szCs w:val="21"/>
        </w:rPr>
      </w:pPr>
      <w:r>
        <w:rPr>
          <w:rFonts w:hint="eastAsia" w:ascii="宋体" w:hAnsi="宋体" w:cs="宋体"/>
          <w:color w:val="000000"/>
          <w:szCs w:val="21"/>
        </w:rPr>
        <w:t>为切实加强保安工作，确保师生进出校门有秩序、有规范，督促保安履行岗位职责，提升保安形象，做到“严格管理，彬彬有礼”。特制订本办法：</w:t>
      </w:r>
    </w:p>
    <w:p w14:paraId="274D17CA">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保安工作恪尽职守，态度和蔼，严格遵守学校规章制度，虚心接受意见，主动承担任务。</w:t>
      </w:r>
    </w:p>
    <w:p w14:paraId="65F71B1F">
      <w:pPr>
        <w:tabs>
          <w:tab w:val="left" w:pos="540"/>
        </w:tabs>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一、处罚条例</w:t>
      </w:r>
    </w:p>
    <w:p w14:paraId="1AD665C0">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保安在值班时不尽职工作，有关部门给出意见时不虚心接受，视情节轻重，给予罚款处分。</w:t>
      </w:r>
    </w:p>
    <w:p w14:paraId="27AF9CD5">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（一）按时到岗，文明值勤</w:t>
      </w:r>
    </w:p>
    <w:p w14:paraId="789171AF">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1.值班时打瞌睡，或玩游戏或无值班记录，每次发现扣5－20元；</w:t>
      </w:r>
    </w:p>
    <w:p w14:paraId="1C7561F6">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2.文明值勤，若与校内外的人发生争执、谩骂、动粗斗殴，每次扣10-50元；</w:t>
      </w:r>
    </w:p>
    <w:p w14:paraId="0C463ADB">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3.若未穿保安服上岗或上岗时在保安室内吸烟，每次扣5元；</w:t>
      </w:r>
    </w:p>
    <w:p w14:paraId="01EA1A3E">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4.不能按时到岗或早退，每次扣20元，作息时间由用人单位按工作需要制订。</w:t>
      </w:r>
    </w:p>
    <w:p w14:paraId="112743E4">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（二）进出校门，管理规范</w:t>
      </w:r>
    </w:p>
    <w:p w14:paraId="7EC41CED">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1.让不明身份人员进校或未按规定办理进校手续，发现每次扣5-10元；</w:t>
      </w:r>
    </w:p>
    <w:p w14:paraId="1FF9D52D">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2.学生擅自离校，保安无记录，每次扣10-20元；</w:t>
      </w:r>
    </w:p>
    <w:p w14:paraId="38E1B40F">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3.非本校车辆未经有关部门同意进入学校，发现每次扣5-20元。</w:t>
      </w:r>
    </w:p>
    <w:p w14:paraId="7A4660B3">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（三）加强巡视，重视安保</w:t>
      </w:r>
    </w:p>
    <w:p w14:paraId="1FE22197">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1.未按时巡逻或巡逻无记录，每次扣5元；</w:t>
      </w:r>
    </w:p>
    <w:p w14:paraId="7C7AE953">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2.由于保安失职，发生学校固定财产被偷等事件，每次10-100元；</w:t>
      </w:r>
    </w:p>
    <w:p w14:paraId="71537075">
      <w:pPr>
        <w:tabs>
          <w:tab w:val="left" w:pos="540"/>
        </w:tabs>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3.发现车辆违停，严重影响校内通行，要及时疏通，若不及时解决，每次扣5元。</w:t>
      </w:r>
    </w:p>
    <w:p w14:paraId="7D34762E">
      <w:pPr>
        <w:pStyle w:val="2"/>
        <w:ind w:firstLine="420" w:firstLineChars="200"/>
      </w:pPr>
      <w:r>
        <w:rPr>
          <w:rFonts w:hint="eastAsia"/>
        </w:rPr>
        <w:t>4.未按时关闭电灯，第一次口头</w:t>
      </w:r>
    </w:p>
    <w:p w14:paraId="480823EB">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（四）收发信件，及时传呼</w:t>
      </w:r>
    </w:p>
    <w:p w14:paraId="7BE41B7F">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1.发生突发事件，未及时致电相关行政科室和领导而造成学校财产损失的，每次扣5-20元。</w:t>
      </w:r>
    </w:p>
    <w:p w14:paraId="73F4B790">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（五）环境整洁，摆放有序</w:t>
      </w:r>
    </w:p>
    <w:p w14:paraId="5568D6E0">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1.要落实好卫生打扫制度，保持保安室内干净整洁，物品摆放有序，做好保安室前的“三包”工作，发现卫生工作不做到位，每次扣5-20元；</w:t>
      </w:r>
    </w:p>
    <w:p w14:paraId="57AB3F81">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2.未经有关部门同意，若发现校门口（30米左右）设摊，或送外卖，未及时驱赶，每次扣5元。</w:t>
      </w:r>
    </w:p>
    <w:p w14:paraId="108E5040">
      <w:pPr>
        <w:tabs>
          <w:tab w:val="left" w:pos="540"/>
        </w:tabs>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（六）加强培训，定期督查</w:t>
      </w:r>
    </w:p>
    <w:p w14:paraId="40CADFDC">
      <w:pPr>
        <w:tabs>
          <w:tab w:val="left" w:pos="540"/>
        </w:tabs>
        <w:snapToGrid w:val="0"/>
        <w:spacing w:line="360" w:lineRule="auto"/>
        <w:ind w:firstLine="420" w:firstLineChars="200"/>
        <w:rPr>
          <w:rFonts w:hint="eastAsia"/>
        </w:rPr>
      </w:pPr>
      <w:r>
        <w:rPr>
          <w:rFonts w:hint="eastAsia" w:ascii="宋体" w:hAnsi="宋体" w:cs="宋体"/>
          <w:color w:val="000000"/>
          <w:szCs w:val="21"/>
        </w:rPr>
        <w:t>保安公司平时加强对员工的培训指导，至少每半个月一次对保安工作督查或以例会形式进行教育，以期促进保安工作有序开展。若发现没有培训、督查和例会教育，每次扣200元。</w:t>
      </w:r>
    </w:p>
    <w:p w14:paraId="3C6A3DB8">
      <w:pPr>
        <w:pStyle w:val="2"/>
        <w:rPr>
          <w:rFonts w:hint="eastAsia"/>
        </w:rPr>
      </w:pPr>
      <w:r>
        <w:rPr>
          <w:rFonts w:hint="eastAsia"/>
        </w:rPr>
        <w:t>（七）事件备案，复盘追责</w:t>
      </w:r>
    </w:p>
    <w:p w14:paraId="18281D4E">
      <w:pPr>
        <w:pStyle w:val="2"/>
      </w:pPr>
      <w:r>
        <w:rPr>
          <w:rFonts w:hint="eastAsia"/>
        </w:rPr>
        <w:t>因保安工作失职、失误，造成学校的人员伤亡事件或重大财产损失，学校将依照法律程序向成交供应商追究相应责任。</w:t>
      </w:r>
    </w:p>
    <w:p w14:paraId="599B431A">
      <w:pPr>
        <w:snapToGrid w:val="0"/>
        <w:spacing w:line="360" w:lineRule="auto"/>
        <w:ind w:firstLine="422" w:firstLineChars="200"/>
        <w:jc w:val="left"/>
        <w:rPr>
          <w:rFonts w:ascii="宋体" w:hAnsi="宋体" w:cs="宋体"/>
          <w:b/>
          <w:bCs/>
          <w:color w:val="000000"/>
          <w:szCs w:val="21"/>
        </w:rPr>
      </w:pPr>
      <w:r>
        <w:rPr>
          <w:rFonts w:hint="eastAsia" w:ascii="宋体" w:hAnsi="宋体" w:cs="宋体"/>
          <w:b/>
          <w:bCs/>
          <w:color w:val="000000"/>
          <w:szCs w:val="21"/>
        </w:rPr>
        <w:t>二、监督考核实施办法</w:t>
      </w:r>
    </w:p>
    <w:p w14:paraId="5EE23DE6">
      <w:pPr>
        <w:snapToGrid w:val="0"/>
        <w:spacing w:line="360" w:lineRule="auto"/>
        <w:ind w:firstLine="420" w:firstLineChars="200"/>
        <w:jc w:val="left"/>
        <w:rPr>
          <w:rFonts w:ascii="宋体" w:hAnsi="宋体" w:cs="宋体"/>
          <w:bCs/>
          <w:color w:val="000000"/>
          <w:szCs w:val="21"/>
          <w:lang w:val="zh-CN"/>
        </w:rPr>
      </w:pPr>
      <w:r>
        <w:rPr>
          <w:rFonts w:hint="eastAsia" w:ascii="宋体" w:hAnsi="宋体" w:cs="宋体"/>
          <w:bCs/>
          <w:color w:val="000000"/>
          <w:szCs w:val="21"/>
        </w:rPr>
        <w:t>为加强采购人治安、车辆等管理，保持值守岗位的整体形象及风貌，提高保安人员的工作责任心，促进各项工作的有序开展，制订以下考核细则：</w:t>
      </w:r>
    </w:p>
    <w:tbl>
      <w:tblPr>
        <w:tblStyle w:val="8"/>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5973"/>
        <w:gridCol w:w="1842"/>
      </w:tblGrid>
      <w:tr w14:paraId="2E81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62" w:type="dxa"/>
            <w:noWrap/>
            <w:vAlign w:val="center"/>
          </w:tcPr>
          <w:p w14:paraId="26DE53CE">
            <w:pPr>
              <w:autoSpaceDE w:val="0"/>
              <w:autoSpaceDN w:val="0"/>
              <w:adjustRightInd w:val="0"/>
              <w:snapToGrid w:val="0"/>
              <w:spacing w:line="360" w:lineRule="auto"/>
              <w:ind w:right="25" w:rightChars="12"/>
              <w:jc w:val="center"/>
              <w:rPr>
                <w:rFonts w:ascii="宋体" w:hAnsi="宋体" w:cs="宋体"/>
                <w:b/>
                <w:color w:val="000000"/>
                <w:szCs w:val="21"/>
              </w:rPr>
            </w:pPr>
            <w:r>
              <w:rPr>
                <w:rFonts w:hint="eastAsia" w:ascii="宋体" w:hAnsi="宋体" w:cs="宋体"/>
                <w:b/>
                <w:color w:val="000000"/>
                <w:szCs w:val="21"/>
              </w:rPr>
              <w:t>序号</w:t>
            </w:r>
          </w:p>
        </w:tc>
        <w:tc>
          <w:tcPr>
            <w:tcW w:w="5973" w:type="dxa"/>
            <w:noWrap/>
            <w:vAlign w:val="center"/>
          </w:tcPr>
          <w:p w14:paraId="224292F0">
            <w:pPr>
              <w:autoSpaceDE w:val="0"/>
              <w:autoSpaceDN w:val="0"/>
              <w:adjustRightInd w:val="0"/>
              <w:snapToGrid w:val="0"/>
              <w:spacing w:line="360" w:lineRule="auto"/>
              <w:ind w:right="25" w:rightChars="12" w:firstLine="422" w:firstLineChars="200"/>
              <w:jc w:val="center"/>
              <w:rPr>
                <w:rFonts w:ascii="宋体" w:hAnsi="宋体" w:cs="宋体"/>
                <w:b/>
                <w:color w:val="000000"/>
                <w:szCs w:val="21"/>
              </w:rPr>
            </w:pPr>
            <w:r>
              <w:rPr>
                <w:rFonts w:hint="eastAsia" w:ascii="宋体" w:hAnsi="宋体" w:cs="宋体"/>
                <w:b/>
                <w:color w:val="000000"/>
                <w:szCs w:val="21"/>
              </w:rPr>
              <w:t>考核内容</w:t>
            </w:r>
          </w:p>
        </w:tc>
        <w:tc>
          <w:tcPr>
            <w:tcW w:w="1842" w:type="dxa"/>
            <w:noWrap/>
            <w:vAlign w:val="center"/>
          </w:tcPr>
          <w:p w14:paraId="60DE5ADF">
            <w:pPr>
              <w:autoSpaceDE w:val="0"/>
              <w:autoSpaceDN w:val="0"/>
              <w:adjustRightInd w:val="0"/>
              <w:snapToGrid w:val="0"/>
              <w:spacing w:line="360" w:lineRule="auto"/>
              <w:ind w:right="25" w:rightChars="12"/>
              <w:jc w:val="center"/>
              <w:rPr>
                <w:rFonts w:ascii="宋体" w:hAnsi="宋体" w:cs="宋体"/>
                <w:b/>
                <w:color w:val="000000"/>
                <w:szCs w:val="21"/>
              </w:rPr>
            </w:pPr>
            <w:r>
              <w:rPr>
                <w:rFonts w:hint="eastAsia" w:ascii="宋体" w:hAnsi="宋体" w:cs="宋体"/>
                <w:b/>
                <w:color w:val="000000"/>
                <w:szCs w:val="21"/>
              </w:rPr>
              <w:t>处罚内容</w:t>
            </w:r>
          </w:p>
        </w:tc>
      </w:tr>
      <w:tr w14:paraId="4088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2" w:type="dxa"/>
            <w:noWrap/>
            <w:vAlign w:val="center"/>
          </w:tcPr>
          <w:p w14:paraId="3BD3494F">
            <w:pPr>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5973" w:type="dxa"/>
            <w:noWrap/>
            <w:vAlign w:val="center"/>
          </w:tcPr>
          <w:p w14:paraId="737B3A84">
            <w:pPr>
              <w:snapToGrid w:val="0"/>
              <w:spacing w:line="360" w:lineRule="auto"/>
              <w:rPr>
                <w:rFonts w:ascii="宋体" w:hAnsi="宋体" w:cs="宋体"/>
                <w:bCs/>
                <w:color w:val="000000"/>
                <w:szCs w:val="21"/>
              </w:rPr>
            </w:pPr>
            <w:r>
              <w:rPr>
                <w:rFonts w:hint="eastAsia" w:ascii="宋体" w:hAnsi="宋体" w:cs="宋体"/>
                <w:bCs/>
                <w:color w:val="000000"/>
                <w:szCs w:val="21"/>
              </w:rPr>
              <w:t>上班脱岗、缺岗、串岗，上班时间做与工作无关之事，酒后工作，着装不规范，言行举止有损单位形象。</w:t>
            </w:r>
          </w:p>
        </w:tc>
        <w:tc>
          <w:tcPr>
            <w:tcW w:w="1842" w:type="dxa"/>
            <w:noWrap/>
            <w:vAlign w:val="center"/>
          </w:tcPr>
          <w:p w14:paraId="27A430A5">
            <w:pPr>
              <w:snapToGrid w:val="0"/>
              <w:spacing w:line="360" w:lineRule="auto"/>
              <w:jc w:val="center"/>
              <w:rPr>
                <w:rFonts w:ascii="宋体" w:hAnsi="宋体" w:cs="宋体"/>
                <w:bCs/>
                <w:color w:val="000000"/>
                <w:szCs w:val="21"/>
              </w:rPr>
            </w:pPr>
            <w:r>
              <w:rPr>
                <w:rFonts w:hint="eastAsia" w:ascii="宋体" w:hAnsi="宋体" w:cs="宋体"/>
                <w:bCs/>
                <w:color w:val="000000"/>
                <w:szCs w:val="21"/>
              </w:rPr>
              <w:t>发现一次扣2分</w:t>
            </w:r>
          </w:p>
        </w:tc>
      </w:tr>
      <w:tr w14:paraId="1D04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62" w:type="dxa"/>
            <w:noWrap/>
            <w:vAlign w:val="center"/>
          </w:tcPr>
          <w:p w14:paraId="67480D3E">
            <w:pPr>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5973" w:type="dxa"/>
            <w:noWrap/>
            <w:vAlign w:val="center"/>
          </w:tcPr>
          <w:p w14:paraId="2AD90A79">
            <w:pPr>
              <w:snapToGrid w:val="0"/>
              <w:spacing w:line="360" w:lineRule="auto"/>
              <w:rPr>
                <w:rFonts w:ascii="宋体" w:hAnsi="宋体" w:cs="宋体"/>
                <w:bCs/>
                <w:color w:val="000000"/>
                <w:szCs w:val="21"/>
              </w:rPr>
            </w:pPr>
            <w:r>
              <w:rPr>
                <w:rFonts w:hint="eastAsia" w:ascii="宋体" w:hAnsi="宋体" w:cs="宋体"/>
                <w:bCs/>
                <w:color w:val="000000"/>
                <w:szCs w:val="21"/>
              </w:rPr>
              <w:t>校内发生任何纠纷和火警，应在5分钟内到达现场，采取适当措施进行阻止和处理，如故意躲避或任由事态发展，造成后果。</w:t>
            </w:r>
          </w:p>
        </w:tc>
        <w:tc>
          <w:tcPr>
            <w:tcW w:w="1842" w:type="dxa"/>
            <w:noWrap/>
            <w:vAlign w:val="center"/>
          </w:tcPr>
          <w:p w14:paraId="6E6F145A">
            <w:pPr>
              <w:snapToGrid w:val="0"/>
              <w:spacing w:line="360" w:lineRule="auto"/>
              <w:jc w:val="center"/>
              <w:rPr>
                <w:rFonts w:ascii="宋体" w:hAnsi="宋体" w:cs="宋体"/>
                <w:bCs/>
                <w:color w:val="000000"/>
                <w:szCs w:val="21"/>
              </w:rPr>
            </w:pPr>
            <w:r>
              <w:rPr>
                <w:rFonts w:hint="eastAsia" w:ascii="宋体" w:hAnsi="宋体" w:cs="宋体"/>
                <w:bCs/>
                <w:color w:val="000000"/>
                <w:szCs w:val="21"/>
              </w:rPr>
              <w:t>发现一次扣5分</w:t>
            </w:r>
          </w:p>
        </w:tc>
      </w:tr>
      <w:tr w14:paraId="37E1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2" w:type="dxa"/>
            <w:noWrap/>
            <w:vAlign w:val="center"/>
          </w:tcPr>
          <w:p w14:paraId="7A415BE5">
            <w:pPr>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5973" w:type="dxa"/>
            <w:noWrap/>
            <w:vAlign w:val="center"/>
          </w:tcPr>
          <w:p w14:paraId="5FE3DA2D">
            <w:pPr>
              <w:snapToGrid w:val="0"/>
              <w:spacing w:line="360" w:lineRule="auto"/>
              <w:rPr>
                <w:rFonts w:ascii="宋体" w:hAnsi="宋体" w:cs="宋体"/>
                <w:bCs/>
                <w:color w:val="000000"/>
                <w:szCs w:val="21"/>
              </w:rPr>
            </w:pPr>
            <w:r>
              <w:rPr>
                <w:rFonts w:hint="eastAsia" w:ascii="宋体" w:hAnsi="宋体" w:cs="宋体"/>
                <w:bCs/>
                <w:color w:val="000000"/>
                <w:szCs w:val="21"/>
              </w:rPr>
              <w:t>校内物品出入不检查、不控制，导致物品流失。</w:t>
            </w:r>
          </w:p>
        </w:tc>
        <w:tc>
          <w:tcPr>
            <w:tcW w:w="1842" w:type="dxa"/>
            <w:noWrap/>
            <w:vAlign w:val="center"/>
          </w:tcPr>
          <w:p w14:paraId="2D1542BD">
            <w:pPr>
              <w:snapToGrid w:val="0"/>
              <w:spacing w:line="360" w:lineRule="auto"/>
              <w:jc w:val="center"/>
              <w:rPr>
                <w:rFonts w:ascii="宋体" w:hAnsi="宋体" w:cs="宋体"/>
                <w:bCs/>
                <w:color w:val="000000"/>
                <w:szCs w:val="21"/>
              </w:rPr>
            </w:pPr>
            <w:r>
              <w:rPr>
                <w:rFonts w:hint="eastAsia" w:ascii="宋体" w:hAnsi="宋体" w:cs="宋体"/>
                <w:bCs/>
                <w:color w:val="000000"/>
                <w:szCs w:val="21"/>
              </w:rPr>
              <w:t>发现一次扣8分</w:t>
            </w:r>
          </w:p>
        </w:tc>
      </w:tr>
      <w:tr w14:paraId="1A23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62" w:type="dxa"/>
            <w:noWrap/>
            <w:vAlign w:val="center"/>
          </w:tcPr>
          <w:p w14:paraId="316E6924">
            <w:pPr>
              <w:snapToGrid w:val="0"/>
              <w:spacing w:line="360" w:lineRule="auto"/>
              <w:jc w:val="center"/>
              <w:rPr>
                <w:rFonts w:ascii="宋体" w:hAnsi="宋体" w:cs="宋体"/>
                <w:bCs/>
                <w:color w:val="000000"/>
                <w:szCs w:val="21"/>
              </w:rPr>
            </w:pPr>
            <w:r>
              <w:rPr>
                <w:rFonts w:hint="eastAsia" w:ascii="宋体" w:hAnsi="宋体" w:cs="宋体"/>
                <w:bCs/>
                <w:color w:val="000000"/>
                <w:szCs w:val="21"/>
              </w:rPr>
              <w:t>4</w:t>
            </w:r>
          </w:p>
        </w:tc>
        <w:tc>
          <w:tcPr>
            <w:tcW w:w="5973" w:type="dxa"/>
            <w:noWrap/>
            <w:vAlign w:val="center"/>
          </w:tcPr>
          <w:p w14:paraId="34B02395">
            <w:pPr>
              <w:snapToGrid w:val="0"/>
              <w:spacing w:line="360" w:lineRule="auto"/>
              <w:rPr>
                <w:rFonts w:ascii="宋体" w:hAnsi="宋体" w:cs="宋体"/>
                <w:bCs/>
                <w:color w:val="000000"/>
                <w:szCs w:val="21"/>
              </w:rPr>
            </w:pPr>
            <w:r>
              <w:rPr>
                <w:rFonts w:hint="eastAsia" w:ascii="宋体" w:hAnsi="宋体" w:cs="宋体"/>
                <w:bCs/>
                <w:color w:val="000000"/>
                <w:szCs w:val="21"/>
              </w:rPr>
              <w:t>不按规定巡逻或巡逻无记录，重大事件不汇报。</w:t>
            </w:r>
          </w:p>
        </w:tc>
        <w:tc>
          <w:tcPr>
            <w:tcW w:w="1842" w:type="dxa"/>
            <w:noWrap/>
            <w:vAlign w:val="center"/>
          </w:tcPr>
          <w:p w14:paraId="208036B7">
            <w:pPr>
              <w:snapToGrid w:val="0"/>
              <w:spacing w:line="360" w:lineRule="auto"/>
              <w:jc w:val="center"/>
              <w:rPr>
                <w:rFonts w:ascii="宋体" w:hAnsi="宋体" w:cs="宋体"/>
                <w:bCs/>
                <w:color w:val="000000"/>
                <w:szCs w:val="21"/>
              </w:rPr>
            </w:pPr>
            <w:r>
              <w:rPr>
                <w:rFonts w:hint="eastAsia" w:ascii="宋体" w:hAnsi="宋体" w:cs="宋体"/>
                <w:bCs/>
                <w:color w:val="000000"/>
                <w:szCs w:val="21"/>
              </w:rPr>
              <w:t>发现一次扣2分</w:t>
            </w:r>
          </w:p>
        </w:tc>
      </w:tr>
      <w:tr w14:paraId="2709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62" w:type="dxa"/>
            <w:noWrap/>
            <w:vAlign w:val="center"/>
          </w:tcPr>
          <w:p w14:paraId="632FD218">
            <w:pPr>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5973" w:type="dxa"/>
            <w:noWrap/>
            <w:vAlign w:val="center"/>
          </w:tcPr>
          <w:p w14:paraId="572FBA86">
            <w:pPr>
              <w:snapToGrid w:val="0"/>
              <w:spacing w:line="360" w:lineRule="auto"/>
              <w:rPr>
                <w:rFonts w:ascii="宋体" w:hAnsi="宋体" w:cs="宋体"/>
                <w:bCs/>
                <w:color w:val="000000"/>
                <w:szCs w:val="21"/>
              </w:rPr>
            </w:pPr>
            <w:r>
              <w:rPr>
                <w:rFonts w:hint="eastAsia" w:ascii="宋体" w:hAnsi="宋体" w:cs="宋体"/>
                <w:bCs/>
                <w:color w:val="000000"/>
                <w:szCs w:val="21"/>
              </w:rPr>
              <w:t>每季期检查内的各类校消防设施和设备，定期上交检查结果，设备设施损坏和缺损如实汇报，发现安全隐患及时处理和汇报。</w:t>
            </w:r>
          </w:p>
        </w:tc>
        <w:tc>
          <w:tcPr>
            <w:tcW w:w="1842" w:type="dxa"/>
            <w:noWrap/>
            <w:vAlign w:val="center"/>
          </w:tcPr>
          <w:p w14:paraId="4B9E84C2">
            <w:pPr>
              <w:snapToGrid w:val="0"/>
              <w:spacing w:line="360" w:lineRule="auto"/>
              <w:jc w:val="center"/>
              <w:rPr>
                <w:rFonts w:ascii="宋体" w:hAnsi="宋体" w:cs="宋体"/>
                <w:bCs/>
                <w:color w:val="000000"/>
                <w:szCs w:val="21"/>
              </w:rPr>
            </w:pPr>
            <w:r>
              <w:rPr>
                <w:rFonts w:hint="eastAsia" w:ascii="宋体" w:hAnsi="宋体" w:cs="宋体"/>
                <w:bCs/>
                <w:color w:val="000000"/>
                <w:szCs w:val="21"/>
              </w:rPr>
              <w:t>发现一次扣2分</w:t>
            </w:r>
          </w:p>
        </w:tc>
      </w:tr>
      <w:tr w14:paraId="3287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62" w:type="dxa"/>
            <w:noWrap/>
            <w:vAlign w:val="center"/>
          </w:tcPr>
          <w:p w14:paraId="7B06EA67">
            <w:pPr>
              <w:snapToGrid w:val="0"/>
              <w:spacing w:line="360" w:lineRule="auto"/>
              <w:jc w:val="center"/>
              <w:rPr>
                <w:rFonts w:ascii="宋体" w:hAnsi="宋体" w:cs="宋体"/>
                <w:bCs/>
                <w:color w:val="000000"/>
                <w:szCs w:val="21"/>
              </w:rPr>
            </w:pPr>
            <w:r>
              <w:rPr>
                <w:rFonts w:hint="eastAsia" w:ascii="宋体" w:hAnsi="宋体" w:cs="宋体"/>
                <w:bCs/>
                <w:color w:val="000000"/>
                <w:szCs w:val="21"/>
              </w:rPr>
              <w:t>6</w:t>
            </w:r>
          </w:p>
        </w:tc>
        <w:tc>
          <w:tcPr>
            <w:tcW w:w="5973" w:type="dxa"/>
            <w:noWrap/>
            <w:vAlign w:val="center"/>
          </w:tcPr>
          <w:p w14:paraId="0A81AC01">
            <w:pPr>
              <w:snapToGrid w:val="0"/>
              <w:spacing w:line="360" w:lineRule="auto"/>
              <w:rPr>
                <w:rFonts w:ascii="宋体" w:hAnsi="宋体" w:cs="宋体"/>
                <w:bCs/>
                <w:color w:val="000000"/>
                <w:szCs w:val="21"/>
              </w:rPr>
            </w:pPr>
            <w:r>
              <w:rPr>
                <w:rFonts w:hint="eastAsia" w:ascii="宋体" w:hAnsi="宋体" w:cs="宋体"/>
                <w:bCs/>
                <w:color w:val="000000"/>
                <w:szCs w:val="21"/>
              </w:rPr>
              <w:t>工作人员频繁非合理原因换人。</w:t>
            </w:r>
          </w:p>
        </w:tc>
        <w:tc>
          <w:tcPr>
            <w:tcW w:w="1842" w:type="dxa"/>
            <w:noWrap/>
            <w:vAlign w:val="center"/>
          </w:tcPr>
          <w:p w14:paraId="643B71CA">
            <w:pPr>
              <w:snapToGrid w:val="0"/>
              <w:spacing w:line="360" w:lineRule="auto"/>
              <w:jc w:val="center"/>
              <w:rPr>
                <w:rFonts w:ascii="宋体" w:hAnsi="宋体" w:cs="宋体"/>
                <w:bCs/>
                <w:color w:val="000000"/>
                <w:szCs w:val="21"/>
              </w:rPr>
            </w:pPr>
            <w:r>
              <w:rPr>
                <w:rFonts w:hint="eastAsia" w:ascii="宋体" w:hAnsi="宋体" w:cs="宋体"/>
                <w:bCs/>
                <w:color w:val="000000"/>
                <w:szCs w:val="21"/>
              </w:rPr>
              <w:t>发现一次扣3分</w:t>
            </w:r>
          </w:p>
        </w:tc>
      </w:tr>
      <w:tr w14:paraId="1AC3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2" w:type="dxa"/>
            <w:noWrap/>
            <w:vAlign w:val="center"/>
          </w:tcPr>
          <w:p w14:paraId="4AB0DB02">
            <w:pPr>
              <w:snapToGrid w:val="0"/>
              <w:spacing w:line="360" w:lineRule="auto"/>
              <w:jc w:val="center"/>
              <w:rPr>
                <w:rFonts w:ascii="宋体" w:hAnsi="宋体" w:cs="宋体"/>
                <w:bCs/>
                <w:color w:val="000000"/>
                <w:szCs w:val="21"/>
              </w:rPr>
            </w:pPr>
            <w:r>
              <w:rPr>
                <w:rFonts w:hint="eastAsia" w:ascii="宋体" w:hAnsi="宋体" w:cs="宋体"/>
                <w:bCs/>
                <w:color w:val="000000"/>
                <w:szCs w:val="21"/>
              </w:rPr>
              <w:t>7</w:t>
            </w:r>
          </w:p>
        </w:tc>
        <w:tc>
          <w:tcPr>
            <w:tcW w:w="5973" w:type="dxa"/>
            <w:noWrap/>
            <w:vAlign w:val="center"/>
          </w:tcPr>
          <w:p w14:paraId="734C2BC9">
            <w:pPr>
              <w:snapToGrid w:val="0"/>
              <w:spacing w:line="360" w:lineRule="auto"/>
              <w:rPr>
                <w:rFonts w:ascii="宋体" w:hAnsi="宋体" w:cs="宋体"/>
                <w:bCs/>
                <w:color w:val="000000"/>
                <w:szCs w:val="21"/>
              </w:rPr>
            </w:pPr>
            <w:r>
              <w:rPr>
                <w:rFonts w:hint="eastAsia" w:ascii="宋体" w:hAnsi="宋体" w:cs="宋体"/>
                <w:bCs/>
                <w:color w:val="000000"/>
                <w:szCs w:val="21"/>
              </w:rPr>
              <w:t>发生盗窃一次。</w:t>
            </w:r>
          </w:p>
        </w:tc>
        <w:tc>
          <w:tcPr>
            <w:tcW w:w="1842" w:type="dxa"/>
            <w:noWrap/>
            <w:vAlign w:val="center"/>
          </w:tcPr>
          <w:p w14:paraId="04944C58">
            <w:pPr>
              <w:snapToGrid w:val="0"/>
              <w:spacing w:line="360" w:lineRule="auto"/>
              <w:jc w:val="center"/>
              <w:rPr>
                <w:rFonts w:ascii="宋体" w:hAnsi="宋体" w:cs="宋体"/>
                <w:bCs/>
                <w:color w:val="000000"/>
                <w:szCs w:val="21"/>
              </w:rPr>
            </w:pPr>
            <w:r>
              <w:rPr>
                <w:rFonts w:hint="eastAsia" w:ascii="宋体" w:hAnsi="宋体" w:cs="宋体"/>
                <w:bCs/>
                <w:color w:val="000000"/>
                <w:szCs w:val="21"/>
              </w:rPr>
              <w:t>出现一次扣10分</w:t>
            </w:r>
          </w:p>
        </w:tc>
      </w:tr>
      <w:tr w14:paraId="2221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62" w:type="dxa"/>
            <w:noWrap/>
            <w:vAlign w:val="center"/>
          </w:tcPr>
          <w:p w14:paraId="0EEDCD14">
            <w:pPr>
              <w:snapToGrid w:val="0"/>
              <w:spacing w:line="360" w:lineRule="auto"/>
              <w:jc w:val="center"/>
              <w:rPr>
                <w:rFonts w:ascii="宋体" w:hAnsi="宋体" w:cs="宋体"/>
                <w:bCs/>
                <w:color w:val="000000"/>
                <w:szCs w:val="21"/>
              </w:rPr>
            </w:pPr>
            <w:r>
              <w:rPr>
                <w:rFonts w:hint="eastAsia" w:ascii="宋体" w:hAnsi="宋体" w:cs="宋体"/>
                <w:bCs/>
                <w:color w:val="000000"/>
                <w:szCs w:val="21"/>
              </w:rPr>
              <w:t>8</w:t>
            </w:r>
          </w:p>
        </w:tc>
        <w:tc>
          <w:tcPr>
            <w:tcW w:w="5973" w:type="dxa"/>
            <w:noWrap/>
            <w:vAlign w:val="center"/>
          </w:tcPr>
          <w:p w14:paraId="50368DEE">
            <w:pPr>
              <w:snapToGrid w:val="0"/>
              <w:spacing w:line="360" w:lineRule="auto"/>
              <w:rPr>
                <w:rFonts w:ascii="宋体" w:hAnsi="宋体" w:cs="宋体"/>
                <w:bCs/>
                <w:color w:val="000000"/>
                <w:szCs w:val="21"/>
              </w:rPr>
            </w:pPr>
            <w:r>
              <w:rPr>
                <w:rFonts w:hint="eastAsia" w:ascii="宋体" w:hAnsi="宋体" w:cs="宋体"/>
                <w:bCs/>
                <w:color w:val="000000"/>
                <w:szCs w:val="21"/>
              </w:rPr>
              <w:t>其他违规情况。</w:t>
            </w:r>
          </w:p>
        </w:tc>
        <w:tc>
          <w:tcPr>
            <w:tcW w:w="1842" w:type="dxa"/>
            <w:noWrap/>
            <w:vAlign w:val="center"/>
          </w:tcPr>
          <w:p w14:paraId="3B6C6170">
            <w:pPr>
              <w:snapToGrid w:val="0"/>
              <w:spacing w:line="360" w:lineRule="auto"/>
              <w:jc w:val="center"/>
              <w:rPr>
                <w:rFonts w:ascii="宋体" w:hAnsi="宋体" w:cs="宋体"/>
                <w:bCs/>
                <w:color w:val="000000"/>
                <w:szCs w:val="21"/>
              </w:rPr>
            </w:pPr>
            <w:r>
              <w:rPr>
                <w:rFonts w:hint="eastAsia" w:ascii="宋体" w:hAnsi="宋体" w:cs="宋体"/>
                <w:bCs/>
                <w:color w:val="000000"/>
                <w:szCs w:val="21"/>
              </w:rPr>
              <w:t>发现一次扣1分</w:t>
            </w:r>
          </w:p>
        </w:tc>
      </w:tr>
    </w:tbl>
    <w:p w14:paraId="4BA249F2">
      <w:pPr>
        <w:snapToGrid w:val="0"/>
        <w:spacing w:line="360" w:lineRule="auto"/>
        <w:ind w:firstLine="420" w:firstLineChars="200"/>
        <w:jc w:val="left"/>
        <w:rPr>
          <w:rFonts w:ascii="宋体" w:hAnsi="宋体" w:cs="宋体"/>
          <w:bCs/>
          <w:color w:val="000000"/>
          <w:szCs w:val="21"/>
        </w:rPr>
      </w:pPr>
      <w:r>
        <w:rPr>
          <w:rFonts w:hint="eastAsia" w:ascii="宋体" w:hAnsi="宋体" w:cs="宋体"/>
          <w:bCs/>
          <w:color w:val="000000"/>
          <w:szCs w:val="21"/>
        </w:rPr>
        <w:t>成交供应商要无条件接受采购人定期或不定期检查监督，本考核细则按每季度进行打分考核，满分为100分。若每次打分低于80分，本季度管理考核为不合格的，将处以 2万元人民币的罚款。如果成交供应商管理混乱，经采购人督促后未改进且连续两次考核不合格，采购人有权终止合同。</w:t>
      </w:r>
    </w:p>
    <w:p w14:paraId="6640EDE7">
      <w:pPr>
        <w:snapToGrid w:val="0"/>
        <w:spacing w:line="360" w:lineRule="auto"/>
        <w:ind w:firstLine="422" w:firstLineChars="200"/>
        <w:jc w:val="left"/>
        <w:rPr>
          <w:rFonts w:ascii="宋体" w:hAnsi="宋体" w:cs="宋体"/>
          <w:b/>
          <w:bCs/>
          <w:color w:val="000000"/>
          <w:szCs w:val="21"/>
        </w:rPr>
      </w:pPr>
      <w:r>
        <w:rPr>
          <w:rFonts w:hint="eastAsia" w:ascii="宋体" w:hAnsi="宋体" w:cs="宋体"/>
          <w:b/>
          <w:bCs/>
          <w:color w:val="000000"/>
          <w:szCs w:val="21"/>
        </w:rPr>
        <w:t>三、其它</w:t>
      </w:r>
    </w:p>
    <w:p w14:paraId="61F1A00D">
      <w:pPr>
        <w:pStyle w:val="2"/>
        <w:ind w:firstLine="210"/>
        <w:rPr>
          <w:rFonts w:ascii="宋体" w:hAnsi="宋体" w:cs="宋体"/>
          <w:bCs/>
          <w:color w:val="000000"/>
          <w:szCs w:val="21"/>
        </w:rPr>
      </w:pPr>
      <w:r>
        <w:rPr>
          <w:rFonts w:hint="eastAsia" w:ascii="宋体" w:hAnsi="宋体" w:cs="宋体"/>
          <w:bCs/>
          <w:color w:val="000000"/>
          <w:szCs w:val="21"/>
        </w:rPr>
        <w:t>经采购人确认扣罚的费用从采购人支付供应商的承包款中予以扣除。</w:t>
      </w:r>
    </w:p>
    <w:p w14:paraId="718FA0A6"/>
    <w:p w14:paraId="606C42D1">
      <w:pPr>
        <w:pStyle w:val="2"/>
        <w:ind w:firstLine="210"/>
      </w:pPr>
    </w:p>
    <w:p w14:paraId="7A16AEC2">
      <w:pPr>
        <w:pStyle w:val="2"/>
        <w:ind w:firstLine="210"/>
      </w:pPr>
    </w:p>
    <w:p w14:paraId="79638FE6">
      <w:pPr>
        <w:pStyle w:val="2"/>
        <w:ind w:firstLine="210"/>
      </w:pPr>
    </w:p>
    <w:p w14:paraId="5A643C52">
      <w:pPr>
        <w:pStyle w:val="2"/>
        <w:ind w:firstLine="210"/>
      </w:pPr>
    </w:p>
    <w:p w14:paraId="1CEDA7F2">
      <w:pPr>
        <w:pStyle w:val="2"/>
        <w:ind w:firstLine="210"/>
      </w:pPr>
    </w:p>
    <w:p w14:paraId="42CD9027">
      <w:pPr>
        <w:pStyle w:val="2"/>
        <w:ind w:firstLine="210"/>
        <w:rPr>
          <w:rFonts w:hint="eastAsia"/>
        </w:rPr>
      </w:pPr>
    </w:p>
    <w:p w14:paraId="3F5099DF">
      <w:pPr>
        <w:pStyle w:val="2"/>
        <w:ind w:firstLine="210"/>
        <w:rPr>
          <w:rFonts w:hint="eastAsia"/>
        </w:rPr>
      </w:pPr>
    </w:p>
    <w:p w14:paraId="431B9099">
      <w:pPr>
        <w:pStyle w:val="4"/>
        <w:numPr>
          <w:ilvl w:val="0"/>
          <w:numId w:val="1"/>
        </w:numPr>
        <w:spacing w:after="100" w:afterAutospacing="1" w:line="348" w:lineRule="auto"/>
        <w:rPr>
          <w:rStyle w:val="14"/>
          <w:b/>
          <w:bCs/>
          <w:color w:val="000000"/>
        </w:rPr>
      </w:pPr>
      <w:r>
        <w:rPr>
          <w:rStyle w:val="14"/>
          <w:rFonts w:hint="eastAsia" w:ascii="宋体" w:hAnsi="宋体"/>
          <w:b/>
          <w:bCs/>
          <w:color w:val="000000"/>
        </w:rPr>
        <w:t>磋商评审办法及评分标准</w:t>
      </w:r>
    </w:p>
    <w:p w14:paraId="078E9911">
      <w:pPr>
        <w:widowControl/>
        <w:spacing w:line="348" w:lineRule="auto"/>
        <w:ind w:firstLine="420" w:firstLineChars="200"/>
        <w:jc w:val="left"/>
        <w:rPr>
          <w:rFonts w:ascii="宋体" w:hAnsi="宋体"/>
          <w:kern w:val="0"/>
          <w:szCs w:val="21"/>
        </w:rPr>
      </w:pPr>
      <w:r>
        <w:rPr>
          <w:rFonts w:hint="eastAsia" w:ascii="宋体" w:hAnsi="宋体"/>
          <w:color w:val="000000"/>
          <w:kern w:val="0"/>
        </w:rPr>
        <w:t>为公正、公平、科学地选择供应商，根据《中华人民共和国政府采购法》等有关法律法规的规定，并结合本项目的实际，制定本办法。</w:t>
      </w:r>
    </w:p>
    <w:p w14:paraId="3E162361">
      <w:pPr>
        <w:widowControl/>
        <w:spacing w:line="348" w:lineRule="auto"/>
        <w:ind w:firstLine="422" w:firstLineChars="200"/>
        <w:jc w:val="left"/>
        <w:rPr>
          <w:rFonts w:hint="eastAsia" w:ascii="宋体" w:hAnsi="宋体"/>
          <w:b/>
          <w:bCs/>
          <w:color w:val="000000"/>
          <w:kern w:val="0"/>
        </w:rPr>
      </w:pPr>
      <w:r>
        <w:rPr>
          <w:rFonts w:hint="eastAsia" w:ascii="宋体" w:hAnsi="宋体"/>
          <w:b/>
          <w:bCs/>
          <w:color w:val="000000"/>
          <w:kern w:val="0"/>
        </w:rPr>
        <w:t>一、总则</w:t>
      </w:r>
    </w:p>
    <w:p w14:paraId="506E0A30">
      <w:pPr>
        <w:widowControl/>
        <w:spacing w:line="348" w:lineRule="auto"/>
        <w:ind w:firstLine="420" w:firstLineChars="200"/>
        <w:jc w:val="left"/>
        <w:rPr>
          <w:rFonts w:hint="eastAsia" w:ascii="宋体" w:hAnsi="宋体"/>
          <w:color w:val="000000"/>
          <w:kern w:val="0"/>
        </w:rPr>
      </w:pPr>
      <w:r>
        <w:rPr>
          <w:rFonts w:hint="eastAsia" w:ascii="宋体" w:hAnsi="宋体"/>
          <w:color w:val="000000"/>
          <w:kern w:val="0"/>
        </w:rPr>
        <w:t>本次采购采用综合评分法，</w:t>
      </w:r>
      <w:r>
        <w:rPr>
          <w:rFonts w:hint="eastAsia" w:ascii="宋体" w:hAnsi="宋体"/>
          <w:b/>
          <w:bCs/>
          <w:color w:val="000000"/>
          <w:kern w:val="0"/>
        </w:rPr>
        <w:t>总分为100分，其中价格分15分、资信商务及技术分85分</w:t>
      </w:r>
      <w:r>
        <w:rPr>
          <w:rFonts w:hint="eastAsia" w:ascii="宋体" w:hAnsi="宋体"/>
          <w:color w:val="000000"/>
          <w:kern w:val="0"/>
        </w:rPr>
        <w:t>。合格供应商的综合得分为各项目汇总得分，成交候选人资格按综合总得分由高到低顺序排列，得分相同的，按最后一轮的磋商报价由低到高顺序排列；综合得分相同且磋商报价相同的，采购人抽签选取成交候选人排名。排名第一的供应商为成交候选人。评分结果采用四舍五入法，并保留小数2位。</w:t>
      </w:r>
    </w:p>
    <w:p w14:paraId="2A96A45A">
      <w:pPr>
        <w:widowControl/>
        <w:spacing w:line="348" w:lineRule="auto"/>
        <w:ind w:left="631"/>
        <w:rPr>
          <w:rFonts w:hint="eastAsia" w:ascii="宋体" w:hAnsi="宋体"/>
          <w:b/>
          <w:bCs/>
          <w:color w:val="000000"/>
          <w:kern w:val="0"/>
        </w:rPr>
      </w:pPr>
      <w:r>
        <w:rPr>
          <w:rFonts w:hint="eastAsia" w:ascii="宋体" w:hAnsi="宋体"/>
          <w:b/>
          <w:bCs/>
          <w:color w:val="000000"/>
          <w:kern w:val="0"/>
        </w:rPr>
        <w:t>综合得分=资信及商务技术分+价格分</w:t>
      </w:r>
    </w:p>
    <w:p w14:paraId="6D3F1FBC">
      <w:pPr>
        <w:widowControl/>
        <w:spacing w:line="348" w:lineRule="auto"/>
        <w:ind w:left="420"/>
        <w:rPr>
          <w:rFonts w:hint="eastAsia" w:ascii="宋体" w:hAnsi="宋体"/>
          <w:b/>
          <w:bCs/>
          <w:color w:val="000000"/>
          <w:kern w:val="0"/>
        </w:rPr>
      </w:pPr>
      <w:r>
        <w:rPr>
          <w:rFonts w:hint="eastAsia" w:ascii="宋体" w:hAnsi="宋体"/>
          <w:b/>
          <w:bCs/>
          <w:color w:val="000000"/>
          <w:kern w:val="0"/>
        </w:rPr>
        <w:t>二、评审内容及标准</w:t>
      </w:r>
    </w:p>
    <w:p w14:paraId="432CA9DD">
      <w:pPr>
        <w:widowControl/>
        <w:spacing w:line="360" w:lineRule="auto"/>
        <w:ind w:left="420"/>
        <w:rPr>
          <w:rFonts w:hint="eastAsia" w:ascii="宋体" w:hAnsi="宋体"/>
          <w:b/>
          <w:bCs/>
          <w:color w:val="000000"/>
          <w:kern w:val="0"/>
        </w:rPr>
      </w:pPr>
      <w:r>
        <w:rPr>
          <w:rFonts w:hint="eastAsia" w:ascii="宋体" w:hAnsi="宋体"/>
          <w:b/>
          <w:bCs/>
          <w:color w:val="000000"/>
          <w:kern w:val="0"/>
        </w:rPr>
        <w:t>（一）资信商务及技术标</w:t>
      </w:r>
    </w:p>
    <w:tbl>
      <w:tblPr>
        <w:tblStyle w:val="8"/>
        <w:tblW w:w="9570"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37"/>
        <w:gridCol w:w="1160"/>
        <w:gridCol w:w="7440"/>
        <w:gridCol w:w="533"/>
      </w:tblGrid>
      <w:tr w14:paraId="017C38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437" w:type="dxa"/>
            <w:tcBorders>
              <w:top w:val="single" w:color="auto" w:sz="4" w:space="0"/>
              <w:left w:val="single" w:color="000000" w:sz="8" w:space="0"/>
              <w:bottom w:val="single" w:color="000000" w:sz="8" w:space="0"/>
              <w:right w:val="single" w:color="auto" w:sz="4" w:space="0"/>
            </w:tcBorders>
            <w:shd w:val="clear" w:color="auto" w:fill="FFFFFF"/>
            <w:noWrap/>
            <w:vAlign w:val="center"/>
          </w:tcPr>
          <w:p w14:paraId="3FCD95DB">
            <w:pPr>
              <w:widowControl/>
              <w:spacing w:line="273" w:lineRule="auto"/>
              <w:jc w:val="center"/>
              <w:rPr>
                <w:rFonts w:hint="eastAsia" w:ascii="宋体" w:hAnsi="宋体"/>
                <w:b/>
                <w:color w:val="000000"/>
              </w:rPr>
            </w:pPr>
            <w:r>
              <w:rPr>
                <w:rFonts w:hint="eastAsia" w:ascii="宋体" w:hAnsi="宋体"/>
                <w:b/>
                <w:color w:val="000000"/>
              </w:rPr>
              <w:t>序号</w:t>
            </w:r>
          </w:p>
        </w:tc>
        <w:tc>
          <w:tcPr>
            <w:tcW w:w="1160" w:type="dxa"/>
            <w:tcBorders>
              <w:top w:val="single" w:color="auto" w:sz="4" w:space="0"/>
              <w:left w:val="nil"/>
              <w:bottom w:val="single" w:color="000000" w:sz="8" w:space="0"/>
              <w:right w:val="single" w:color="000000" w:sz="8" w:space="0"/>
            </w:tcBorders>
            <w:shd w:val="clear" w:color="auto" w:fill="FFFFFF"/>
            <w:noWrap/>
            <w:vAlign w:val="center"/>
          </w:tcPr>
          <w:p w14:paraId="430C34C9">
            <w:pPr>
              <w:snapToGrid w:val="0"/>
              <w:spacing w:line="273" w:lineRule="auto"/>
              <w:jc w:val="center"/>
              <w:rPr>
                <w:rFonts w:hint="eastAsia" w:ascii="宋体" w:hAnsi="宋体"/>
                <w:b/>
                <w:bCs/>
                <w:color w:val="000000"/>
                <w:spacing w:val="-2"/>
              </w:rPr>
            </w:pPr>
            <w:r>
              <w:rPr>
                <w:rFonts w:hint="eastAsia" w:ascii="宋体" w:hAnsi="宋体"/>
                <w:b/>
                <w:color w:val="000000"/>
              </w:rPr>
              <w:t>评审内容</w:t>
            </w:r>
          </w:p>
        </w:tc>
        <w:tc>
          <w:tcPr>
            <w:tcW w:w="7440" w:type="dxa"/>
            <w:tcBorders>
              <w:top w:val="single" w:color="auto" w:sz="4" w:space="0"/>
              <w:left w:val="nil"/>
              <w:bottom w:val="single" w:color="auto" w:sz="4" w:space="0"/>
              <w:right w:val="single" w:color="000000" w:sz="8" w:space="0"/>
            </w:tcBorders>
            <w:shd w:val="clear" w:color="auto" w:fill="FFFFFF"/>
            <w:noWrap/>
            <w:vAlign w:val="center"/>
          </w:tcPr>
          <w:p w14:paraId="4560B1A9">
            <w:pPr>
              <w:snapToGrid w:val="0"/>
              <w:spacing w:line="273" w:lineRule="auto"/>
              <w:ind w:firstLine="422" w:firstLineChars="200"/>
              <w:jc w:val="center"/>
              <w:rPr>
                <w:rFonts w:hint="eastAsia" w:ascii="宋体" w:hAnsi="宋体"/>
                <w:color w:val="000000"/>
                <w:kern w:val="0"/>
              </w:rPr>
            </w:pPr>
            <w:r>
              <w:rPr>
                <w:rFonts w:hint="eastAsia" w:ascii="宋体" w:hAnsi="宋体"/>
                <w:b/>
                <w:color w:val="000000"/>
              </w:rPr>
              <w:t>评审要点</w:t>
            </w:r>
          </w:p>
        </w:tc>
        <w:tc>
          <w:tcPr>
            <w:tcW w:w="533" w:type="dxa"/>
            <w:tcBorders>
              <w:top w:val="single" w:color="000000" w:sz="8" w:space="0"/>
              <w:left w:val="nil"/>
              <w:bottom w:val="single" w:color="000000" w:sz="8" w:space="0"/>
              <w:right w:val="single" w:color="000000" w:sz="8" w:space="0"/>
            </w:tcBorders>
            <w:shd w:val="clear" w:color="auto" w:fill="FFFFFF"/>
            <w:noWrap/>
            <w:vAlign w:val="center"/>
          </w:tcPr>
          <w:p w14:paraId="03013CF9">
            <w:pPr>
              <w:snapToGrid w:val="0"/>
              <w:spacing w:line="273" w:lineRule="auto"/>
              <w:jc w:val="center"/>
              <w:rPr>
                <w:rFonts w:hint="eastAsia" w:ascii="宋体" w:hAnsi="宋体"/>
                <w:b/>
                <w:color w:val="000000"/>
              </w:rPr>
            </w:pPr>
            <w:r>
              <w:rPr>
                <w:rFonts w:hint="eastAsia" w:ascii="宋体" w:hAnsi="宋体"/>
                <w:b/>
                <w:color w:val="000000"/>
              </w:rPr>
              <w:t>分值</w:t>
            </w:r>
          </w:p>
        </w:tc>
      </w:tr>
      <w:tr w14:paraId="2EED7A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437" w:type="dxa"/>
            <w:tcBorders>
              <w:top w:val="single" w:color="auto" w:sz="4" w:space="0"/>
              <w:left w:val="single" w:color="000000" w:sz="8" w:space="0"/>
              <w:bottom w:val="single" w:color="000000" w:sz="8" w:space="0"/>
              <w:right w:val="single" w:color="auto" w:sz="4" w:space="0"/>
            </w:tcBorders>
            <w:shd w:val="clear" w:color="auto" w:fill="FFFFFF"/>
            <w:noWrap/>
            <w:vAlign w:val="center"/>
          </w:tcPr>
          <w:p w14:paraId="3BDF9938">
            <w:pPr>
              <w:widowControl/>
              <w:spacing w:line="273" w:lineRule="auto"/>
              <w:jc w:val="center"/>
              <w:rPr>
                <w:rFonts w:hint="eastAsia" w:ascii="宋体" w:hAnsi="宋体"/>
                <w:b/>
                <w:color w:val="000000"/>
              </w:rPr>
            </w:pPr>
            <w:r>
              <w:rPr>
                <w:rFonts w:hint="eastAsia" w:ascii="宋体" w:hAnsi="宋体"/>
                <w:b/>
                <w:color w:val="000000"/>
              </w:rPr>
              <w:t>1</w:t>
            </w:r>
          </w:p>
        </w:tc>
        <w:tc>
          <w:tcPr>
            <w:tcW w:w="1160" w:type="dxa"/>
            <w:tcBorders>
              <w:top w:val="single" w:color="auto" w:sz="4" w:space="0"/>
              <w:left w:val="nil"/>
              <w:bottom w:val="single" w:color="000000" w:sz="8" w:space="0"/>
              <w:right w:val="single" w:color="000000" w:sz="8" w:space="0"/>
            </w:tcBorders>
            <w:shd w:val="clear" w:color="auto" w:fill="FFFFFF"/>
            <w:noWrap/>
            <w:vAlign w:val="center"/>
          </w:tcPr>
          <w:p w14:paraId="4BF8A7C1">
            <w:pPr>
              <w:snapToGrid w:val="0"/>
              <w:spacing w:line="273" w:lineRule="auto"/>
              <w:jc w:val="center"/>
              <w:rPr>
                <w:rFonts w:hint="eastAsia" w:ascii="宋体" w:hAnsi="宋体"/>
                <w:b/>
                <w:color w:val="000000"/>
              </w:rPr>
            </w:pPr>
            <w:r>
              <w:rPr>
                <w:rFonts w:hint="eastAsia" w:ascii="宋体" w:hAnsi="宋体"/>
                <w:b/>
                <w:color w:val="000000"/>
              </w:rPr>
              <w:t>类似业绩</w:t>
            </w:r>
          </w:p>
        </w:tc>
        <w:tc>
          <w:tcPr>
            <w:tcW w:w="7440" w:type="dxa"/>
            <w:tcBorders>
              <w:top w:val="single" w:color="auto" w:sz="4" w:space="0"/>
              <w:left w:val="nil"/>
              <w:bottom w:val="single" w:color="auto" w:sz="4" w:space="0"/>
              <w:right w:val="single" w:color="000000" w:sz="8" w:space="0"/>
            </w:tcBorders>
            <w:shd w:val="clear" w:color="auto" w:fill="FFFFFF"/>
            <w:noWrap/>
            <w:vAlign w:val="center"/>
          </w:tcPr>
          <w:p w14:paraId="3B22BEBE">
            <w:pPr>
              <w:snapToGrid w:val="0"/>
              <w:spacing w:line="273" w:lineRule="auto"/>
              <w:ind w:firstLine="420" w:firstLineChars="200"/>
              <w:jc w:val="left"/>
              <w:rPr>
                <w:rFonts w:hint="eastAsia" w:ascii="宋体" w:hAnsi="宋体"/>
                <w:color w:val="000000"/>
                <w:kern w:val="0"/>
              </w:rPr>
            </w:pPr>
            <w:r>
              <w:rPr>
                <w:rFonts w:hint="eastAsia" w:ascii="宋体" w:hAnsi="宋体"/>
                <w:color w:val="000000"/>
                <w:kern w:val="0"/>
              </w:rPr>
              <w:t>供应商具有公开竞争的政府采购的</w:t>
            </w:r>
            <w:r>
              <w:rPr>
                <w:rFonts w:hint="eastAsia" w:ascii="宋体" w:hAnsi="宋体"/>
                <w:color w:val="000000"/>
              </w:rPr>
              <w:t>保安服务</w:t>
            </w:r>
            <w:r>
              <w:rPr>
                <w:rFonts w:hint="eastAsia" w:ascii="宋体" w:hAnsi="宋体"/>
                <w:color w:val="000000"/>
                <w:kern w:val="0"/>
              </w:rPr>
              <w:t>类似业绩，每提供一份合同业绩可得0.5分，此项最高可得1分。</w:t>
            </w:r>
          </w:p>
          <w:p w14:paraId="6AB47C93">
            <w:pPr>
              <w:snapToGrid w:val="0"/>
              <w:spacing w:line="273" w:lineRule="auto"/>
              <w:ind w:firstLine="422" w:firstLineChars="200"/>
              <w:jc w:val="left"/>
              <w:rPr>
                <w:rFonts w:hint="eastAsia" w:ascii="宋体" w:hAnsi="宋体"/>
                <w:b/>
                <w:color w:val="000000"/>
              </w:rPr>
            </w:pPr>
            <w:r>
              <w:rPr>
                <w:rFonts w:hint="eastAsia" w:ascii="宋体" w:hAnsi="宋体"/>
                <w:b/>
                <w:bCs/>
                <w:color w:val="000000"/>
                <w:kern w:val="0"/>
              </w:rPr>
              <w:t>响应文件内须同时提供合同原件扫描件，否则不得分。</w:t>
            </w:r>
          </w:p>
        </w:tc>
        <w:tc>
          <w:tcPr>
            <w:tcW w:w="533" w:type="dxa"/>
            <w:tcBorders>
              <w:top w:val="single" w:color="000000" w:sz="8" w:space="0"/>
              <w:left w:val="nil"/>
              <w:bottom w:val="single" w:color="000000" w:sz="8" w:space="0"/>
              <w:right w:val="single" w:color="000000" w:sz="8" w:space="0"/>
            </w:tcBorders>
            <w:shd w:val="clear" w:color="auto" w:fill="FFFFFF"/>
            <w:noWrap/>
            <w:vAlign w:val="center"/>
          </w:tcPr>
          <w:p w14:paraId="50A7EE17">
            <w:pPr>
              <w:snapToGrid w:val="0"/>
              <w:spacing w:line="273" w:lineRule="auto"/>
              <w:jc w:val="center"/>
              <w:rPr>
                <w:rFonts w:hint="eastAsia" w:ascii="宋体" w:hAnsi="宋体"/>
                <w:b/>
                <w:color w:val="000000"/>
              </w:rPr>
            </w:pPr>
            <w:r>
              <w:rPr>
                <w:rFonts w:hint="eastAsia" w:ascii="宋体" w:hAnsi="宋体"/>
                <w:b/>
                <w:color w:val="000000"/>
              </w:rPr>
              <w:t>1</w:t>
            </w:r>
          </w:p>
        </w:tc>
      </w:tr>
      <w:tr w14:paraId="2C525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437" w:type="dxa"/>
            <w:tcBorders>
              <w:top w:val="single" w:color="auto" w:sz="4" w:space="0"/>
              <w:left w:val="single" w:color="000000" w:sz="8" w:space="0"/>
              <w:bottom w:val="single" w:color="000000" w:sz="8" w:space="0"/>
              <w:right w:val="single" w:color="auto" w:sz="4" w:space="0"/>
            </w:tcBorders>
            <w:shd w:val="clear" w:color="auto" w:fill="FFFFFF"/>
            <w:noWrap/>
            <w:vAlign w:val="center"/>
          </w:tcPr>
          <w:p w14:paraId="7F213A53">
            <w:pPr>
              <w:spacing w:line="273" w:lineRule="auto"/>
              <w:jc w:val="center"/>
              <w:rPr>
                <w:rFonts w:hint="eastAsia" w:ascii="宋体" w:hAnsi="宋体"/>
                <w:b/>
                <w:color w:val="000000"/>
              </w:rPr>
            </w:pPr>
            <w:r>
              <w:rPr>
                <w:rFonts w:hint="eastAsia" w:ascii="宋体" w:hAnsi="宋体"/>
                <w:b/>
                <w:color w:val="000000"/>
              </w:rPr>
              <w:t>2</w:t>
            </w:r>
          </w:p>
        </w:tc>
        <w:tc>
          <w:tcPr>
            <w:tcW w:w="1160" w:type="dxa"/>
            <w:tcBorders>
              <w:top w:val="single" w:color="auto" w:sz="4" w:space="0"/>
              <w:left w:val="nil"/>
              <w:bottom w:val="single" w:color="000000" w:sz="8" w:space="0"/>
              <w:right w:val="single" w:color="000000" w:sz="8" w:space="0"/>
            </w:tcBorders>
            <w:shd w:val="clear" w:color="auto" w:fill="FFFFFF"/>
            <w:noWrap/>
            <w:vAlign w:val="center"/>
          </w:tcPr>
          <w:p w14:paraId="58FF240A">
            <w:pPr>
              <w:adjustRightInd w:val="0"/>
              <w:snapToGrid w:val="0"/>
              <w:spacing w:line="273" w:lineRule="auto"/>
              <w:jc w:val="center"/>
              <w:rPr>
                <w:rFonts w:hint="eastAsia" w:ascii="宋体" w:hAnsi="宋体"/>
                <w:b/>
                <w:bCs/>
                <w:color w:val="000000"/>
                <w:spacing w:val="-2"/>
              </w:rPr>
            </w:pPr>
            <w:r>
              <w:rPr>
                <w:rFonts w:hint="eastAsia" w:ascii="宋体" w:hAnsi="宋体"/>
                <w:b/>
                <w:color w:val="000000"/>
              </w:rPr>
              <w:t>服务评价</w:t>
            </w:r>
          </w:p>
        </w:tc>
        <w:tc>
          <w:tcPr>
            <w:tcW w:w="7440" w:type="dxa"/>
            <w:tcBorders>
              <w:top w:val="single" w:color="auto" w:sz="4" w:space="0"/>
              <w:left w:val="nil"/>
              <w:bottom w:val="single" w:color="auto" w:sz="4" w:space="0"/>
              <w:right w:val="single" w:color="000000" w:sz="8" w:space="0"/>
            </w:tcBorders>
            <w:shd w:val="clear" w:color="auto" w:fill="FFFFFF"/>
            <w:noWrap/>
          </w:tcPr>
          <w:p w14:paraId="4F0257F6">
            <w:pPr>
              <w:adjustRightInd w:val="0"/>
              <w:snapToGrid w:val="0"/>
              <w:spacing w:line="273" w:lineRule="auto"/>
              <w:ind w:firstLine="420" w:firstLineChars="200"/>
              <w:jc w:val="left"/>
              <w:rPr>
                <w:rFonts w:hint="eastAsia" w:ascii="宋体" w:hAnsi="宋体"/>
                <w:color w:val="000000"/>
                <w:kern w:val="0"/>
              </w:rPr>
            </w:pPr>
            <w:r>
              <w:rPr>
                <w:rFonts w:hint="eastAsia" w:ascii="宋体" w:hAnsi="宋体"/>
                <w:color w:val="000000"/>
                <w:kern w:val="0"/>
              </w:rPr>
              <w:t>供应商</w:t>
            </w:r>
            <w:r>
              <w:rPr>
                <w:rFonts w:hint="eastAsia" w:ascii="宋体" w:hAnsi="宋体"/>
                <w:color w:val="000000"/>
              </w:rPr>
              <w:t>提供上述业绩的采购人评价，每提供一份合同采购人的评价为优秀或满意或较好的可得1分，最高可得2分</w:t>
            </w:r>
            <w:r>
              <w:rPr>
                <w:rFonts w:hint="eastAsia" w:ascii="宋体" w:hAnsi="宋体"/>
                <w:color w:val="000000"/>
                <w:kern w:val="0"/>
              </w:rPr>
              <w:t>。</w:t>
            </w:r>
          </w:p>
          <w:p w14:paraId="06105399">
            <w:pPr>
              <w:adjustRightInd w:val="0"/>
              <w:snapToGrid w:val="0"/>
              <w:spacing w:line="273" w:lineRule="auto"/>
              <w:ind w:firstLine="422" w:firstLineChars="200"/>
              <w:jc w:val="left"/>
              <w:rPr>
                <w:rFonts w:hint="eastAsia" w:ascii="宋体" w:hAnsi="宋体"/>
                <w:color w:val="000000"/>
                <w:kern w:val="0"/>
              </w:rPr>
            </w:pPr>
            <w:r>
              <w:rPr>
                <w:rFonts w:hint="eastAsia" w:ascii="宋体" w:hAnsi="宋体"/>
                <w:b/>
                <w:bCs/>
                <w:color w:val="000000"/>
                <w:kern w:val="0"/>
              </w:rPr>
              <w:t>响应文件内须</w:t>
            </w:r>
            <w:r>
              <w:rPr>
                <w:rFonts w:hint="eastAsia" w:ascii="宋体" w:hAnsi="宋体"/>
                <w:b/>
                <w:color w:val="000000"/>
                <w:kern w:val="0"/>
              </w:rPr>
              <w:t>提供</w:t>
            </w:r>
            <w:r>
              <w:rPr>
                <w:rFonts w:hint="eastAsia" w:ascii="宋体" w:hAnsi="宋体"/>
                <w:b/>
                <w:bCs/>
                <w:color w:val="000000"/>
              </w:rPr>
              <w:t>采购人评价</w:t>
            </w:r>
            <w:r>
              <w:rPr>
                <w:rFonts w:hint="eastAsia" w:ascii="宋体" w:hAnsi="宋体"/>
                <w:b/>
                <w:color w:val="000000"/>
                <w:kern w:val="0"/>
              </w:rPr>
              <w:t>原件扫描件，否则不得分。</w:t>
            </w:r>
          </w:p>
        </w:tc>
        <w:tc>
          <w:tcPr>
            <w:tcW w:w="533" w:type="dxa"/>
            <w:tcBorders>
              <w:top w:val="single" w:color="000000" w:sz="8" w:space="0"/>
              <w:left w:val="nil"/>
              <w:bottom w:val="single" w:color="000000" w:sz="8" w:space="0"/>
              <w:right w:val="single" w:color="000000" w:sz="8" w:space="0"/>
            </w:tcBorders>
            <w:shd w:val="clear" w:color="auto" w:fill="FFFFFF"/>
            <w:noWrap/>
            <w:vAlign w:val="center"/>
          </w:tcPr>
          <w:p w14:paraId="4DE1068A">
            <w:pPr>
              <w:spacing w:line="273" w:lineRule="auto"/>
              <w:jc w:val="center"/>
              <w:rPr>
                <w:rFonts w:hint="eastAsia" w:ascii="宋体" w:hAnsi="宋体"/>
                <w:b/>
                <w:color w:val="000000"/>
              </w:rPr>
            </w:pPr>
            <w:r>
              <w:rPr>
                <w:rFonts w:hint="eastAsia" w:ascii="宋体" w:hAnsi="宋体"/>
                <w:b/>
                <w:color w:val="000000"/>
              </w:rPr>
              <w:t>2</w:t>
            </w:r>
          </w:p>
        </w:tc>
      </w:tr>
      <w:tr w14:paraId="203936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3" w:hRule="atLeast"/>
        </w:trPr>
        <w:tc>
          <w:tcPr>
            <w:tcW w:w="437" w:type="dxa"/>
            <w:vMerge w:val="restart"/>
            <w:tcBorders>
              <w:top w:val="single" w:color="auto" w:sz="4" w:space="0"/>
              <w:left w:val="single" w:color="000000" w:sz="8" w:space="0"/>
              <w:bottom w:val="single" w:color="000000" w:sz="8" w:space="0"/>
              <w:right w:val="single" w:color="auto" w:sz="4" w:space="0"/>
            </w:tcBorders>
            <w:shd w:val="clear" w:color="auto" w:fill="FFFFFF"/>
            <w:noWrap/>
            <w:vAlign w:val="center"/>
          </w:tcPr>
          <w:p w14:paraId="139B58B3">
            <w:pPr>
              <w:spacing w:line="273" w:lineRule="auto"/>
              <w:jc w:val="center"/>
              <w:rPr>
                <w:rFonts w:hint="eastAsia" w:ascii="宋体" w:hAnsi="宋体"/>
                <w:b/>
                <w:color w:val="000000"/>
              </w:rPr>
            </w:pPr>
            <w:r>
              <w:rPr>
                <w:rFonts w:hint="eastAsia" w:ascii="宋体" w:hAnsi="宋体"/>
                <w:b/>
                <w:color w:val="000000"/>
              </w:rPr>
              <w:t>3</w:t>
            </w:r>
          </w:p>
        </w:tc>
        <w:tc>
          <w:tcPr>
            <w:tcW w:w="1160" w:type="dxa"/>
            <w:vMerge w:val="restart"/>
            <w:tcBorders>
              <w:top w:val="single" w:color="auto" w:sz="4" w:space="0"/>
              <w:left w:val="nil"/>
              <w:bottom w:val="single" w:color="000000" w:sz="8" w:space="0"/>
              <w:right w:val="single" w:color="000000" w:sz="8" w:space="0"/>
            </w:tcBorders>
            <w:shd w:val="clear" w:color="auto" w:fill="FFFFFF"/>
            <w:noWrap/>
            <w:vAlign w:val="center"/>
          </w:tcPr>
          <w:p w14:paraId="7F8873D6">
            <w:pPr>
              <w:spacing w:line="273" w:lineRule="auto"/>
              <w:jc w:val="center"/>
              <w:rPr>
                <w:rFonts w:hint="eastAsia" w:ascii="宋体" w:hAnsi="宋体"/>
                <w:b/>
                <w:bCs/>
                <w:color w:val="000000"/>
                <w:spacing w:val="-2"/>
              </w:rPr>
            </w:pPr>
            <w:r>
              <w:rPr>
                <w:rFonts w:hint="eastAsia" w:ascii="宋体" w:hAnsi="宋体"/>
                <w:b/>
                <w:bCs/>
                <w:color w:val="000000"/>
                <w:spacing w:val="-2"/>
              </w:rPr>
              <w:t>项目</w:t>
            </w:r>
          </w:p>
          <w:p w14:paraId="71B3A883">
            <w:pPr>
              <w:spacing w:line="273" w:lineRule="auto"/>
              <w:jc w:val="center"/>
              <w:rPr>
                <w:rFonts w:hint="eastAsia" w:ascii="宋体" w:hAnsi="宋体"/>
                <w:b/>
                <w:bCs/>
                <w:color w:val="000000"/>
                <w:spacing w:val="-2"/>
              </w:rPr>
            </w:pPr>
            <w:r>
              <w:rPr>
                <w:rFonts w:hint="eastAsia" w:ascii="宋体" w:hAnsi="宋体"/>
                <w:b/>
                <w:bCs/>
                <w:color w:val="000000"/>
                <w:spacing w:val="-2"/>
              </w:rPr>
              <w:t>实施方案</w:t>
            </w:r>
          </w:p>
        </w:tc>
        <w:tc>
          <w:tcPr>
            <w:tcW w:w="7440" w:type="dxa"/>
            <w:tcBorders>
              <w:top w:val="single" w:color="auto" w:sz="4" w:space="0"/>
              <w:left w:val="nil"/>
              <w:bottom w:val="single" w:color="auto" w:sz="4" w:space="0"/>
              <w:right w:val="single" w:color="000000" w:sz="8" w:space="0"/>
            </w:tcBorders>
            <w:shd w:val="clear" w:color="auto" w:fill="FFFFFF"/>
            <w:noWrap/>
            <w:vAlign w:val="center"/>
          </w:tcPr>
          <w:p w14:paraId="669DDFCE">
            <w:pPr>
              <w:widowControl/>
              <w:spacing w:line="273" w:lineRule="auto"/>
              <w:ind w:firstLine="412" w:firstLineChars="200"/>
              <w:rPr>
                <w:rFonts w:hint="eastAsia" w:ascii="宋体" w:hAnsi="宋体"/>
                <w:color w:val="000000"/>
              </w:rPr>
            </w:pPr>
            <w:r>
              <w:rPr>
                <w:rFonts w:hint="eastAsia" w:ascii="宋体" w:hAnsi="宋体"/>
                <w:color w:val="000000"/>
                <w:spacing w:val="-2"/>
              </w:rPr>
              <w:t>实施方案包括项目前期准备、服务的重点难点是否分析到位，拟采取的高标准高水平的管理模式及质量保障措施是否完善进行评审，方案</w:t>
            </w:r>
            <w:r>
              <w:rPr>
                <w:rFonts w:hint="eastAsia" w:ascii="宋体" w:hAnsi="宋体"/>
                <w:color w:val="000000"/>
              </w:rPr>
              <w:t>内容详细、条理清晰、前后逻辑一致的得</w:t>
            </w:r>
            <w:r>
              <w:rPr>
                <w:rFonts w:hint="eastAsia"/>
                <w:color w:val="000000"/>
              </w:rPr>
              <w:t>4</w:t>
            </w:r>
            <w:r>
              <w:rPr>
                <w:color w:val="000000"/>
              </w:rPr>
              <w:t>-</w:t>
            </w:r>
            <w:r>
              <w:rPr>
                <w:rFonts w:hint="eastAsia"/>
                <w:color w:val="000000"/>
              </w:rPr>
              <w:t>5</w:t>
            </w:r>
            <w:r>
              <w:rPr>
                <w:rFonts w:hint="eastAsia" w:ascii="宋体" w:hAnsi="宋体"/>
                <w:color w:val="000000"/>
              </w:rPr>
              <w:t>分；</w:t>
            </w:r>
            <w:r>
              <w:rPr>
                <w:rFonts w:hint="eastAsia" w:ascii="宋体" w:hAnsi="宋体"/>
                <w:color w:val="000000"/>
                <w:spacing w:val="-2"/>
              </w:rPr>
              <w:t>方案</w:t>
            </w:r>
            <w:r>
              <w:rPr>
                <w:rFonts w:hint="eastAsia" w:ascii="宋体" w:hAnsi="宋体"/>
                <w:color w:val="000000"/>
              </w:rPr>
              <w:t>内容简单、条理尚可、前后逻辑基本一致的得</w:t>
            </w:r>
            <w:r>
              <w:rPr>
                <w:rFonts w:hint="eastAsia"/>
                <w:color w:val="000000"/>
              </w:rPr>
              <w:t>2</w:t>
            </w:r>
            <w:r>
              <w:rPr>
                <w:color w:val="000000"/>
              </w:rPr>
              <w:t>-</w:t>
            </w:r>
            <w:r>
              <w:rPr>
                <w:rFonts w:hint="eastAsia"/>
                <w:color w:val="000000"/>
              </w:rPr>
              <w:t>3</w:t>
            </w:r>
            <w:r>
              <w:rPr>
                <w:rFonts w:hint="eastAsia" w:ascii="宋体" w:hAnsi="宋体"/>
                <w:color w:val="000000"/>
              </w:rPr>
              <w:t>分；</w:t>
            </w:r>
            <w:r>
              <w:rPr>
                <w:rFonts w:hint="eastAsia" w:ascii="宋体" w:hAnsi="宋体"/>
                <w:color w:val="000000"/>
                <w:spacing w:val="-2"/>
              </w:rPr>
              <w:t>方案</w:t>
            </w:r>
            <w:r>
              <w:rPr>
                <w:rFonts w:hint="eastAsia" w:ascii="宋体" w:hAnsi="宋体"/>
                <w:color w:val="000000"/>
              </w:rPr>
              <w:t>阐述粗略或无阐述、前后逻辑二处及以上不一致的得0-</w:t>
            </w:r>
            <w:r>
              <w:rPr>
                <w:rFonts w:hint="eastAsia"/>
                <w:color w:val="000000"/>
              </w:rPr>
              <w:t>1</w:t>
            </w:r>
            <w:r>
              <w:rPr>
                <w:rFonts w:hint="eastAsia" w:ascii="宋体" w:hAnsi="宋体"/>
                <w:color w:val="000000"/>
              </w:rPr>
              <w:t>分。</w:t>
            </w:r>
          </w:p>
        </w:tc>
        <w:tc>
          <w:tcPr>
            <w:tcW w:w="533" w:type="dxa"/>
            <w:tcBorders>
              <w:top w:val="single" w:color="000000" w:sz="8" w:space="0"/>
              <w:left w:val="nil"/>
              <w:bottom w:val="single" w:color="000000" w:sz="8" w:space="0"/>
              <w:right w:val="single" w:color="000000" w:sz="8" w:space="0"/>
            </w:tcBorders>
            <w:shd w:val="clear" w:color="auto" w:fill="FFFFFF"/>
            <w:noWrap/>
            <w:vAlign w:val="center"/>
          </w:tcPr>
          <w:p w14:paraId="1E16578C">
            <w:pPr>
              <w:spacing w:line="273" w:lineRule="auto"/>
              <w:jc w:val="center"/>
              <w:rPr>
                <w:rFonts w:hint="eastAsia" w:ascii="宋体" w:hAnsi="宋体"/>
                <w:b/>
                <w:color w:val="000000"/>
              </w:rPr>
            </w:pPr>
            <w:r>
              <w:rPr>
                <w:rFonts w:hint="eastAsia" w:ascii="宋体" w:hAnsi="宋体"/>
                <w:b/>
                <w:color w:val="000000"/>
              </w:rPr>
              <w:t>5</w:t>
            </w:r>
          </w:p>
        </w:tc>
      </w:tr>
      <w:tr w14:paraId="6047A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3" w:hRule="atLeast"/>
        </w:trPr>
        <w:tc>
          <w:tcPr>
            <w:tcW w:w="9570" w:type="dxa"/>
            <w:vMerge w:val="continue"/>
            <w:tcBorders>
              <w:top w:val="single" w:color="auto" w:sz="4" w:space="0"/>
              <w:left w:val="single" w:color="000000" w:sz="8" w:space="0"/>
              <w:bottom w:val="single" w:color="000000" w:sz="8" w:space="0"/>
              <w:right w:val="single" w:color="auto" w:sz="4" w:space="0"/>
            </w:tcBorders>
            <w:vAlign w:val="center"/>
          </w:tcPr>
          <w:p w14:paraId="145A0EF7">
            <w:pPr>
              <w:widowControl/>
              <w:jc w:val="left"/>
              <w:rPr>
                <w:rFonts w:ascii="宋体" w:hAnsi="宋体"/>
                <w:b/>
                <w:color w:val="000000"/>
                <w:szCs w:val="21"/>
              </w:rPr>
            </w:pPr>
          </w:p>
        </w:tc>
        <w:tc>
          <w:tcPr>
            <w:tcW w:w="1160" w:type="dxa"/>
            <w:vMerge w:val="continue"/>
            <w:tcBorders>
              <w:top w:val="single" w:color="auto" w:sz="4" w:space="0"/>
              <w:left w:val="nil"/>
              <w:bottom w:val="single" w:color="000000" w:sz="8" w:space="0"/>
              <w:right w:val="single" w:color="000000" w:sz="8" w:space="0"/>
            </w:tcBorders>
            <w:vAlign w:val="center"/>
          </w:tcPr>
          <w:p w14:paraId="5E7E70D4">
            <w:pPr>
              <w:widowControl/>
              <w:jc w:val="left"/>
              <w:rPr>
                <w:rFonts w:ascii="宋体" w:hAnsi="宋体"/>
                <w:b/>
                <w:bCs/>
                <w:color w:val="000000"/>
                <w:spacing w:val="-2"/>
                <w:szCs w:val="21"/>
              </w:rPr>
            </w:pPr>
          </w:p>
        </w:tc>
        <w:tc>
          <w:tcPr>
            <w:tcW w:w="7440" w:type="dxa"/>
            <w:tcBorders>
              <w:top w:val="single" w:color="auto" w:sz="4" w:space="0"/>
              <w:left w:val="nil"/>
              <w:bottom w:val="single" w:color="auto" w:sz="4" w:space="0"/>
              <w:right w:val="single" w:color="000000" w:sz="8" w:space="0"/>
            </w:tcBorders>
            <w:shd w:val="clear" w:color="auto" w:fill="FFFFFF"/>
            <w:noWrap/>
            <w:vAlign w:val="center"/>
          </w:tcPr>
          <w:p w14:paraId="0977DBE9">
            <w:pPr>
              <w:widowControl/>
              <w:spacing w:line="273" w:lineRule="auto"/>
              <w:ind w:firstLine="420" w:firstLineChars="200"/>
              <w:rPr>
                <w:rFonts w:hint="eastAsia" w:ascii="宋体" w:hAnsi="宋体"/>
                <w:color w:val="000000"/>
                <w:spacing w:val="-2"/>
              </w:rPr>
            </w:pPr>
            <w:r>
              <w:rPr>
                <w:rFonts w:hint="eastAsia" w:ascii="宋体" w:hAnsi="宋体" w:cs="仿宋_GB2312"/>
              </w:rPr>
              <w:t>评委根据投标人提供总体方案及服务计划的科学性、完整性和合理性进行评审，</w:t>
            </w:r>
            <w:r>
              <w:rPr>
                <w:rFonts w:hint="eastAsia" w:ascii="宋体" w:hAnsi="宋体"/>
                <w:color w:val="000000"/>
                <w:spacing w:val="-2"/>
              </w:rPr>
              <w:t>方案</w:t>
            </w:r>
            <w:r>
              <w:rPr>
                <w:rFonts w:hint="eastAsia" w:ascii="宋体" w:hAnsi="宋体"/>
                <w:color w:val="000000"/>
              </w:rPr>
              <w:t>内容详细、条理清晰、前后逻辑一致的得</w:t>
            </w:r>
            <w:r>
              <w:rPr>
                <w:rFonts w:hint="eastAsia"/>
                <w:color w:val="000000"/>
              </w:rPr>
              <w:t>4</w:t>
            </w:r>
            <w:r>
              <w:rPr>
                <w:color w:val="000000"/>
              </w:rPr>
              <w:t>-</w:t>
            </w:r>
            <w:r>
              <w:rPr>
                <w:rFonts w:hint="eastAsia"/>
                <w:color w:val="000000"/>
              </w:rPr>
              <w:t>5</w:t>
            </w:r>
            <w:r>
              <w:rPr>
                <w:rFonts w:hint="eastAsia" w:ascii="宋体" w:hAnsi="宋体"/>
                <w:color w:val="000000"/>
              </w:rPr>
              <w:t>分；</w:t>
            </w:r>
            <w:r>
              <w:rPr>
                <w:rFonts w:hint="eastAsia" w:ascii="宋体" w:hAnsi="宋体"/>
                <w:color w:val="000000"/>
                <w:spacing w:val="-2"/>
              </w:rPr>
              <w:t>方案</w:t>
            </w:r>
            <w:r>
              <w:rPr>
                <w:rFonts w:hint="eastAsia" w:ascii="宋体" w:hAnsi="宋体"/>
                <w:color w:val="000000"/>
              </w:rPr>
              <w:t>内容简单、条理尚可、前后逻辑基本一致的得</w:t>
            </w:r>
            <w:r>
              <w:rPr>
                <w:rFonts w:hint="eastAsia"/>
                <w:color w:val="000000"/>
              </w:rPr>
              <w:t>0</w:t>
            </w:r>
            <w:r>
              <w:rPr>
                <w:color w:val="000000"/>
              </w:rPr>
              <w:t>-</w:t>
            </w:r>
            <w:r>
              <w:rPr>
                <w:rFonts w:hint="eastAsia"/>
                <w:color w:val="000000"/>
              </w:rPr>
              <w:t>1</w:t>
            </w:r>
            <w:r>
              <w:rPr>
                <w:rFonts w:hint="eastAsia" w:ascii="宋体" w:hAnsi="宋体"/>
                <w:color w:val="000000"/>
              </w:rPr>
              <w:t>分；</w:t>
            </w:r>
            <w:r>
              <w:rPr>
                <w:rFonts w:hint="eastAsia" w:ascii="宋体" w:hAnsi="宋体"/>
                <w:color w:val="000000"/>
                <w:spacing w:val="-2"/>
              </w:rPr>
              <w:t>方案</w:t>
            </w:r>
            <w:r>
              <w:rPr>
                <w:rFonts w:hint="eastAsia" w:ascii="宋体" w:hAnsi="宋体"/>
                <w:color w:val="000000"/>
              </w:rPr>
              <w:t>阐述粗略或无阐述、前后逻辑二处及以上不一致的得0-</w:t>
            </w:r>
            <w:r>
              <w:rPr>
                <w:color w:val="000000"/>
              </w:rPr>
              <w:t>4</w:t>
            </w:r>
            <w:r>
              <w:rPr>
                <w:rFonts w:hint="eastAsia" w:ascii="宋体" w:hAnsi="宋体"/>
                <w:color w:val="000000"/>
              </w:rPr>
              <w:t>分。</w:t>
            </w:r>
          </w:p>
        </w:tc>
        <w:tc>
          <w:tcPr>
            <w:tcW w:w="533" w:type="dxa"/>
            <w:tcBorders>
              <w:top w:val="single" w:color="000000" w:sz="8" w:space="0"/>
              <w:left w:val="nil"/>
              <w:bottom w:val="single" w:color="000000" w:sz="8" w:space="0"/>
              <w:right w:val="single" w:color="000000" w:sz="8" w:space="0"/>
            </w:tcBorders>
            <w:shd w:val="clear" w:color="auto" w:fill="FFFFFF"/>
            <w:noWrap/>
            <w:vAlign w:val="center"/>
          </w:tcPr>
          <w:p w14:paraId="39C732F5">
            <w:pPr>
              <w:spacing w:line="273" w:lineRule="auto"/>
              <w:jc w:val="center"/>
              <w:rPr>
                <w:rFonts w:hint="eastAsia" w:ascii="宋体" w:hAnsi="宋体"/>
                <w:b/>
                <w:color w:val="000000"/>
              </w:rPr>
            </w:pPr>
            <w:r>
              <w:rPr>
                <w:rFonts w:hint="eastAsia" w:ascii="宋体" w:hAnsi="宋体"/>
                <w:b/>
                <w:color w:val="000000"/>
              </w:rPr>
              <w:t>5</w:t>
            </w:r>
          </w:p>
        </w:tc>
      </w:tr>
      <w:tr w14:paraId="67E517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3" w:hRule="atLeast"/>
        </w:trPr>
        <w:tc>
          <w:tcPr>
            <w:tcW w:w="9570" w:type="dxa"/>
            <w:vMerge w:val="continue"/>
            <w:tcBorders>
              <w:top w:val="single" w:color="auto" w:sz="4" w:space="0"/>
              <w:left w:val="single" w:color="000000" w:sz="8" w:space="0"/>
              <w:bottom w:val="single" w:color="000000" w:sz="8" w:space="0"/>
              <w:right w:val="single" w:color="auto" w:sz="4" w:space="0"/>
            </w:tcBorders>
            <w:vAlign w:val="center"/>
          </w:tcPr>
          <w:p w14:paraId="46E4E90F">
            <w:pPr>
              <w:widowControl/>
              <w:jc w:val="left"/>
              <w:rPr>
                <w:rFonts w:ascii="宋体" w:hAnsi="宋体"/>
                <w:b/>
                <w:color w:val="000000"/>
                <w:szCs w:val="21"/>
              </w:rPr>
            </w:pPr>
          </w:p>
        </w:tc>
        <w:tc>
          <w:tcPr>
            <w:tcW w:w="1160" w:type="dxa"/>
            <w:vMerge w:val="continue"/>
            <w:tcBorders>
              <w:top w:val="single" w:color="auto" w:sz="4" w:space="0"/>
              <w:left w:val="nil"/>
              <w:bottom w:val="single" w:color="000000" w:sz="8" w:space="0"/>
              <w:right w:val="single" w:color="000000" w:sz="8" w:space="0"/>
            </w:tcBorders>
            <w:vAlign w:val="center"/>
          </w:tcPr>
          <w:p w14:paraId="5296188A">
            <w:pPr>
              <w:widowControl/>
              <w:jc w:val="left"/>
              <w:rPr>
                <w:rFonts w:ascii="宋体" w:hAnsi="宋体"/>
                <w:b/>
                <w:bCs/>
                <w:color w:val="000000"/>
                <w:spacing w:val="-2"/>
                <w:szCs w:val="21"/>
              </w:rPr>
            </w:pPr>
          </w:p>
        </w:tc>
        <w:tc>
          <w:tcPr>
            <w:tcW w:w="7440" w:type="dxa"/>
            <w:tcBorders>
              <w:top w:val="single" w:color="auto" w:sz="4" w:space="0"/>
              <w:left w:val="nil"/>
              <w:bottom w:val="single" w:color="auto" w:sz="4" w:space="0"/>
              <w:right w:val="single" w:color="000000" w:sz="8" w:space="0"/>
            </w:tcBorders>
            <w:shd w:val="clear" w:color="auto" w:fill="FFFFFF"/>
            <w:noWrap/>
            <w:vAlign w:val="center"/>
          </w:tcPr>
          <w:p w14:paraId="6F1D9B41">
            <w:pPr>
              <w:widowControl/>
              <w:spacing w:line="273" w:lineRule="auto"/>
              <w:jc w:val="left"/>
              <w:textAlignment w:val="center"/>
              <w:rPr>
                <w:rFonts w:hint="eastAsia" w:ascii="宋体" w:hAnsi="宋体"/>
              </w:rPr>
            </w:pPr>
            <w:r>
              <w:rPr>
                <w:rFonts w:hint="eastAsia" w:ascii="宋体" w:hAnsi="宋体"/>
              </w:rPr>
              <w:t>根据供应商提供的</w:t>
            </w:r>
            <w:r>
              <w:rPr>
                <w:rFonts w:hint="eastAsia" w:ascii="宋体" w:hAnsi="宋体"/>
                <w:b/>
                <w:bCs/>
              </w:rPr>
              <w:t>执勤方案</w:t>
            </w:r>
            <w:r>
              <w:rPr>
                <w:rFonts w:hint="eastAsia" w:ascii="宋体" w:hAnsi="宋体"/>
              </w:rPr>
              <w:t>：</w:t>
            </w:r>
          </w:p>
          <w:p w14:paraId="70482018">
            <w:pPr>
              <w:spacing w:line="273" w:lineRule="auto"/>
              <w:rPr>
                <w:rFonts w:hint="eastAsia" w:ascii="宋体" w:hAnsi="宋体"/>
              </w:rPr>
            </w:pPr>
            <w:r>
              <w:rPr>
                <w:rFonts w:hint="eastAsia" w:ascii="宋体" w:hAnsi="宋体"/>
              </w:rPr>
              <w:t>各环节安排是否符合采购需求、实施方案具有合理性、可行性进行评审。整体执勤方案完整、符合采购需求、切实可行的得4-5分；方案内容</w:t>
            </w:r>
            <w:r>
              <w:rPr>
                <w:rFonts w:hint="eastAsia" w:ascii="宋体" w:hAnsi="宋体"/>
                <w:color w:val="000000"/>
              </w:rPr>
              <w:t>基本合理、可行的得</w:t>
            </w:r>
            <w:r>
              <w:rPr>
                <w:rFonts w:hint="eastAsia"/>
                <w:color w:val="000000"/>
              </w:rPr>
              <w:t>2</w:t>
            </w:r>
            <w:r>
              <w:rPr>
                <w:color w:val="000000"/>
              </w:rPr>
              <w:t>-</w:t>
            </w:r>
            <w:r>
              <w:rPr>
                <w:rFonts w:hint="eastAsia"/>
                <w:color w:val="000000"/>
              </w:rPr>
              <w:t>3</w:t>
            </w:r>
            <w:r>
              <w:rPr>
                <w:rFonts w:hint="eastAsia" w:ascii="宋体" w:hAnsi="宋体"/>
                <w:color w:val="000000"/>
              </w:rPr>
              <w:t>分；</w:t>
            </w:r>
            <w:r>
              <w:rPr>
                <w:rFonts w:hint="eastAsia" w:ascii="宋体" w:hAnsi="宋体"/>
                <w:color w:val="000000"/>
                <w:spacing w:val="-2"/>
              </w:rPr>
              <w:t>方案</w:t>
            </w:r>
            <w:r>
              <w:rPr>
                <w:rFonts w:hint="eastAsia" w:ascii="宋体" w:hAnsi="宋体"/>
                <w:color w:val="000000"/>
              </w:rPr>
              <w:t>内容简单，阐述粗略或无阐述、的得0-</w:t>
            </w:r>
            <w:r>
              <w:rPr>
                <w:rFonts w:hint="eastAsia"/>
                <w:color w:val="000000"/>
              </w:rPr>
              <w:t>1</w:t>
            </w:r>
            <w:r>
              <w:rPr>
                <w:rFonts w:hint="eastAsia" w:ascii="宋体" w:hAnsi="宋体"/>
                <w:color w:val="000000"/>
              </w:rPr>
              <w:t>分。</w:t>
            </w:r>
          </w:p>
        </w:tc>
        <w:tc>
          <w:tcPr>
            <w:tcW w:w="533" w:type="dxa"/>
            <w:tcBorders>
              <w:top w:val="single" w:color="000000" w:sz="8" w:space="0"/>
              <w:left w:val="nil"/>
              <w:bottom w:val="single" w:color="000000" w:sz="8" w:space="0"/>
              <w:right w:val="single" w:color="000000" w:sz="8" w:space="0"/>
            </w:tcBorders>
            <w:shd w:val="clear" w:color="auto" w:fill="FFFFFF"/>
            <w:noWrap/>
            <w:vAlign w:val="center"/>
          </w:tcPr>
          <w:p w14:paraId="5847BFE4">
            <w:pPr>
              <w:spacing w:line="273" w:lineRule="auto"/>
              <w:jc w:val="center"/>
              <w:rPr>
                <w:rFonts w:hint="eastAsia" w:ascii="宋体" w:hAnsi="宋体"/>
                <w:b/>
                <w:color w:val="000000"/>
              </w:rPr>
            </w:pPr>
            <w:r>
              <w:rPr>
                <w:rFonts w:hint="eastAsia" w:ascii="宋体" w:hAnsi="宋体"/>
                <w:b/>
                <w:color w:val="000000"/>
              </w:rPr>
              <w:t>5</w:t>
            </w:r>
          </w:p>
        </w:tc>
      </w:tr>
      <w:tr w14:paraId="74456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3" w:hRule="atLeast"/>
        </w:trPr>
        <w:tc>
          <w:tcPr>
            <w:tcW w:w="9570" w:type="dxa"/>
            <w:vMerge w:val="continue"/>
            <w:tcBorders>
              <w:top w:val="single" w:color="auto" w:sz="4" w:space="0"/>
              <w:left w:val="single" w:color="000000" w:sz="8" w:space="0"/>
              <w:bottom w:val="single" w:color="000000" w:sz="8" w:space="0"/>
              <w:right w:val="single" w:color="auto" w:sz="4" w:space="0"/>
            </w:tcBorders>
            <w:vAlign w:val="center"/>
          </w:tcPr>
          <w:p w14:paraId="27CB6B70">
            <w:pPr>
              <w:widowControl/>
              <w:jc w:val="left"/>
              <w:rPr>
                <w:rFonts w:ascii="宋体" w:hAnsi="宋体"/>
                <w:b/>
                <w:color w:val="000000"/>
                <w:szCs w:val="21"/>
              </w:rPr>
            </w:pPr>
          </w:p>
        </w:tc>
        <w:tc>
          <w:tcPr>
            <w:tcW w:w="1160" w:type="dxa"/>
            <w:vMerge w:val="continue"/>
            <w:tcBorders>
              <w:top w:val="single" w:color="auto" w:sz="4" w:space="0"/>
              <w:left w:val="nil"/>
              <w:bottom w:val="single" w:color="000000" w:sz="8" w:space="0"/>
              <w:right w:val="single" w:color="000000" w:sz="8" w:space="0"/>
            </w:tcBorders>
            <w:vAlign w:val="center"/>
          </w:tcPr>
          <w:p w14:paraId="206B9356">
            <w:pPr>
              <w:widowControl/>
              <w:jc w:val="left"/>
              <w:rPr>
                <w:rFonts w:ascii="宋体" w:hAnsi="宋体"/>
                <w:b/>
                <w:bCs/>
                <w:color w:val="000000"/>
                <w:spacing w:val="-2"/>
                <w:szCs w:val="21"/>
              </w:rPr>
            </w:pPr>
          </w:p>
        </w:tc>
        <w:tc>
          <w:tcPr>
            <w:tcW w:w="7440" w:type="dxa"/>
            <w:tcBorders>
              <w:top w:val="single" w:color="auto" w:sz="4" w:space="0"/>
              <w:left w:val="nil"/>
              <w:bottom w:val="single" w:color="auto" w:sz="4" w:space="0"/>
              <w:right w:val="single" w:color="000000" w:sz="8" w:space="0"/>
            </w:tcBorders>
            <w:shd w:val="clear" w:color="auto" w:fill="FFFFFF"/>
            <w:noWrap/>
            <w:vAlign w:val="center"/>
          </w:tcPr>
          <w:p w14:paraId="2C6425E0">
            <w:pPr>
              <w:widowControl/>
              <w:spacing w:line="273" w:lineRule="auto"/>
              <w:jc w:val="left"/>
              <w:textAlignment w:val="center"/>
              <w:rPr>
                <w:rFonts w:hint="eastAsia" w:ascii="宋体" w:hAnsi="宋体"/>
              </w:rPr>
            </w:pPr>
            <w:r>
              <w:rPr>
                <w:rFonts w:hint="eastAsia" w:ascii="宋体" w:hAnsi="宋体"/>
                <w:color w:val="000000"/>
              </w:rPr>
              <w:t>根据供应商提供的</w:t>
            </w:r>
            <w:r>
              <w:rPr>
                <w:rFonts w:hint="eastAsia" w:ascii="宋体" w:hAnsi="宋体"/>
                <w:b/>
                <w:bCs/>
              </w:rPr>
              <w:t>消防工作方案</w:t>
            </w:r>
            <w:r>
              <w:rPr>
                <w:rFonts w:hint="eastAsia" w:ascii="宋体" w:hAnsi="宋体"/>
              </w:rPr>
              <w:t>：</w:t>
            </w:r>
          </w:p>
          <w:p w14:paraId="18EC413C">
            <w:pPr>
              <w:spacing w:line="273" w:lineRule="auto"/>
              <w:rPr>
                <w:rFonts w:hint="eastAsia" w:ascii="宋体" w:hAnsi="宋体"/>
              </w:rPr>
            </w:pPr>
            <w:r>
              <w:rPr>
                <w:rFonts w:hint="eastAsia" w:ascii="宋体" w:hAnsi="宋体"/>
              </w:rPr>
              <w:t>各环节安排是否符合采购需求，实施方案具有合理性、可行性进行评审。整体消防工作方案贴合本项目校园消防高配标准描述细致且完全满足本项目需求的得4-5分；方案内容</w:t>
            </w:r>
            <w:r>
              <w:rPr>
                <w:rFonts w:hint="eastAsia" w:ascii="宋体" w:hAnsi="宋体"/>
                <w:color w:val="000000"/>
              </w:rPr>
              <w:t>基本合理、可行的得</w:t>
            </w:r>
            <w:r>
              <w:rPr>
                <w:rFonts w:hint="eastAsia"/>
                <w:color w:val="000000"/>
              </w:rPr>
              <w:t>2</w:t>
            </w:r>
            <w:r>
              <w:rPr>
                <w:color w:val="000000"/>
              </w:rPr>
              <w:t>-</w:t>
            </w:r>
            <w:r>
              <w:rPr>
                <w:rFonts w:hint="eastAsia"/>
                <w:color w:val="000000"/>
              </w:rPr>
              <w:t>3</w:t>
            </w:r>
            <w:r>
              <w:rPr>
                <w:rFonts w:hint="eastAsia" w:ascii="宋体" w:hAnsi="宋体"/>
                <w:color w:val="000000"/>
              </w:rPr>
              <w:t>分；</w:t>
            </w:r>
            <w:r>
              <w:rPr>
                <w:rFonts w:hint="eastAsia" w:ascii="宋体" w:hAnsi="宋体"/>
                <w:color w:val="000000"/>
                <w:spacing w:val="-2"/>
              </w:rPr>
              <w:t>方案</w:t>
            </w:r>
            <w:r>
              <w:rPr>
                <w:rFonts w:hint="eastAsia" w:ascii="宋体" w:hAnsi="宋体"/>
                <w:color w:val="000000"/>
              </w:rPr>
              <w:t>内容简单，阐述粗略或无阐述、的得0-</w:t>
            </w:r>
            <w:r>
              <w:rPr>
                <w:rFonts w:hint="eastAsia"/>
                <w:color w:val="000000"/>
              </w:rPr>
              <w:t>1</w:t>
            </w:r>
            <w:r>
              <w:rPr>
                <w:rFonts w:hint="eastAsia" w:ascii="宋体" w:hAnsi="宋体"/>
                <w:color w:val="000000"/>
              </w:rPr>
              <w:t>分。</w:t>
            </w:r>
          </w:p>
        </w:tc>
        <w:tc>
          <w:tcPr>
            <w:tcW w:w="533" w:type="dxa"/>
            <w:tcBorders>
              <w:top w:val="single" w:color="000000" w:sz="8" w:space="0"/>
              <w:left w:val="nil"/>
              <w:bottom w:val="single" w:color="000000" w:sz="8" w:space="0"/>
              <w:right w:val="single" w:color="000000" w:sz="8" w:space="0"/>
            </w:tcBorders>
            <w:shd w:val="clear" w:color="auto" w:fill="FFFFFF"/>
            <w:noWrap/>
            <w:vAlign w:val="center"/>
          </w:tcPr>
          <w:p w14:paraId="2689793C">
            <w:pPr>
              <w:spacing w:line="273" w:lineRule="auto"/>
              <w:jc w:val="center"/>
              <w:rPr>
                <w:rFonts w:hint="eastAsia" w:ascii="宋体" w:hAnsi="宋体"/>
                <w:b/>
                <w:color w:val="000000"/>
              </w:rPr>
            </w:pPr>
            <w:r>
              <w:rPr>
                <w:rFonts w:hint="eastAsia" w:ascii="宋体" w:hAnsi="宋体"/>
                <w:b/>
                <w:color w:val="000000"/>
              </w:rPr>
              <w:t>5</w:t>
            </w:r>
          </w:p>
        </w:tc>
      </w:tr>
      <w:tr w14:paraId="3D522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3" w:hRule="atLeast"/>
        </w:trPr>
        <w:tc>
          <w:tcPr>
            <w:tcW w:w="9570" w:type="dxa"/>
            <w:vMerge w:val="continue"/>
            <w:tcBorders>
              <w:top w:val="single" w:color="auto" w:sz="4" w:space="0"/>
              <w:left w:val="single" w:color="000000" w:sz="8" w:space="0"/>
              <w:bottom w:val="single" w:color="000000" w:sz="8" w:space="0"/>
              <w:right w:val="single" w:color="auto" w:sz="4" w:space="0"/>
            </w:tcBorders>
            <w:vAlign w:val="center"/>
          </w:tcPr>
          <w:p w14:paraId="460E60B9">
            <w:pPr>
              <w:widowControl/>
              <w:jc w:val="left"/>
              <w:rPr>
                <w:rFonts w:ascii="宋体" w:hAnsi="宋体"/>
                <w:b/>
                <w:color w:val="000000"/>
                <w:szCs w:val="21"/>
              </w:rPr>
            </w:pPr>
          </w:p>
        </w:tc>
        <w:tc>
          <w:tcPr>
            <w:tcW w:w="1160" w:type="dxa"/>
            <w:vMerge w:val="continue"/>
            <w:tcBorders>
              <w:top w:val="single" w:color="auto" w:sz="4" w:space="0"/>
              <w:left w:val="nil"/>
              <w:bottom w:val="single" w:color="000000" w:sz="8" w:space="0"/>
              <w:right w:val="single" w:color="000000" w:sz="8" w:space="0"/>
            </w:tcBorders>
            <w:vAlign w:val="center"/>
          </w:tcPr>
          <w:p w14:paraId="3F100867">
            <w:pPr>
              <w:widowControl/>
              <w:jc w:val="left"/>
              <w:rPr>
                <w:rFonts w:ascii="宋体" w:hAnsi="宋体"/>
                <w:b/>
                <w:bCs/>
                <w:color w:val="000000"/>
                <w:spacing w:val="-2"/>
                <w:szCs w:val="21"/>
              </w:rPr>
            </w:pPr>
          </w:p>
        </w:tc>
        <w:tc>
          <w:tcPr>
            <w:tcW w:w="7440" w:type="dxa"/>
            <w:tcBorders>
              <w:top w:val="single" w:color="auto" w:sz="4" w:space="0"/>
              <w:left w:val="nil"/>
              <w:bottom w:val="single" w:color="auto" w:sz="4" w:space="0"/>
              <w:right w:val="single" w:color="000000" w:sz="8" w:space="0"/>
            </w:tcBorders>
            <w:shd w:val="clear" w:color="auto" w:fill="FFFFFF"/>
            <w:noWrap/>
            <w:vAlign w:val="center"/>
          </w:tcPr>
          <w:p w14:paraId="4096E4F0">
            <w:pPr>
              <w:widowControl/>
              <w:spacing w:line="273" w:lineRule="auto"/>
              <w:jc w:val="left"/>
              <w:textAlignment w:val="center"/>
              <w:rPr>
                <w:rFonts w:hint="eastAsia" w:ascii="宋体" w:hAnsi="宋体"/>
              </w:rPr>
            </w:pPr>
            <w:r>
              <w:rPr>
                <w:rFonts w:hint="eastAsia" w:ascii="宋体" w:hAnsi="宋体"/>
                <w:color w:val="000000"/>
              </w:rPr>
              <w:t>根据供应商提供的</w:t>
            </w:r>
            <w:r>
              <w:rPr>
                <w:rFonts w:hint="eastAsia" w:ascii="宋体" w:hAnsi="宋体"/>
                <w:b/>
                <w:bCs/>
                <w:color w:val="000000"/>
              </w:rPr>
              <w:t>校内</w:t>
            </w:r>
            <w:r>
              <w:rPr>
                <w:rFonts w:hint="eastAsia" w:ascii="宋体" w:hAnsi="宋体"/>
                <w:b/>
                <w:bCs/>
              </w:rPr>
              <w:t>日常巡查方案</w:t>
            </w:r>
            <w:r>
              <w:rPr>
                <w:rFonts w:hint="eastAsia" w:ascii="宋体" w:hAnsi="宋体"/>
              </w:rPr>
              <w:t>：</w:t>
            </w:r>
          </w:p>
          <w:p w14:paraId="5483F1B1">
            <w:pPr>
              <w:spacing w:line="273" w:lineRule="auto"/>
              <w:rPr>
                <w:rFonts w:hint="eastAsia" w:ascii="宋体" w:hAnsi="宋体"/>
              </w:rPr>
            </w:pPr>
            <w:r>
              <w:rPr>
                <w:rFonts w:hint="eastAsia" w:ascii="宋体" w:hAnsi="宋体"/>
              </w:rPr>
              <w:t>整体校内日常巡查方案是否贴合根据采购人实际采购需求进行评审。</w:t>
            </w:r>
            <w:r>
              <w:rPr>
                <w:rFonts w:hint="eastAsia" w:ascii="宋体" w:hAnsi="宋体"/>
                <w:color w:val="000000"/>
                <w:spacing w:val="-2"/>
              </w:rPr>
              <w:t>方案</w:t>
            </w:r>
            <w:r>
              <w:rPr>
                <w:rFonts w:hint="eastAsia" w:ascii="宋体" w:hAnsi="宋体"/>
                <w:color w:val="000000"/>
              </w:rPr>
              <w:t>符合实际采购需求、合理可行的得</w:t>
            </w:r>
            <w:r>
              <w:rPr>
                <w:rFonts w:hint="eastAsia"/>
                <w:color w:val="000000"/>
              </w:rPr>
              <w:t>4</w:t>
            </w:r>
            <w:r>
              <w:rPr>
                <w:color w:val="000000"/>
              </w:rPr>
              <w:t>-</w:t>
            </w:r>
            <w:r>
              <w:rPr>
                <w:rFonts w:hint="eastAsia"/>
                <w:color w:val="000000"/>
              </w:rPr>
              <w:t>5</w:t>
            </w:r>
            <w:r>
              <w:rPr>
                <w:rFonts w:hint="eastAsia" w:ascii="宋体" w:hAnsi="宋体"/>
                <w:color w:val="000000"/>
              </w:rPr>
              <w:t>分；</w:t>
            </w:r>
            <w:r>
              <w:rPr>
                <w:rFonts w:hint="eastAsia" w:ascii="宋体" w:hAnsi="宋体"/>
              </w:rPr>
              <w:t>方案内容</w:t>
            </w:r>
            <w:r>
              <w:rPr>
                <w:rFonts w:hint="eastAsia" w:ascii="宋体" w:hAnsi="宋体"/>
                <w:color w:val="000000"/>
              </w:rPr>
              <w:t>基本合理、可行的得</w:t>
            </w:r>
            <w:r>
              <w:rPr>
                <w:rFonts w:hint="eastAsia"/>
                <w:color w:val="000000"/>
              </w:rPr>
              <w:t>2</w:t>
            </w:r>
            <w:r>
              <w:rPr>
                <w:color w:val="000000"/>
              </w:rPr>
              <w:t>-</w:t>
            </w:r>
            <w:r>
              <w:rPr>
                <w:rFonts w:hint="eastAsia"/>
                <w:color w:val="000000"/>
              </w:rPr>
              <w:t>3</w:t>
            </w:r>
            <w:r>
              <w:rPr>
                <w:rFonts w:hint="eastAsia" w:ascii="宋体" w:hAnsi="宋体"/>
                <w:color w:val="000000"/>
              </w:rPr>
              <w:t>分；</w:t>
            </w:r>
            <w:r>
              <w:rPr>
                <w:rFonts w:hint="eastAsia" w:ascii="宋体" w:hAnsi="宋体"/>
                <w:color w:val="000000"/>
                <w:spacing w:val="-2"/>
              </w:rPr>
              <w:t>方案</w:t>
            </w:r>
            <w:r>
              <w:rPr>
                <w:rFonts w:hint="eastAsia" w:ascii="宋体" w:hAnsi="宋体"/>
                <w:color w:val="000000"/>
              </w:rPr>
              <w:t>内容简单，阐述粗略或无阐述、的得0-</w:t>
            </w:r>
            <w:r>
              <w:rPr>
                <w:rFonts w:hint="eastAsia"/>
                <w:color w:val="000000"/>
              </w:rPr>
              <w:t>1</w:t>
            </w:r>
            <w:r>
              <w:rPr>
                <w:rFonts w:hint="eastAsia" w:ascii="宋体" w:hAnsi="宋体"/>
                <w:color w:val="000000"/>
              </w:rPr>
              <w:t>分。</w:t>
            </w:r>
          </w:p>
        </w:tc>
        <w:tc>
          <w:tcPr>
            <w:tcW w:w="533" w:type="dxa"/>
            <w:tcBorders>
              <w:top w:val="single" w:color="000000" w:sz="8" w:space="0"/>
              <w:left w:val="nil"/>
              <w:bottom w:val="single" w:color="000000" w:sz="8" w:space="0"/>
              <w:right w:val="single" w:color="000000" w:sz="8" w:space="0"/>
            </w:tcBorders>
            <w:shd w:val="clear" w:color="auto" w:fill="FFFFFF"/>
            <w:noWrap/>
            <w:vAlign w:val="center"/>
          </w:tcPr>
          <w:p w14:paraId="421159B7">
            <w:pPr>
              <w:spacing w:line="273" w:lineRule="auto"/>
              <w:jc w:val="center"/>
              <w:rPr>
                <w:rFonts w:hint="eastAsia" w:ascii="宋体" w:hAnsi="宋体"/>
                <w:b/>
                <w:color w:val="000000"/>
              </w:rPr>
            </w:pPr>
            <w:r>
              <w:rPr>
                <w:rFonts w:hint="eastAsia" w:ascii="宋体" w:hAnsi="宋体"/>
                <w:b/>
                <w:color w:val="000000"/>
              </w:rPr>
              <w:t>5</w:t>
            </w:r>
          </w:p>
        </w:tc>
      </w:tr>
      <w:tr w14:paraId="728E3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3" w:hRule="atLeast"/>
        </w:trPr>
        <w:tc>
          <w:tcPr>
            <w:tcW w:w="9570" w:type="dxa"/>
            <w:vMerge w:val="continue"/>
            <w:tcBorders>
              <w:top w:val="single" w:color="auto" w:sz="4" w:space="0"/>
              <w:left w:val="single" w:color="000000" w:sz="8" w:space="0"/>
              <w:bottom w:val="single" w:color="000000" w:sz="8" w:space="0"/>
              <w:right w:val="single" w:color="auto" w:sz="4" w:space="0"/>
            </w:tcBorders>
            <w:vAlign w:val="center"/>
          </w:tcPr>
          <w:p w14:paraId="3C7244A3">
            <w:pPr>
              <w:widowControl/>
              <w:jc w:val="left"/>
              <w:rPr>
                <w:rFonts w:ascii="宋体" w:hAnsi="宋体"/>
                <w:b/>
                <w:color w:val="000000"/>
                <w:szCs w:val="21"/>
              </w:rPr>
            </w:pPr>
          </w:p>
        </w:tc>
        <w:tc>
          <w:tcPr>
            <w:tcW w:w="1160" w:type="dxa"/>
            <w:vMerge w:val="continue"/>
            <w:tcBorders>
              <w:top w:val="single" w:color="auto" w:sz="4" w:space="0"/>
              <w:left w:val="nil"/>
              <w:bottom w:val="single" w:color="000000" w:sz="8" w:space="0"/>
              <w:right w:val="single" w:color="000000" w:sz="8" w:space="0"/>
            </w:tcBorders>
            <w:vAlign w:val="center"/>
          </w:tcPr>
          <w:p w14:paraId="0BC81EC5">
            <w:pPr>
              <w:widowControl/>
              <w:jc w:val="left"/>
              <w:rPr>
                <w:rFonts w:ascii="宋体" w:hAnsi="宋体"/>
                <w:b/>
                <w:bCs/>
                <w:color w:val="000000"/>
                <w:spacing w:val="-2"/>
                <w:szCs w:val="21"/>
              </w:rPr>
            </w:pPr>
          </w:p>
        </w:tc>
        <w:tc>
          <w:tcPr>
            <w:tcW w:w="7440" w:type="dxa"/>
            <w:tcBorders>
              <w:top w:val="single" w:color="auto" w:sz="4" w:space="0"/>
              <w:left w:val="nil"/>
              <w:bottom w:val="single" w:color="auto" w:sz="4" w:space="0"/>
              <w:right w:val="single" w:color="000000" w:sz="8" w:space="0"/>
            </w:tcBorders>
            <w:shd w:val="clear" w:color="auto" w:fill="FFFFFF"/>
            <w:noWrap/>
            <w:vAlign w:val="center"/>
          </w:tcPr>
          <w:p w14:paraId="2B90D36C">
            <w:pPr>
              <w:widowControl/>
              <w:spacing w:line="273" w:lineRule="auto"/>
              <w:jc w:val="left"/>
              <w:textAlignment w:val="center"/>
              <w:rPr>
                <w:rFonts w:hint="eastAsia" w:ascii="宋体" w:hAnsi="宋体"/>
              </w:rPr>
            </w:pPr>
            <w:r>
              <w:rPr>
                <w:rFonts w:hint="eastAsia" w:ascii="宋体" w:hAnsi="宋体"/>
                <w:color w:val="000000"/>
              </w:rPr>
              <w:t>根据供应商提供的</w:t>
            </w:r>
            <w:r>
              <w:rPr>
                <w:rFonts w:hint="eastAsia" w:ascii="宋体" w:hAnsi="宋体"/>
                <w:b/>
                <w:bCs/>
              </w:rPr>
              <w:t>科学管理手段及智能化管理方案</w:t>
            </w:r>
            <w:r>
              <w:rPr>
                <w:rFonts w:hint="eastAsia" w:ascii="宋体" w:hAnsi="宋体"/>
              </w:rPr>
              <w:t>：</w:t>
            </w:r>
          </w:p>
          <w:p w14:paraId="03AC1264">
            <w:pPr>
              <w:spacing w:line="273" w:lineRule="auto"/>
              <w:rPr>
                <w:rFonts w:hint="eastAsia" w:ascii="宋体" w:hAnsi="宋体"/>
              </w:rPr>
            </w:pPr>
            <w:r>
              <w:rPr>
                <w:rFonts w:hint="eastAsia" w:ascii="宋体" w:hAnsi="宋体"/>
              </w:rPr>
              <w:t>方案是否具有合理性、可行性、实用性进行评审。</w:t>
            </w:r>
          </w:p>
          <w:p w14:paraId="0E8BC8C0">
            <w:pPr>
              <w:spacing w:line="273" w:lineRule="auto"/>
              <w:rPr>
                <w:rFonts w:hint="eastAsia" w:ascii="宋体" w:hAnsi="宋体"/>
              </w:rPr>
            </w:pPr>
            <w:r>
              <w:rPr>
                <w:rFonts w:hint="eastAsia" w:ascii="宋体" w:hAnsi="宋体"/>
              </w:rPr>
              <w:t>①整体</w:t>
            </w:r>
            <w:r>
              <w:rPr>
                <w:rFonts w:hint="eastAsia" w:ascii="宋体" w:hAnsi="宋体"/>
                <w:b/>
                <w:bCs/>
              </w:rPr>
              <w:t>科学管理手段及智能化管理方案</w:t>
            </w:r>
            <w:r>
              <w:rPr>
                <w:rFonts w:hint="eastAsia" w:ascii="宋体" w:hAnsi="宋体"/>
              </w:rPr>
              <w:t>合理性、可行性、实用的得4-5分；方案内容</w:t>
            </w:r>
            <w:r>
              <w:rPr>
                <w:rFonts w:hint="eastAsia" w:ascii="宋体" w:hAnsi="宋体"/>
                <w:color w:val="000000"/>
              </w:rPr>
              <w:t>基本合理、可行的得</w:t>
            </w:r>
            <w:r>
              <w:rPr>
                <w:rFonts w:hint="eastAsia"/>
                <w:color w:val="000000"/>
              </w:rPr>
              <w:t>2</w:t>
            </w:r>
            <w:r>
              <w:rPr>
                <w:color w:val="000000"/>
              </w:rPr>
              <w:t>-</w:t>
            </w:r>
            <w:r>
              <w:rPr>
                <w:rFonts w:hint="eastAsia"/>
                <w:color w:val="000000"/>
              </w:rPr>
              <w:t>3</w:t>
            </w:r>
            <w:r>
              <w:rPr>
                <w:rFonts w:hint="eastAsia" w:ascii="宋体" w:hAnsi="宋体"/>
                <w:color w:val="000000"/>
              </w:rPr>
              <w:t>分；</w:t>
            </w:r>
            <w:r>
              <w:rPr>
                <w:rFonts w:hint="eastAsia" w:ascii="宋体" w:hAnsi="宋体"/>
                <w:color w:val="000000"/>
                <w:spacing w:val="-2"/>
              </w:rPr>
              <w:t>方案</w:t>
            </w:r>
            <w:r>
              <w:rPr>
                <w:rFonts w:hint="eastAsia" w:ascii="宋体" w:hAnsi="宋体"/>
                <w:color w:val="000000"/>
              </w:rPr>
              <w:t>内容简单，阐述粗略或无阐述、的得0-</w:t>
            </w:r>
            <w:r>
              <w:rPr>
                <w:rFonts w:hint="eastAsia"/>
                <w:color w:val="000000"/>
              </w:rPr>
              <w:t>1</w:t>
            </w:r>
            <w:r>
              <w:rPr>
                <w:rFonts w:hint="eastAsia" w:ascii="宋体" w:hAnsi="宋体"/>
                <w:color w:val="000000"/>
              </w:rPr>
              <w:t>分。</w:t>
            </w:r>
          </w:p>
        </w:tc>
        <w:tc>
          <w:tcPr>
            <w:tcW w:w="533" w:type="dxa"/>
            <w:tcBorders>
              <w:top w:val="single" w:color="000000" w:sz="8" w:space="0"/>
              <w:left w:val="nil"/>
              <w:bottom w:val="single" w:color="000000" w:sz="8" w:space="0"/>
              <w:right w:val="single" w:color="000000" w:sz="8" w:space="0"/>
            </w:tcBorders>
            <w:shd w:val="clear" w:color="auto" w:fill="FFFFFF"/>
            <w:noWrap/>
            <w:vAlign w:val="center"/>
          </w:tcPr>
          <w:p w14:paraId="6F28F317">
            <w:pPr>
              <w:spacing w:line="273" w:lineRule="auto"/>
              <w:jc w:val="center"/>
              <w:rPr>
                <w:rFonts w:hint="eastAsia" w:ascii="宋体" w:hAnsi="宋体"/>
                <w:b/>
                <w:color w:val="000000"/>
              </w:rPr>
            </w:pPr>
            <w:r>
              <w:rPr>
                <w:rFonts w:hint="eastAsia" w:ascii="宋体" w:hAnsi="宋体"/>
                <w:b/>
                <w:color w:val="000000"/>
              </w:rPr>
              <w:t>5</w:t>
            </w:r>
          </w:p>
        </w:tc>
      </w:tr>
      <w:tr w14:paraId="4F576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2" w:hRule="atLeast"/>
        </w:trPr>
        <w:tc>
          <w:tcPr>
            <w:tcW w:w="437" w:type="dxa"/>
            <w:tcBorders>
              <w:top w:val="single" w:color="000000" w:sz="8" w:space="0"/>
              <w:left w:val="single" w:color="000000" w:sz="8" w:space="0"/>
              <w:bottom w:val="single" w:color="auto" w:sz="4" w:space="0"/>
              <w:right w:val="single" w:color="auto" w:sz="4" w:space="0"/>
            </w:tcBorders>
            <w:shd w:val="clear" w:color="auto" w:fill="FFFFFF"/>
            <w:noWrap/>
            <w:vAlign w:val="center"/>
          </w:tcPr>
          <w:p w14:paraId="76BC0E83">
            <w:pPr>
              <w:spacing w:line="273" w:lineRule="auto"/>
              <w:jc w:val="center"/>
              <w:rPr>
                <w:rFonts w:hint="eastAsia" w:ascii="宋体" w:hAnsi="宋体"/>
                <w:b/>
                <w:color w:val="000000"/>
              </w:rPr>
            </w:pPr>
            <w:r>
              <w:rPr>
                <w:rFonts w:hint="eastAsia" w:ascii="宋体" w:hAnsi="宋体"/>
                <w:b/>
                <w:color w:val="000000"/>
              </w:rPr>
              <w:t>4</w:t>
            </w:r>
          </w:p>
        </w:tc>
        <w:tc>
          <w:tcPr>
            <w:tcW w:w="1160" w:type="dxa"/>
            <w:tcBorders>
              <w:top w:val="single" w:color="000000" w:sz="8" w:space="0"/>
              <w:left w:val="nil"/>
              <w:bottom w:val="single" w:color="auto" w:sz="4" w:space="0"/>
              <w:right w:val="single" w:color="000000" w:sz="8" w:space="0"/>
            </w:tcBorders>
            <w:shd w:val="clear" w:color="auto" w:fill="FFFFFF"/>
            <w:noWrap/>
            <w:vAlign w:val="center"/>
          </w:tcPr>
          <w:p w14:paraId="1F778642">
            <w:pPr>
              <w:spacing w:line="273" w:lineRule="auto"/>
              <w:jc w:val="center"/>
              <w:rPr>
                <w:rFonts w:hint="eastAsia" w:ascii="宋体" w:hAnsi="宋体"/>
                <w:b/>
                <w:bCs/>
                <w:color w:val="000000"/>
              </w:rPr>
            </w:pPr>
            <w:r>
              <w:rPr>
                <w:rFonts w:hint="eastAsia" w:ascii="宋体" w:hAnsi="宋体"/>
                <w:b/>
                <w:bCs/>
                <w:color w:val="000000"/>
              </w:rPr>
              <w:t>安全保障</w:t>
            </w:r>
          </w:p>
          <w:p w14:paraId="4E6ADFBF">
            <w:pPr>
              <w:spacing w:line="273" w:lineRule="auto"/>
              <w:jc w:val="center"/>
              <w:rPr>
                <w:rFonts w:hint="eastAsia" w:ascii="宋体" w:hAnsi="宋体"/>
                <w:b/>
                <w:bCs/>
                <w:color w:val="000000"/>
              </w:rPr>
            </w:pPr>
            <w:r>
              <w:rPr>
                <w:rFonts w:hint="eastAsia" w:ascii="宋体" w:hAnsi="宋体"/>
                <w:b/>
                <w:bCs/>
                <w:color w:val="000000"/>
              </w:rPr>
              <w:t>措施</w:t>
            </w:r>
          </w:p>
        </w:tc>
        <w:tc>
          <w:tcPr>
            <w:tcW w:w="7440" w:type="dxa"/>
            <w:tcBorders>
              <w:top w:val="single" w:color="auto" w:sz="4" w:space="0"/>
              <w:left w:val="nil"/>
              <w:bottom w:val="single" w:color="auto" w:sz="4" w:space="0"/>
              <w:right w:val="single" w:color="000000" w:sz="8" w:space="0"/>
            </w:tcBorders>
            <w:shd w:val="clear" w:color="auto" w:fill="FFFFFF"/>
            <w:noWrap/>
            <w:vAlign w:val="center"/>
          </w:tcPr>
          <w:p w14:paraId="542D4510">
            <w:pPr>
              <w:widowControl/>
              <w:spacing w:line="273" w:lineRule="auto"/>
              <w:ind w:firstLine="412" w:firstLineChars="200"/>
              <w:rPr>
                <w:rFonts w:hint="eastAsia" w:ascii="宋体" w:hAnsi="宋体"/>
                <w:color w:val="000000"/>
              </w:rPr>
            </w:pPr>
            <w:r>
              <w:rPr>
                <w:rFonts w:hint="eastAsia" w:ascii="宋体" w:hAnsi="宋体"/>
                <w:color w:val="000000"/>
                <w:spacing w:val="-2"/>
              </w:rPr>
              <w:t>供应商对本项目的安全进行详细分析，做好安全计划、安全措施保障方案，保障校园安全。磋商小组根据安全保障方案的全面、针对性、可行性进行评审，方案</w:t>
            </w:r>
            <w:r>
              <w:rPr>
                <w:rFonts w:hint="eastAsia" w:ascii="宋体" w:hAnsi="宋体"/>
                <w:color w:val="000000"/>
              </w:rPr>
              <w:t>内容详细、条理清晰、前后逻辑一致的得</w:t>
            </w:r>
            <w:r>
              <w:rPr>
                <w:rFonts w:hAnsi="宋体" w:cs="宋体"/>
                <w:color w:val="000000"/>
              </w:rPr>
              <w:t>4</w:t>
            </w:r>
            <w:r>
              <w:rPr>
                <w:color w:val="000000"/>
              </w:rPr>
              <w:t>-</w:t>
            </w:r>
            <w:r>
              <w:rPr>
                <w:rFonts w:hAnsi="宋体" w:cs="宋体"/>
                <w:color w:val="000000"/>
              </w:rPr>
              <w:t>5</w:t>
            </w:r>
            <w:r>
              <w:rPr>
                <w:rFonts w:hint="eastAsia" w:ascii="宋体" w:hAnsi="宋体"/>
                <w:color w:val="000000"/>
              </w:rPr>
              <w:t>分；</w:t>
            </w:r>
            <w:r>
              <w:rPr>
                <w:rFonts w:hint="eastAsia" w:ascii="宋体" w:hAnsi="宋体"/>
                <w:color w:val="000000"/>
                <w:spacing w:val="-2"/>
              </w:rPr>
              <w:t>方案</w:t>
            </w:r>
            <w:r>
              <w:rPr>
                <w:rFonts w:hint="eastAsia" w:ascii="宋体" w:hAnsi="宋体"/>
                <w:color w:val="000000"/>
              </w:rPr>
              <w:t>内容简单、条理尚可、前后逻辑基本一致的得</w:t>
            </w:r>
            <w:r>
              <w:rPr>
                <w:rFonts w:hAnsi="宋体" w:cs="宋体"/>
                <w:color w:val="000000"/>
              </w:rPr>
              <w:t>2</w:t>
            </w:r>
            <w:r>
              <w:rPr>
                <w:color w:val="000000"/>
              </w:rPr>
              <w:t>-</w:t>
            </w:r>
            <w:r>
              <w:rPr>
                <w:rFonts w:hAnsi="宋体" w:cs="宋体"/>
                <w:color w:val="000000"/>
              </w:rPr>
              <w:t>3</w:t>
            </w:r>
            <w:r>
              <w:rPr>
                <w:rFonts w:hint="eastAsia" w:ascii="宋体" w:hAnsi="宋体"/>
                <w:color w:val="000000"/>
              </w:rPr>
              <w:t>分；</w:t>
            </w:r>
            <w:r>
              <w:rPr>
                <w:rFonts w:hint="eastAsia" w:ascii="宋体" w:hAnsi="宋体"/>
                <w:color w:val="000000"/>
                <w:spacing w:val="-2"/>
              </w:rPr>
              <w:t>方案</w:t>
            </w:r>
            <w:r>
              <w:rPr>
                <w:rFonts w:hint="eastAsia" w:ascii="宋体" w:hAnsi="宋体"/>
                <w:color w:val="000000"/>
              </w:rPr>
              <w:t>阐述粗略或无阐述、前后逻辑二处及以上不一致的得0-</w:t>
            </w:r>
            <w:r>
              <w:rPr>
                <w:rFonts w:hAnsi="宋体" w:cs="宋体"/>
                <w:color w:val="000000"/>
              </w:rPr>
              <w:t>1</w:t>
            </w:r>
            <w:r>
              <w:rPr>
                <w:rFonts w:hint="eastAsia" w:ascii="宋体" w:hAnsi="宋体"/>
                <w:color w:val="000000"/>
              </w:rPr>
              <w:t>分。</w:t>
            </w:r>
          </w:p>
        </w:tc>
        <w:tc>
          <w:tcPr>
            <w:tcW w:w="533" w:type="dxa"/>
            <w:tcBorders>
              <w:top w:val="single" w:color="auto" w:sz="4" w:space="0"/>
              <w:left w:val="nil"/>
              <w:bottom w:val="single" w:color="000000" w:sz="8" w:space="0"/>
              <w:right w:val="single" w:color="000000" w:sz="8" w:space="0"/>
            </w:tcBorders>
            <w:shd w:val="clear" w:color="auto" w:fill="FFFFFF"/>
            <w:noWrap/>
            <w:vAlign w:val="center"/>
          </w:tcPr>
          <w:p w14:paraId="7F99BCF1">
            <w:pPr>
              <w:spacing w:line="273" w:lineRule="auto"/>
              <w:jc w:val="center"/>
              <w:rPr>
                <w:rFonts w:hint="eastAsia" w:ascii="宋体" w:hAnsi="宋体"/>
                <w:b/>
                <w:color w:val="000000"/>
              </w:rPr>
            </w:pPr>
            <w:r>
              <w:rPr>
                <w:rFonts w:hint="eastAsia" w:ascii="宋体" w:hAnsi="宋体"/>
                <w:b/>
                <w:color w:val="000000"/>
              </w:rPr>
              <w:t>5</w:t>
            </w:r>
          </w:p>
        </w:tc>
      </w:tr>
      <w:tr w14:paraId="5ADC55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437" w:type="dxa"/>
            <w:vMerge w:val="restart"/>
            <w:tcBorders>
              <w:top w:val="single" w:color="000000" w:sz="8" w:space="0"/>
              <w:left w:val="single" w:color="000000" w:sz="8" w:space="0"/>
              <w:bottom w:val="single" w:color="000000" w:sz="8" w:space="0"/>
              <w:right w:val="single" w:color="auto" w:sz="4" w:space="0"/>
            </w:tcBorders>
            <w:shd w:val="clear" w:color="auto" w:fill="FFFFFF"/>
            <w:noWrap/>
            <w:vAlign w:val="center"/>
          </w:tcPr>
          <w:p w14:paraId="1E8BF03A">
            <w:pPr>
              <w:spacing w:line="273" w:lineRule="auto"/>
              <w:jc w:val="center"/>
              <w:rPr>
                <w:rFonts w:hint="eastAsia" w:ascii="宋体" w:hAnsi="宋体"/>
                <w:b/>
                <w:color w:val="000000"/>
              </w:rPr>
            </w:pPr>
            <w:r>
              <w:rPr>
                <w:rFonts w:hint="eastAsia" w:ascii="宋体" w:hAnsi="宋体"/>
                <w:b/>
                <w:color w:val="000000"/>
              </w:rPr>
              <w:t>5</w:t>
            </w:r>
          </w:p>
        </w:tc>
        <w:tc>
          <w:tcPr>
            <w:tcW w:w="1160" w:type="dxa"/>
            <w:vMerge w:val="restart"/>
            <w:tcBorders>
              <w:top w:val="single" w:color="000000" w:sz="8" w:space="0"/>
              <w:left w:val="nil"/>
              <w:bottom w:val="single" w:color="000000" w:sz="8" w:space="0"/>
              <w:right w:val="single" w:color="000000" w:sz="8" w:space="0"/>
            </w:tcBorders>
            <w:shd w:val="clear" w:color="auto" w:fill="FFFFFF"/>
            <w:noWrap/>
            <w:vAlign w:val="center"/>
          </w:tcPr>
          <w:p w14:paraId="75903AA1">
            <w:pPr>
              <w:spacing w:line="273" w:lineRule="auto"/>
              <w:jc w:val="center"/>
              <w:rPr>
                <w:rFonts w:hint="eastAsia" w:ascii="宋体" w:hAnsi="宋体"/>
                <w:b/>
                <w:bCs/>
                <w:color w:val="000000"/>
                <w:spacing w:val="-2"/>
              </w:rPr>
            </w:pPr>
            <w:r>
              <w:rPr>
                <w:rFonts w:hint="eastAsia" w:ascii="宋体" w:hAnsi="宋体"/>
                <w:b/>
                <w:bCs/>
                <w:color w:val="000000"/>
                <w:spacing w:val="-2"/>
              </w:rPr>
              <w:t>管理框架</w:t>
            </w:r>
          </w:p>
          <w:p w14:paraId="4AB1F667">
            <w:pPr>
              <w:spacing w:line="273" w:lineRule="auto"/>
              <w:jc w:val="center"/>
              <w:rPr>
                <w:rFonts w:hint="eastAsia" w:ascii="宋体" w:hAnsi="宋体"/>
                <w:b/>
                <w:bCs/>
                <w:color w:val="000000"/>
              </w:rPr>
            </w:pPr>
            <w:r>
              <w:rPr>
                <w:rFonts w:hint="eastAsia" w:ascii="宋体" w:hAnsi="宋体"/>
                <w:b/>
                <w:bCs/>
                <w:color w:val="000000"/>
                <w:spacing w:val="-2"/>
              </w:rPr>
              <w:t>及制度</w:t>
            </w:r>
          </w:p>
        </w:tc>
        <w:tc>
          <w:tcPr>
            <w:tcW w:w="7440" w:type="dxa"/>
            <w:tcBorders>
              <w:top w:val="single" w:color="auto" w:sz="4" w:space="0"/>
              <w:left w:val="nil"/>
              <w:bottom w:val="single" w:color="auto" w:sz="4" w:space="0"/>
              <w:right w:val="single" w:color="000000" w:sz="8" w:space="0"/>
            </w:tcBorders>
            <w:shd w:val="clear" w:color="auto" w:fill="FFFFFF"/>
            <w:noWrap/>
            <w:vAlign w:val="center"/>
          </w:tcPr>
          <w:p w14:paraId="21B0B423">
            <w:pPr>
              <w:widowControl/>
              <w:spacing w:line="273" w:lineRule="auto"/>
              <w:ind w:firstLine="412" w:firstLineChars="200"/>
              <w:rPr>
                <w:rFonts w:hint="eastAsia" w:ascii="宋体" w:hAnsi="宋体"/>
                <w:color w:val="000000"/>
                <w:spacing w:val="-2"/>
              </w:rPr>
            </w:pPr>
            <w:r>
              <w:rPr>
                <w:rFonts w:hint="eastAsia" w:ascii="宋体" w:hAnsi="宋体"/>
                <w:color w:val="000000"/>
                <w:spacing w:val="-2"/>
              </w:rPr>
              <w:t>供应商有完善的组织机构，清晰简练的列出主要管理流程，包括对运作流程图、激励机制、监督机制等，磋商小组根据其管理方案的明确性，制度的严谨以及保障措施是否到位进行评审，制度及保障措施严谨、明确</w:t>
            </w:r>
            <w:r>
              <w:rPr>
                <w:rFonts w:hint="eastAsia" w:ascii="宋体" w:hAnsi="宋体"/>
                <w:color w:val="000000"/>
              </w:rPr>
              <w:t>的得</w:t>
            </w:r>
            <w:r>
              <w:rPr>
                <w:rFonts w:hint="eastAsia"/>
                <w:color w:val="000000"/>
              </w:rPr>
              <w:t>4</w:t>
            </w:r>
            <w:r>
              <w:rPr>
                <w:color w:val="000000"/>
              </w:rPr>
              <w:t>-</w:t>
            </w:r>
            <w:r>
              <w:rPr>
                <w:rFonts w:hint="eastAsia"/>
                <w:color w:val="000000"/>
              </w:rPr>
              <w:t>5</w:t>
            </w:r>
            <w:r>
              <w:rPr>
                <w:rFonts w:hint="eastAsia" w:ascii="宋体" w:hAnsi="宋体"/>
                <w:color w:val="000000"/>
              </w:rPr>
              <w:t>分；制度</w:t>
            </w:r>
            <w:r>
              <w:rPr>
                <w:rFonts w:hint="eastAsia" w:ascii="宋体" w:hAnsi="宋体"/>
                <w:color w:val="000000"/>
                <w:spacing w:val="-2"/>
              </w:rPr>
              <w:t>及保障措施</w:t>
            </w:r>
            <w:r>
              <w:rPr>
                <w:rFonts w:hint="eastAsia" w:ascii="宋体" w:hAnsi="宋体"/>
                <w:color w:val="000000"/>
              </w:rPr>
              <w:t>基本合理、严谨的得</w:t>
            </w:r>
            <w:r>
              <w:rPr>
                <w:rFonts w:hint="eastAsia"/>
                <w:color w:val="000000"/>
              </w:rPr>
              <w:t>2</w:t>
            </w:r>
            <w:r>
              <w:rPr>
                <w:color w:val="000000"/>
              </w:rPr>
              <w:t>-</w:t>
            </w:r>
            <w:r>
              <w:rPr>
                <w:rFonts w:hint="eastAsia"/>
                <w:color w:val="000000"/>
              </w:rPr>
              <w:t>3</w:t>
            </w:r>
            <w:r>
              <w:rPr>
                <w:rFonts w:hint="eastAsia" w:ascii="宋体" w:hAnsi="宋体"/>
                <w:color w:val="000000"/>
              </w:rPr>
              <w:t>分；内容简单、措施不够完善的得0-</w:t>
            </w:r>
            <w:r>
              <w:rPr>
                <w:rFonts w:hint="eastAsia"/>
                <w:color w:val="000000"/>
              </w:rPr>
              <w:t>1</w:t>
            </w:r>
            <w:r>
              <w:rPr>
                <w:rFonts w:hint="eastAsia" w:ascii="宋体" w:hAnsi="宋体"/>
                <w:color w:val="000000"/>
              </w:rPr>
              <w:t>分。</w:t>
            </w:r>
          </w:p>
        </w:tc>
        <w:tc>
          <w:tcPr>
            <w:tcW w:w="533" w:type="dxa"/>
            <w:tcBorders>
              <w:top w:val="single" w:color="auto" w:sz="4" w:space="0"/>
              <w:left w:val="nil"/>
              <w:bottom w:val="single" w:color="000000" w:sz="8" w:space="0"/>
              <w:right w:val="single" w:color="000000" w:sz="8" w:space="0"/>
            </w:tcBorders>
            <w:shd w:val="clear" w:color="auto" w:fill="FFFFFF"/>
            <w:noWrap/>
            <w:vAlign w:val="center"/>
          </w:tcPr>
          <w:p w14:paraId="64B93426">
            <w:pPr>
              <w:spacing w:line="273" w:lineRule="auto"/>
              <w:jc w:val="center"/>
              <w:rPr>
                <w:rFonts w:hint="eastAsia" w:ascii="宋体" w:hAnsi="宋体"/>
                <w:b/>
                <w:color w:val="000000"/>
              </w:rPr>
            </w:pPr>
            <w:r>
              <w:rPr>
                <w:rFonts w:hint="eastAsia" w:ascii="宋体" w:hAnsi="宋体"/>
                <w:b/>
                <w:color w:val="000000"/>
              </w:rPr>
              <w:t>5</w:t>
            </w:r>
          </w:p>
        </w:tc>
      </w:tr>
      <w:tr w14:paraId="6E0369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9570" w:type="dxa"/>
            <w:vMerge w:val="continue"/>
            <w:tcBorders>
              <w:top w:val="single" w:color="000000" w:sz="8" w:space="0"/>
              <w:left w:val="single" w:color="000000" w:sz="8" w:space="0"/>
              <w:bottom w:val="single" w:color="000000" w:sz="8" w:space="0"/>
              <w:right w:val="single" w:color="auto" w:sz="4" w:space="0"/>
            </w:tcBorders>
            <w:vAlign w:val="center"/>
          </w:tcPr>
          <w:p w14:paraId="24EBE230">
            <w:pPr>
              <w:widowControl/>
              <w:jc w:val="left"/>
              <w:rPr>
                <w:rFonts w:ascii="宋体" w:hAnsi="宋体"/>
                <w:b/>
                <w:color w:val="000000"/>
                <w:szCs w:val="21"/>
              </w:rPr>
            </w:pPr>
          </w:p>
        </w:tc>
        <w:tc>
          <w:tcPr>
            <w:tcW w:w="1160" w:type="dxa"/>
            <w:vMerge w:val="continue"/>
            <w:tcBorders>
              <w:top w:val="single" w:color="000000" w:sz="8" w:space="0"/>
              <w:left w:val="nil"/>
              <w:bottom w:val="single" w:color="000000" w:sz="8" w:space="0"/>
              <w:right w:val="single" w:color="000000" w:sz="8" w:space="0"/>
            </w:tcBorders>
            <w:vAlign w:val="center"/>
          </w:tcPr>
          <w:p w14:paraId="0602F121">
            <w:pPr>
              <w:widowControl/>
              <w:jc w:val="left"/>
              <w:rPr>
                <w:rFonts w:ascii="宋体" w:hAnsi="宋体"/>
                <w:b/>
                <w:bCs/>
                <w:color w:val="000000"/>
                <w:szCs w:val="21"/>
              </w:rPr>
            </w:pPr>
          </w:p>
        </w:tc>
        <w:tc>
          <w:tcPr>
            <w:tcW w:w="7440" w:type="dxa"/>
            <w:tcBorders>
              <w:top w:val="single" w:color="auto" w:sz="4" w:space="0"/>
              <w:left w:val="nil"/>
              <w:bottom w:val="single" w:color="auto" w:sz="4" w:space="0"/>
              <w:right w:val="single" w:color="000000" w:sz="8" w:space="0"/>
            </w:tcBorders>
            <w:shd w:val="clear" w:color="auto" w:fill="FFFFFF"/>
            <w:noWrap/>
            <w:vAlign w:val="center"/>
          </w:tcPr>
          <w:p w14:paraId="14780FB3">
            <w:pPr>
              <w:widowControl/>
              <w:spacing w:line="273" w:lineRule="auto"/>
              <w:ind w:firstLine="420" w:firstLineChars="200"/>
              <w:rPr>
                <w:rFonts w:hint="eastAsia" w:ascii="宋体" w:hAnsi="宋体"/>
                <w:color w:val="000000"/>
                <w:spacing w:val="-2"/>
              </w:rPr>
            </w:pPr>
            <w:r>
              <w:rPr>
                <w:rFonts w:hint="eastAsia" w:ascii="宋体" w:hAnsi="宋体"/>
                <w:bCs/>
                <w:color w:val="000000"/>
              </w:rPr>
              <w:t>评委根据投标人提供一套合理、全面的</w:t>
            </w:r>
            <w:r>
              <w:rPr>
                <w:rFonts w:hint="eastAsia" w:ascii="宋体" w:hAnsi="宋体" w:cs="仿宋_GB2312"/>
              </w:rPr>
              <w:t>人员、设施、设备管理服务、行政文件资料、信息等档案进行综合评审，</w:t>
            </w:r>
            <w:r>
              <w:rPr>
                <w:rFonts w:hint="eastAsia" w:ascii="宋体" w:hAnsi="宋体"/>
                <w:color w:val="000000"/>
                <w:spacing w:val="-2"/>
              </w:rPr>
              <w:t>制度及保障措施严谨、明确</w:t>
            </w:r>
            <w:r>
              <w:rPr>
                <w:rFonts w:hint="eastAsia" w:ascii="宋体" w:hAnsi="宋体"/>
                <w:color w:val="000000"/>
              </w:rPr>
              <w:t>的得</w:t>
            </w:r>
            <w:r>
              <w:rPr>
                <w:rFonts w:hint="eastAsia"/>
                <w:color w:val="000000"/>
              </w:rPr>
              <w:t>4</w:t>
            </w:r>
            <w:r>
              <w:rPr>
                <w:color w:val="000000"/>
              </w:rPr>
              <w:t>-</w:t>
            </w:r>
            <w:r>
              <w:rPr>
                <w:rFonts w:hint="eastAsia"/>
                <w:color w:val="000000"/>
              </w:rPr>
              <w:t>5</w:t>
            </w:r>
            <w:r>
              <w:rPr>
                <w:rFonts w:hint="eastAsia" w:ascii="宋体" w:hAnsi="宋体"/>
                <w:color w:val="000000"/>
              </w:rPr>
              <w:t>分；制度</w:t>
            </w:r>
            <w:r>
              <w:rPr>
                <w:rFonts w:hint="eastAsia" w:ascii="宋体" w:hAnsi="宋体"/>
                <w:color w:val="000000"/>
                <w:spacing w:val="-2"/>
              </w:rPr>
              <w:t>及保障措施</w:t>
            </w:r>
            <w:r>
              <w:rPr>
                <w:rFonts w:hint="eastAsia" w:ascii="宋体" w:hAnsi="宋体"/>
                <w:color w:val="000000"/>
              </w:rPr>
              <w:t>基本合理、严谨的得</w:t>
            </w:r>
            <w:r>
              <w:rPr>
                <w:rFonts w:hint="eastAsia"/>
                <w:color w:val="000000"/>
              </w:rPr>
              <w:t>2</w:t>
            </w:r>
            <w:r>
              <w:rPr>
                <w:color w:val="000000"/>
              </w:rPr>
              <w:t>-</w:t>
            </w:r>
            <w:r>
              <w:rPr>
                <w:rFonts w:hint="eastAsia"/>
                <w:color w:val="000000"/>
              </w:rPr>
              <w:t>3</w:t>
            </w:r>
            <w:r>
              <w:rPr>
                <w:rFonts w:hint="eastAsia" w:ascii="宋体" w:hAnsi="宋体"/>
                <w:color w:val="000000"/>
              </w:rPr>
              <w:t>分；内容简单、措施不够完善的得0-</w:t>
            </w:r>
            <w:r>
              <w:rPr>
                <w:rFonts w:hint="eastAsia"/>
                <w:color w:val="000000"/>
              </w:rPr>
              <w:t>1</w:t>
            </w:r>
            <w:r>
              <w:rPr>
                <w:rFonts w:hint="eastAsia" w:ascii="宋体" w:hAnsi="宋体"/>
                <w:color w:val="000000"/>
              </w:rPr>
              <w:t>分。</w:t>
            </w:r>
          </w:p>
        </w:tc>
        <w:tc>
          <w:tcPr>
            <w:tcW w:w="533" w:type="dxa"/>
            <w:tcBorders>
              <w:top w:val="single" w:color="auto" w:sz="4" w:space="0"/>
              <w:left w:val="nil"/>
              <w:bottom w:val="single" w:color="000000" w:sz="8" w:space="0"/>
              <w:right w:val="single" w:color="000000" w:sz="8" w:space="0"/>
            </w:tcBorders>
            <w:shd w:val="clear" w:color="auto" w:fill="FFFFFF"/>
            <w:noWrap/>
            <w:vAlign w:val="center"/>
          </w:tcPr>
          <w:p w14:paraId="3A37666F">
            <w:pPr>
              <w:spacing w:line="273" w:lineRule="auto"/>
              <w:jc w:val="center"/>
              <w:rPr>
                <w:rFonts w:hint="eastAsia" w:ascii="宋体" w:hAnsi="宋体"/>
                <w:b/>
                <w:color w:val="000000"/>
              </w:rPr>
            </w:pPr>
            <w:r>
              <w:rPr>
                <w:rFonts w:hint="eastAsia" w:ascii="宋体" w:hAnsi="宋体"/>
                <w:b/>
                <w:color w:val="000000"/>
              </w:rPr>
              <w:t>5</w:t>
            </w:r>
          </w:p>
        </w:tc>
      </w:tr>
      <w:tr w14:paraId="64F206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6" w:hRule="atLeast"/>
        </w:trPr>
        <w:tc>
          <w:tcPr>
            <w:tcW w:w="437" w:type="dxa"/>
            <w:vMerge w:val="restart"/>
            <w:tcBorders>
              <w:top w:val="single" w:color="000000" w:sz="8" w:space="0"/>
              <w:left w:val="single" w:color="000000" w:sz="8" w:space="0"/>
              <w:bottom w:val="single" w:color="000000" w:sz="8" w:space="0"/>
              <w:right w:val="single" w:color="auto" w:sz="4" w:space="0"/>
            </w:tcBorders>
            <w:shd w:val="clear" w:color="auto" w:fill="FFFFFF"/>
            <w:noWrap/>
            <w:vAlign w:val="center"/>
          </w:tcPr>
          <w:p w14:paraId="31313AD2">
            <w:pPr>
              <w:spacing w:line="273" w:lineRule="auto"/>
              <w:jc w:val="center"/>
              <w:rPr>
                <w:rFonts w:hint="eastAsia" w:ascii="宋体" w:hAnsi="宋体"/>
                <w:b/>
                <w:color w:val="000000"/>
              </w:rPr>
            </w:pPr>
            <w:r>
              <w:rPr>
                <w:rFonts w:hint="eastAsia" w:ascii="宋体" w:hAnsi="宋体"/>
                <w:b/>
                <w:color w:val="000000"/>
              </w:rPr>
              <w:t>6</w:t>
            </w:r>
          </w:p>
        </w:tc>
        <w:tc>
          <w:tcPr>
            <w:tcW w:w="1160" w:type="dxa"/>
            <w:vMerge w:val="restart"/>
            <w:tcBorders>
              <w:top w:val="single" w:color="000000" w:sz="8" w:space="0"/>
              <w:left w:val="nil"/>
              <w:bottom w:val="single" w:color="000000" w:sz="8" w:space="0"/>
              <w:right w:val="single" w:color="000000" w:sz="8" w:space="0"/>
            </w:tcBorders>
            <w:shd w:val="clear" w:color="auto" w:fill="FFFFFF"/>
            <w:noWrap/>
            <w:vAlign w:val="center"/>
          </w:tcPr>
          <w:p w14:paraId="059698B2">
            <w:pPr>
              <w:spacing w:line="273" w:lineRule="auto"/>
              <w:jc w:val="center"/>
              <w:rPr>
                <w:rFonts w:hint="eastAsia" w:ascii="宋体" w:hAnsi="宋体"/>
                <w:b/>
                <w:bCs/>
                <w:color w:val="000000"/>
              </w:rPr>
            </w:pPr>
            <w:r>
              <w:rPr>
                <w:rFonts w:hint="eastAsia" w:ascii="宋体" w:hAnsi="宋体"/>
                <w:b/>
                <w:bCs/>
                <w:color w:val="000000"/>
              </w:rPr>
              <w:t>人员配备</w:t>
            </w:r>
          </w:p>
        </w:tc>
        <w:tc>
          <w:tcPr>
            <w:tcW w:w="7440" w:type="dxa"/>
            <w:tcBorders>
              <w:top w:val="single" w:color="auto" w:sz="4" w:space="0"/>
              <w:left w:val="nil"/>
              <w:bottom w:val="single" w:color="auto" w:sz="4" w:space="0"/>
              <w:right w:val="single" w:color="000000" w:sz="8" w:space="0"/>
            </w:tcBorders>
            <w:shd w:val="clear" w:color="auto" w:fill="FFFFFF"/>
            <w:noWrap/>
            <w:vAlign w:val="center"/>
          </w:tcPr>
          <w:p w14:paraId="32FBBC6B">
            <w:pPr>
              <w:widowControl/>
              <w:spacing w:line="273" w:lineRule="auto"/>
              <w:ind w:firstLine="420" w:firstLineChars="200"/>
              <w:rPr>
                <w:rFonts w:hint="eastAsia" w:ascii="宋体" w:hAnsi="宋体"/>
                <w:color w:val="000000"/>
              </w:rPr>
            </w:pPr>
            <w:r>
              <w:rPr>
                <w:rFonts w:hint="eastAsia" w:ascii="宋体" w:hAnsi="宋体"/>
                <w:color w:val="000000"/>
              </w:rPr>
              <w:t>项目负责人：具有三级/高级技能及以上的保安员职业资格证书的得2分。</w:t>
            </w:r>
          </w:p>
          <w:p w14:paraId="14D03585">
            <w:pPr>
              <w:spacing w:line="273" w:lineRule="auto"/>
              <w:ind w:firstLine="420" w:firstLineChars="200"/>
              <w:rPr>
                <w:rFonts w:hint="eastAsia" w:ascii="宋体" w:hAnsi="宋体"/>
                <w:color w:val="000000"/>
              </w:rPr>
            </w:pPr>
            <w:r>
              <w:rPr>
                <w:rFonts w:hint="eastAsia" w:ascii="宋体" w:hAnsi="宋体"/>
                <w:color w:val="000000"/>
              </w:rPr>
              <w:t>拟派项目组其他人员（除项目负责人外）：具有保安员职业资格证书，每提供一人可得0.3分，最高得</w:t>
            </w:r>
            <w:r>
              <w:rPr>
                <w:rFonts w:ascii="宋体" w:hAnsi="宋体" w:cs="宋体"/>
                <w:color w:val="000000"/>
              </w:rPr>
              <w:t>3</w:t>
            </w:r>
            <w:r>
              <w:rPr>
                <w:rFonts w:hint="eastAsia" w:ascii="宋体" w:hAnsi="宋体"/>
                <w:color w:val="000000"/>
              </w:rPr>
              <w:t>分</w:t>
            </w:r>
            <w:r>
              <w:rPr>
                <w:rFonts w:hint="eastAsia" w:ascii="宋体" w:hAnsi="宋体"/>
                <w:b/>
                <w:bCs/>
                <w:color w:val="000000"/>
              </w:rPr>
              <w:t>。</w:t>
            </w:r>
          </w:p>
          <w:p w14:paraId="26F9B29D">
            <w:pPr>
              <w:widowControl/>
              <w:spacing w:line="273" w:lineRule="auto"/>
              <w:ind w:firstLine="422" w:firstLineChars="200"/>
              <w:rPr>
                <w:rFonts w:hint="eastAsia" w:ascii="宋体" w:hAnsi="宋体"/>
                <w:color w:val="000000"/>
                <w:spacing w:val="-2"/>
              </w:rPr>
            </w:pPr>
            <w:r>
              <w:rPr>
                <w:rFonts w:hint="eastAsia" w:ascii="宋体" w:hAnsi="宋体"/>
                <w:b/>
                <w:bCs/>
                <w:color w:val="000000"/>
              </w:rPr>
              <w:t>响应文件内须提供人员职业资格证书扫描件，否则不得分。</w:t>
            </w:r>
          </w:p>
        </w:tc>
        <w:tc>
          <w:tcPr>
            <w:tcW w:w="533" w:type="dxa"/>
            <w:tcBorders>
              <w:top w:val="single" w:color="auto" w:sz="4" w:space="0"/>
              <w:left w:val="nil"/>
              <w:bottom w:val="single" w:color="000000" w:sz="8" w:space="0"/>
              <w:right w:val="single" w:color="000000" w:sz="8" w:space="0"/>
            </w:tcBorders>
            <w:shd w:val="clear" w:color="auto" w:fill="FFFFFF"/>
            <w:noWrap/>
            <w:vAlign w:val="center"/>
          </w:tcPr>
          <w:p w14:paraId="531E8858">
            <w:pPr>
              <w:spacing w:line="273" w:lineRule="auto"/>
              <w:jc w:val="center"/>
              <w:rPr>
                <w:rFonts w:hint="eastAsia" w:ascii="宋体" w:hAnsi="宋体"/>
                <w:b/>
                <w:color w:val="000000"/>
              </w:rPr>
            </w:pPr>
            <w:r>
              <w:rPr>
                <w:rFonts w:hint="eastAsia" w:ascii="宋体" w:hAnsi="宋体"/>
                <w:b/>
                <w:color w:val="000000"/>
              </w:rPr>
              <w:t>5</w:t>
            </w:r>
          </w:p>
        </w:tc>
      </w:tr>
      <w:tr w14:paraId="3B0E40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1" w:hRule="atLeast"/>
        </w:trPr>
        <w:tc>
          <w:tcPr>
            <w:tcW w:w="9570" w:type="dxa"/>
            <w:vMerge w:val="continue"/>
            <w:tcBorders>
              <w:top w:val="single" w:color="000000" w:sz="8" w:space="0"/>
              <w:left w:val="single" w:color="000000" w:sz="8" w:space="0"/>
              <w:bottom w:val="single" w:color="000000" w:sz="8" w:space="0"/>
              <w:right w:val="single" w:color="auto" w:sz="4" w:space="0"/>
            </w:tcBorders>
            <w:vAlign w:val="center"/>
          </w:tcPr>
          <w:p w14:paraId="2E578F31">
            <w:pPr>
              <w:widowControl/>
              <w:jc w:val="left"/>
              <w:rPr>
                <w:rFonts w:ascii="宋体" w:hAnsi="宋体"/>
                <w:b/>
                <w:color w:val="000000"/>
                <w:szCs w:val="21"/>
              </w:rPr>
            </w:pPr>
          </w:p>
        </w:tc>
        <w:tc>
          <w:tcPr>
            <w:tcW w:w="1160" w:type="dxa"/>
            <w:vMerge w:val="continue"/>
            <w:tcBorders>
              <w:top w:val="single" w:color="000000" w:sz="8" w:space="0"/>
              <w:left w:val="nil"/>
              <w:bottom w:val="single" w:color="000000" w:sz="8" w:space="0"/>
              <w:right w:val="single" w:color="000000" w:sz="8" w:space="0"/>
            </w:tcBorders>
            <w:vAlign w:val="center"/>
          </w:tcPr>
          <w:p w14:paraId="76811AD9">
            <w:pPr>
              <w:widowControl/>
              <w:jc w:val="left"/>
              <w:rPr>
                <w:rFonts w:ascii="宋体" w:hAnsi="宋体"/>
                <w:b/>
                <w:bCs/>
                <w:color w:val="000000"/>
                <w:szCs w:val="21"/>
              </w:rPr>
            </w:pPr>
          </w:p>
        </w:tc>
        <w:tc>
          <w:tcPr>
            <w:tcW w:w="7440" w:type="dxa"/>
            <w:tcBorders>
              <w:top w:val="single" w:color="auto" w:sz="4" w:space="0"/>
              <w:left w:val="nil"/>
              <w:bottom w:val="single" w:color="auto" w:sz="4" w:space="0"/>
              <w:right w:val="single" w:color="000000" w:sz="8" w:space="0"/>
            </w:tcBorders>
            <w:shd w:val="clear" w:color="auto" w:fill="FFFFFF"/>
            <w:noWrap/>
          </w:tcPr>
          <w:p w14:paraId="5D6A078F">
            <w:pPr>
              <w:snapToGrid w:val="0"/>
              <w:spacing w:line="273" w:lineRule="auto"/>
              <w:ind w:firstLine="412" w:firstLineChars="200"/>
              <w:rPr>
                <w:rFonts w:hint="eastAsia" w:ascii="宋体" w:hAnsi="宋体"/>
                <w:color w:val="000000"/>
              </w:rPr>
            </w:pPr>
            <w:r>
              <w:rPr>
                <w:rFonts w:hint="eastAsia" w:ascii="宋体" w:hAnsi="宋体"/>
                <w:color w:val="000000"/>
                <w:spacing w:val="-2"/>
              </w:rPr>
              <w:t>磋商小组根据供应商整体人员配备方案（包括人员素质、年龄、专业，以及人员安排）明确性、针对性、计划安排的科学合理可行性等因素进行评审。方案</w:t>
            </w:r>
            <w:r>
              <w:rPr>
                <w:rFonts w:hint="eastAsia" w:ascii="宋体" w:hAnsi="宋体"/>
                <w:color w:val="000000"/>
              </w:rPr>
              <w:t>内容详细、条理清晰、前后逻辑一致的得</w:t>
            </w:r>
            <w:r>
              <w:rPr>
                <w:rFonts w:hint="eastAsia"/>
                <w:color w:val="000000"/>
              </w:rPr>
              <w:t>3</w:t>
            </w:r>
            <w:r>
              <w:rPr>
                <w:color w:val="000000"/>
              </w:rPr>
              <w:t>-</w:t>
            </w:r>
            <w:r>
              <w:rPr>
                <w:rFonts w:hint="eastAsia"/>
                <w:color w:val="000000"/>
              </w:rPr>
              <w:t>4</w:t>
            </w:r>
            <w:r>
              <w:rPr>
                <w:rFonts w:hint="eastAsia" w:ascii="宋体" w:hAnsi="宋体"/>
                <w:color w:val="000000"/>
              </w:rPr>
              <w:t>分；</w:t>
            </w:r>
            <w:r>
              <w:rPr>
                <w:rFonts w:hint="eastAsia" w:ascii="宋体" w:hAnsi="宋体"/>
                <w:color w:val="000000"/>
                <w:spacing w:val="-2"/>
              </w:rPr>
              <w:t>方案</w:t>
            </w:r>
            <w:r>
              <w:rPr>
                <w:rFonts w:hint="eastAsia" w:ascii="宋体" w:hAnsi="宋体"/>
                <w:color w:val="000000"/>
              </w:rPr>
              <w:t>内容简单、条理尚可、前后逻辑基本一致的得</w:t>
            </w:r>
            <w:r>
              <w:rPr>
                <w:rFonts w:hint="eastAsia"/>
                <w:color w:val="000000"/>
              </w:rPr>
              <w:t>1</w:t>
            </w:r>
            <w:r>
              <w:rPr>
                <w:color w:val="000000"/>
              </w:rPr>
              <w:t>-</w:t>
            </w:r>
            <w:r>
              <w:rPr>
                <w:rFonts w:hint="eastAsia"/>
                <w:color w:val="000000"/>
              </w:rPr>
              <w:t>2</w:t>
            </w:r>
            <w:r>
              <w:rPr>
                <w:rFonts w:hint="eastAsia" w:ascii="宋体" w:hAnsi="宋体"/>
                <w:color w:val="000000"/>
              </w:rPr>
              <w:t>分；</w:t>
            </w:r>
            <w:r>
              <w:rPr>
                <w:rFonts w:hint="eastAsia" w:ascii="宋体" w:hAnsi="宋体"/>
                <w:color w:val="000000"/>
                <w:spacing w:val="-2"/>
              </w:rPr>
              <w:t>方案</w:t>
            </w:r>
            <w:r>
              <w:rPr>
                <w:rFonts w:hint="eastAsia" w:ascii="宋体" w:hAnsi="宋体"/>
                <w:color w:val="000000"/>
              </w:rPr>
              <w:t>阐述粗略或无阐述、前后逻辑二处及以上不一致的不得分。</w:t>
            </w:r>
          </w:p>
        </w:tc>
        <w:tc>
          <w:tcPr>
            <w:tcW w:w="533" w:type="dxa"/>
            <w:tcBorders>
              <w:top w:val="single" w:color="auto" w:sz="4" w:space="0"/>
              <w:left w:val="nil"/>
              <w:bottom w:val="single" w:color="000000" w:sz="8" w:space="0"/>
              <w:right w:val="single" w:color="000000" w:sz="8" w:space="0"/>
            </w:tcBorders>
            <w:shd w:val="clear" w:color="auto" w:fill="FFFFFF"/>
            <w:noWrap/>
            <w:vAlign w:val="center"/>
          </w:tcPr>
          <w:p w14:paraId="0554C430">
            <w:pPr>
              <w:spacing w:line="273" w:lineRule="auto"/>
              <w:jc w:val="center"/>
              <w:rPr>
                <w:rFonts w:hint="eastAsia" w:ascii="宋体" w:hAnsi="宋体"/>
                <w:b/>
                <w:color w:val="000000"/>
              </w:rPr>
            </w:pPr>
            <w:r>
              <w:rPr>
                <w:rFonts w:hint="eastAsia" w:ascii="宋体" w:hAnsi="宋体"/>
                <w:b/>
                <w:color w:val="000000"/>
              </w:rPr>
              <w:t>4</w:t>
            </w:r>
          </w:p>
        </w:tc>
      </w:tr>
      <w:tr w14:paraId="289144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1" w:hRule="atLeast"/>
        </w:trPr>
        <w:tc>
          <w:tcPr>
            <w:tcW w:w="9570" w:type="dxa"/>
            <w:vMerge w:val="continue"/>
            <w:tcBorders>
              <w:top w:val="single" w:color="000000" w:sz="8" w:space="0"/>
              <w:left w:val="single" w:color="000000" w:sz="8" w:space="0"/>
              <w:bottom w:val="single" w:color="000000" w:sz="8" w:space="0"/>
              <w:right w:val="single" w:color="auto" w:sz="4" w:space="0"/>
            </w:tcBorders>
            <w:vAlign w:val="center"/>
          </w:tcPr>
          <w:p w14:paraId="272481D5">
            <w:pPr>
              <w:widowControl/>
              <w:jc w:val="left"/>
              <w:rPr>
                <w:rFonts w:ascii="宋体" w:hAnsi="宋体"/>
                <w:b/>
                <w:color w:val="000000"/>
                <w:szCs w:val="21"/>
              </w:rPr>
            </w:pPr>
          </w:p>
        </w:tc>
        <w:tc>
          <w:tcPr>
            <w:tcW w:w="1160" w:type="dxa"/>
            <w:vMerge w:val="continue"/>
            <w:tcBorders>
              <w:top w:val="single" w:color="000000" w:sz="8" w:space="0"/>
              <w:left w:val="nil"/>
              <w:bottom w:val="single" w:color="000000" w:sz="8" w:space="0"/>
              <w:right w:val="single" w:color="000000" w:sz="8" w:space="0"/>
            </w:tcBorders>
            <w:vAlign w:val="center"/>
          </w:tcPr>
          <w:p w14:paraId="78821200">
            <w:pPr>
              <w:widowControl/>
              <w:jc w:val="left"/>
              <w:rPr>
                <w:rFonts w:ascii="宋体" w:hAnsi="宋体"/>
                <w:b/>
                <w:bCs/>
                <w:color w:val="000000"/>
                <w:szCs w:val="21"/>
              </w:rPr>
            </w:pPr>
          </w:p>
        </w:tc>
        <w:tc>
          <w:tcPr>
            <w:tcW w:w="7440" w:type="dxa"/>
            <w:tcBorders>
              <w:top w:val="single" w:color="auto" w:sz="4" w:space="0"/>
              <w:left w:val="nil"/>
              <w:bottom w:val="single" w:color="auto" w:sz="4" w:space="0"/>
              <w:right w:val="single" w:color="000000" w:sz="8" w:space="0"/>
            </w:tcBorders>
            <w:shd w:val="clear" w:color="auto" w:fill="FFFFFF"/>
            <w:noWrap/>
          </w:tcPr>
          <w:p w14:paraId="1E95E00A">
            <w:pPr>
              <w:spacing w:line="273" w:lineRule="auto"/>
              <w:rPr>
                <w:rFonts w:hint="eastAsia" w:ascii="宋体" w:hAnsi="宋体"/>
              </w:rPr>
            </w:pPr>
            <w:r>
              <w:rPr>
                <w:rFonts w:hint="eastAsia" w:ascii="宋体" w:hAnsi="宋体"/>
              </w:rPr>
              <w:t>根据供应商针对本项目的人员组织是否到位、人员调度的便捷性，</w:t>
            </w:r>
            <w:r>
              <w:rPr>
                <w:rFonts w:hint="eastAsia" w:ascii="宋体" w:hAnsi="宋体"/>
                <w:kern w:val="0"/>
              </w:rPr>
              <w:t>是否具有安保工作经历和经验等，</w:t>
            </w:r>
            <w:r>
              <w:rPr>
                <w:rFonts w:hint="eastAsia" w:ascii="宋体" w:hAnsi="宋体"/>
              </w:rPr>
              <w:t>由评委在分值范围内打分。</w:t>
            </w:r>
          </w:p>
          <w:p w14:paraId="6CB0A985">
            <w:pPr>
              <w:spacing w:line="273" w:lineRule="auto"/>
              <w:rPr>
                <w:rFonts w:hint="eastAsia" w:ascii="宋体" w:hAnsi="宋体"/>
              </w:rPr>
            </w:pPr>
            <w:r>
              <w:rPr>
                <w:rFonts w:hint="eastAsia" w:ascii="宋体" w:hAnsi="宋体"/>
              </w:rPr>
              <w:t>①人员组织是否到位，最高得1分；</w:t>
            </w:r>
          </w:p>
          <w:p w14:paraId="284B8307">
            <w:pPr>
              <w:spacing w:line="273" w:lineRule="auto"/>
              <w:rPr>
                <w:rFonts w:hint="eastAsia" w:ascii="宋体" w:hAnsi="宋体"/>
              </w:rPr>
            </w:pPr>
            <w:r>
              <w:rPr>
                <w:rFonts w:hint="eastAsia" w:ascii="宋体" w:hAnsi="宋体"/>
              </w:rPr>
              <w:t>②人员调度的便捷性，最高得1分；</w:t>
            </w:r>
          </w:p>
          <w:p w14:paraId="548D8450">
            <w:pPr>
              <w:spacing w:line="273" w:lineRule="auto"/>
              <w:rPr>
                <w:rFonts w:hint="eastAsia" w:ascii="宋体" w:hAnsi="宋体"/>
              </w:rPr>
            </w:pPr>
            <w:r>
              <w:rPr>
                <w:rFonts w:hint="eastAsia" w:ascii="宋体" w:hAnsi="宋体"/>
              </w:rPr>
              <w:t>③</w:t>
            </w:r>
            <w:r>
              <w:rPr>
                <w:rFonts w:hint="eastAsia" w:ascii="宋体" w:hAnsi="宋体"/>
                <w:kern w:val="0"/>
              </w:rPr>
              <w:t>是否具有安保工作经历和经验</w:t>
            </w:r>
            <w:r>
              <w:rPr>
                <w:rFonts w:hint="eastAsia" w:ascii="宋体" w:hAnsi="宋体"/>
              </w:rPr>
              <w:t>，最高得1分；</w:t>
            </w:r>
          </w:p>
          <w:p w14:paraId="762F7541">
            <w:pPr>
              <w:spacing w:line="273" w:lineRule="auto"/>
              <w:rPr>
                <w:rFonts w:hint="eastAsia" w:ascii="宋体" w:hAnsi="宋体"/>
              </w:rPr>
            </w:pPr>
            <w:r>
              <w:rPr>
                <w:rFonts w:hint="eastAsia" w:ascii="宋体" w:hAnsi="宋体"/>
              </w:rPr>
              <w:t>描述细致且完全满足本项目需求的得3分；每有一项缺失或内容与本项目无关的该项不得分；每有一处内容无法满足本项目需求或有缺陷的扣0.5分，多处不满足累计扣分。</w:t>
            </w:r>
          </w:p>
        </w:tc>
        <w:tc>
          <w:tcPr>
            <w:tcW w:w="533" w:type="dxa"/>
            <w:tcBorders>
              <w:top w:val="single" w:color="auto" w:sz="4" w:space="0"/>
              <w:left w:val="nil"/>
              <w:bottom w:val="single" w:color="000000" w:sz="8" w:space="0"/>
              <w:right w:val="single" w:color="000000" w:sz="8" w:space="0"/>
            </w:tcBorders>
            <w:shd w:val="clear" w:color="auto" w:fill="FFFFFF"/>
            <w:noWrap/>
            <w:vAlign w:val="center"/>
          </w:tcPr>
          <w:p w14:paraId="7FCE1CD3">
            <w:pPr>
              <w:spacing w:line="273" w:lineRule="auto"/>
              <w:jc w:val="center"/>
              <w:rPr>
                <w:rFonts w:hint="eastAsia" w:ascii="宋体" w:hAnsi="宋体"/>
                <w:b/>
                <w:color w:val="000000"/>
              </w:rPr>
            </w:pPr>
            <w:r>
              <w:rPr>
                <w:rFonts w:hint="eastAsia" w:ascii="宋体" w:hAnsi="宋体"/>
                <w:b/>
                <w:color w:val="000000"/>
              </w:rPr>
              <w:t>3</w:t>
            </w:r>
          </w:p>
        </w:tc>
      </w:tr>
      <w:tr w14:paraId="23B466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1" w:hRule="atLeast"/>
        </w:trPr>
        <w:tc>
          <w:tcPr>
            <w:tcW w:w="437" w:type="dxa"/>
            <w:tcBorders>
              <w:top w:val="single" w:color="000000" w:sz="8" w:space="0"/>
              <w:left w:val="single" w:color="000000" w:sz="8" w:space="0"/>
              <w:bottom w:val="single" w:color="auto" w:sz="4" w:space="0"/>
              <w:right w:val="single" w:color="auto" w:sz="4" w:space="0"/>
            </w:tcBorders>
            <w:shd w:val="clear" w:color="auto" w:fill="FFFFFF"/>
            <w:noWrap/>
            <w:vAlign w:val="center"/>
          </w:tcPr>
          <w:p w14:paraId="4C5BC9A7">
            <w:pPr>
              <w:spacing w:line="273" w:lineRule="auto"/>
              <w:jc w:val="center"/>
              <w:rPr>
                <w:rFonts w:hint="eastAsia" w:ascii="宋体" w:hAnsi="宋体"/>
                <w:b/>
                <w:color w:val="000000"/>
              </w:rPr>
            </w:pPr>
            <w:r>
              <w:rPr>
                <w:rFonts w:hint="eastAsia" w:ascii="宋体" w:hAnsi="宋体"/>
                <w:b/>
                <w:color w:val="000000"/>
              </w:rPr>
              <w:t>7</w:t>
            </w:r>
          </w:p>
        </w:tc>
        <w:tc>
          <w:tcPr>
            <w:tcW w:w="1160" w:type="dxa"/>
            <w:tcBorders>
              <w:top w:val="single" w:color="000000" w:sz="8" w:space="0"/>
              <w:left w:val="nil"/>
              <w:bottom w:val="single" w:color="auto" w:sz="4" w:space="0"/>
              <w:right w:val="single" w:color="000000" w:sz="8" w:space="0"/>
            </w:tcBorders>
            <w:shd w:val="clear" w:color="auto" w:fill="FFFFFF"/>
            <w:noWrap/>
            <w:vAlign w:val="center"/>
          </w:tcPr>
          <w:p w14:paraId="17A6AFB7">
            <w:pPr>
              <w:spacing w:line="273" w:lineRule="auto"/>
              <w:jc w:val="center"/>
              <w:rPr>
                <w:rFonts w:hint="eastAsia" w:ascii="宋体" w:hAnsi="宋体"/>
                <w:b/>
                <w:bCs/>
                <w:color w:val="000000"/>
              </w:rPr>
            </w:pPr>
            <w:r>
              <w:rPr>
                <w:rFonts w:hint="eastAsia" w:ascii="宋体" w:hAnsi="宋体"/>
                <w:b/>
                <w:bCs/>
                <w:color w:val="000000"/>
              </w:rPr>
              <w:t>培训方案</w:t>
            </w:r>
          </w:p>
        </w:tc>
        <w:tc>
          <w:tcPr>
            <w:tcW w:w="7440" w:type="dxa"/>
            <w:tcBorders>
              <w:top w:val="single" w:color="auto" w:sz="4" w:space="0"/>
              <w:left w:val="nil"/>
              <w:bottom w:val="single" w:color="auto" w:sz="4" w:space="0"/>
              <w:right w:val="single" w:color="000000" w:sz="8" w:space="0"/>
            </w:tcBorders>
            <w:shd w:val="clear" w:color="auto" w:fill="FFFFFF"/>
            <w:noWrap/>
            <w:vAlign w:val="center"/>
          </w:tcPr>
          <w:p w14:paraId="30A5F2E6">
            <w:pPr>
              <w:snapToGrid w:val="0"/>
              <w:spacing w:line="273" w:lineRule="auto"/>
              <w:ind w:firstLine="412" w:firstLineChars="200"/>
              <w:rPr>
                <w:rFonts w:hint="eastAsia" w:ascii="宋体" w:hAnsi="宋体"/>
                <w:color w:val="000000"/>
              </w:rPr>
            </w:pPr>
            <w:r>
              <w:rPr>
                <w:rFonts w:hint="eastAsia" w:ascii="宋体" w:hAnsi="宋体"/>
                <w:color w:val="000000"/>
                <w:spacing w:val="-2"/>
              </w:rPr>
              <w:t>磋商小组根据供应商有详细安保人员培训内容，如岗位标准、专业知识、职业道德规范；培训的方式，理论学习和实践操作，有定期培训和考试制度等进行评审。方案</w:t>
            </w:r>
            <w:r>
              <w:rPr>
                <w:rFonts w:hint="eastAsia" w:ascii="宋体" w:hAnsi="宋体"/>
                <w:color w:val="000000"/>
              </w:rPr>
              <w:t>内容详细、条理清晰、前后逻辑一致的得</w:t>
            </w:r>
            <w:r>
              <w:rPr>
                <w:rFonts w:hint="eastAsia"/>
                <w:color w:val="000000"/>
              </w:rPr>
              <w:t>4</w:t>
            </w:r>
            <w:r>
              <w:rPr>
                <w:color w:val="000000"/>
              </w:rPr>
              <w:t>-</w:t>
            </w:r>
            <w:r>
              <w:rPr>
                <w:rFonts w:hint="eastAsia"/>
                <w:color w:val="000000"/>
              </w:rPr>
              <w:t>5</w:t>
            </w:r>
            <w:r>
              <w:rPr>
                <w:rFonts w:hint="eastAsia" w:ascii="宋体" w:hAnsi="宋体"/>
                <w:color w:val="000000"/>
              </w:rPr>
              <w:t>分；</w:t>
            </w:r>
            <w:r>
              <w:rPr>
                <w:rFonts w:hint="eastAsia" w:ascii="宋体" w:hAnsi="宋体"/>
                <w:color w:val="000000"/>
                <w:spacing w:val="-2"/>
              </w:rPr>
              <w:t>方案</w:t>
            </w:r>
            <w:r>
              <w:rPr>
                <w:rFonts w:hint="eastAsia" w:ascii="宋体" w:hAnsi="宋体"/>
                <w:color w:val="000000"/>
              </w:rPr>
              <w:t>内容简单、条理尚可、前后逻辑基本一致的得</w:t>
            </w:r>
            <w:r>
              <w:rPr>
                <w:rFonts w:hint="eastAsia"/>
                <w:color w:val="000000"/>
              </w:rPr>
              <w:t>2</w:t>
            </w:r>
            <w:r>
              <w:rPr>
                <w:color w:val="000000"/>
              </w:rPr>
              <w:t>-</w:t>
            </w:r>
            <w:r>
              <w:rPr>
                <w:rFonts w:hint="eastAsia"/>
                <w:color w:val="000000"/>
              </w:rPr>
              <w:t>3</w:t>
            </w:r>
            <w:r>
              <w:rPr>
                <w:rFonts w:hint="eastAsia" w:ascii="宋体" w:hAnsi="宋体"/>
                <w:color w:val="000000"/>
              </w:rPr>
              <w:t>分；</w:t>
            </w:r>
            <w:r>
              <w:rPr>
                <w:rFonts w:hint="eastAsia" w:ascii="宋体" w:hAnsi="宋体"/>
                <w:color w:val="000000"/>
                <w:spacing w:val="-2"/>
              </w:rPr>
              <w:t>方案</w:t>
            </w:r>
            <w:r>
              <w:rPr>
                <w:rFonts w:hint="eastAsia" w:ascii="宋体" w:hAnsi="宋体"/>
                <w:color w:val="000000"/>
              </w:rPr>
              <w:t>阐述粗略或无阐述、前后逻辑二处及以上不一致的得0-</w:t>
            </w:r>
            <w:r>
              <w:rPr>
                <w:rFonts w:hint="eastAsia"/>
                <w:color w:val="000000"/>
              </w:rPr>
              <w:t>1</w:t>
            </w:r>
            <w:r>
              <w:rPr>
                <w:rFonts w:hint="eastAsia" w:ascii="宋体" w:hAnsi="宋体"/>
                <w:color w:val="000000"/>
              </w:rPr>
              <w:t>分。</w:t>
            </w:r>
          </w:p>
        </w:tc>
        <w:tc>
          <w:tcPr>
            <w:tcW w:w="533" w:type="dxa"/>
            <w:tcBorders>
              <w:top w:val="single" w:color="auto" w:sz="4" w:space="0"/>
              <w:left w:val="nil"/>
              <w:bottom w:val="single" w:color="000000" w:sz="8" w:space="0"/>
              <w:right w:val="single" w:color="000000" w:sz="8" w:space="0"/>
            </w:tcBorders>
            <w:shd w:val="clear" w:color="auto" w:fill="FFFFFF"/>
            <w:noWrap/>
            <w:vAlign w:val="center"/>
          </w:tcPr>
          <w:p w14:paraId="485D5972">
            <w:pPr>
              <w:spacing w:line="273" w:lineRule="auto"/>
              <w:jc w:val="center"/>
              <w:rPr>
                <w:rFonts w:hint="eastAsia" w:ascii="宋体" w:hAnsi="宋体"/>
                <w:b/>
                <w:color w:val="000000"/>
              </w:rPr>
            </w:pPr>
            <w:r>
              <w:rPr>
                <w:rFonts w:hint="eastAsia" w:ascii="宋体" w:hAnsi="宋体"/>
                <w:b/>
                <w:color w:val="000000"/>
              </w:rPr>
              <w:t>5</w:t>
            </w:r>
          </w:p>
        </w:tc>
      </w:tr>
      <w:tr w14:paraId="0F1D8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1" w:hRule="atLeast"/>
        </w:trPr>
        <w:tc>
          <w:tcPr>
            <w:tcW w:w="437" w:type="dxa"/>
            <w:tcBorders>
              <w:top w:val="single" w:color="000000" w:sz="8" w:space="0"/>
              <w:left w:val="single" w:color="000000" w:sz="8" w:space="0"/>
              <w:bottom w:val="single" w:color="auto" w:sz="4" w:space="0"/>
              <w:right w:val="single" w:color="auto" w:sz="4" w:space="0"/>
            </w:tcBorders>
            <w:shd w:val="clear" w:color="auto" w:fill="FFFFFF"/>
            <w:noWrap/>
            <w:vAlign w:val="center"/>
          </w:tcPr>
          <w:p w14:paraId="50B4D9B3">
            <w:pPr>
              <w:spacing w:line="273" w:lineRule="auto"/>
              <w:jc w:val="center"/>
              <w:rPr>
                <w:rFonts w:hint="eastAsia" w:ascii="宋体" w:hAnsi="宋体"/>
                <w:b/>
                <w:color w:val="000000"/>
              </w:rPr>
            </w:pPr>
            <w:r>
              <w:rPr>
                <w:rFonts w:hint="eastAsia" w:ascii="宋体" w:hAnsi="宋体"/>
                <w:b/>
                <w:color w:val="000000"/>
              </w:rPr>
              <w:t>8</w:t>
            </w:r>
          </w:p>
        </w:tc>
        <w:tc>
          <w:tcPr>
            <w:tcW w:w="1160" w:type="dxa"/>
            <w:tcBorders>
              <w:top w:val="single" w:color="000000" w:sz="8" w:space="0"/>
              <w:left w:val="nil"/>
              <w:bottom w:val="single" w:color="auto" w:sz="4" w:space="0"/>
              <w:right w:val="single" w:color="000000" w:sz="8" w:space="0"/>
            </w:tcBorders>
            <w:shd w:val="clear" w:color="auto" w:fill="FFFFFF"/>
            <w:noWrap/>
            <w:vAlign w:val="center"/>
          </w:tcPr>
          <w:p w14:paraId="74623BAD">
            <w:pPr>
              <w:snapToGrid w:val="0"/>
              <w:spacing w:line="273" w:lineRule="auto"/>
              <w:jc w:val="center"/>
              <w:rPr>
                <w:rFonts w:hint="eastAsia" w:ascii="宋体" w:hAnsi="宋体"/>
                <w:b/>
                <w:bCs/>
                <w:color w:val="000000"/>
              </w:rPr>
            </w:pPr>
            <w:r>
              <w:rPr>
                <w:rFonts w:hint="eastAsia" w:ascii="宋体" w:hAnsi="宋体"/>
                <w:b/>
                <w:bCs/>
                <w:color w:val="000000"/>
              </w:rPr>
              <w:t>薪酬管理</w:t>
            </w:r>
          </w:p>
          <w:p w14:paraId="07565E5F">
            <w:pPr>
              <w:snapToGrid w:val="0"/>
              <w:spacing w:line="273" w:lineRule="auto"/>
              <w:jc w:val="center"/>
              <w:rPr>
                <w:rFonts w:hint="eastAsia" w:ascii="宋体" w:hAnsi="宋体"/>
                <w:b/>
                <w:bCs/>
                <w:color w:val="000000"/>
              </w:rPr>
            </w:pPr>
            <w:r>
              <w:rPr>
                <w:rFonts w:hint="eastAsia" w:ascii="宋体" w:hAnsi="宋体"/>
                <w:b/>
                <w:bCs/>
                <w:color w:val="000000"/>
              </w:rPr>
              <w:t>方案</w:t>
            </w:r>
          </w:p>
        </w:tc>
        <w:tc>
          <w:tcPr>
            <w:tcW w:w="7440" w:type="dxa"/>
            <w:tcBorders>
              <w:top w:val="single" w:color="auto" w:sz="4" w:space="0"/>
              <w:left w:val="nil"/>
              <w:bottom w:val="single" w:color="auto" w:sz="4" w:space="0"/>
              <w:right w:val="single" w:color="000000" w:sz="8" w:space="0"/>
            </w:tcBorders>
            <w:shd w:val="clear" w:color="auto" w:fill="FFFFFF"/>
            <w:noWrap/>
            <w:vAlign w:val="center"/>
          </w:tcPr>
          <w:p w14:paraId="73B1D4AA">
            <w:pPr>
              <w:adjustRightInd w:val="0"/>
              <w:snapToGrid w:val="0"/>
              <w:spacing w:line="273" w:lineRule="auto"/>
              <w:ind w:firstLine="420" w:firstLineChars="200"/>
              <w:rPr>
                <w:rFonts w:hint="eastAsia" w:ascii="宋体" w:hAnsi="宋体"/>
                <w:color w:val="000000"/>
              </w:rPr>
            </w:pPr>
            <w:r>
              <w:rPr>
                <w:rFonts w:hint="eastAsia" w:ascii="宋体" w:hAnsi="宋体"/>
                <w:color w:val="000000"/>
              </w:rPr>
              <w:t>对安保人员的薪酬、劳动保护、福利等发放的及时性、保障性、合理性等进行评审。薪酬安排科学合理、有保障，劳动保护全面，福利优渥有保障的得</w:t>
            </w:r>
            <w:r>
              <w:rPr>
                <w:rFonts w:hint="eastAsia"/>
                <w:color w:val="000000"/>
              </w:rPr>
              <w:t>4</w:t>
            </w:r>
            <w:r>
              <w:rPr>
                <w:color w:val="000000"/>
              </w:rPr>
              <w:t>-</w:t>
            </w:r>
            <w:r>
              <w:rPr>
                <w:rFonts w:hint="eastAsia"/>
                <w:color w:val="000000"/>
              </w:rPr>
              <w:t>5</w:t>
            </w:r>
            <w:r>
              <w:rPr>
                <w:rFonts w:hint="eastAsia" w:ascii="宋体" w:hAnsi="宋体"/>
                <w:color w:val="000000"/>
              </w:rPr>
              <w:t>分；薪酬安排、劳动保护相对科学合理、有保障，福利尚可的得</w:t>
            </w:r>
            <w:r>
              <w:rPr>
                <w:rFonts w:hint="eastAsia"/>
                <w:color w:val="000000"/>
              </w:rPr>
              <w:t>2</w:t>
            </w:r>
            <w:r>
              <w:rPr>
                <w:color w:val="000000"/>
              </w:rPr>
              <w:t>-</w:t>
            </w:r>
            <w:r>
              <w:rPr>
                <w:rFonts w:hint="eastAsia"/>
                <w:color w:val="000000"/>
              </w:rPr>
              <w:t>3</w:t>
            </w:r>
            <w:r>
              <w:rPr>
                <w:rFonts w:hint="eastAsia" w:ascii="宋体" w:hAnsi="宋体"/>
                <w:color w:val="000000"/>
              </w:rPr>
              <w:t>分；薪酬、劳动保护、福利</w:t>
            </w:r>
            <w:r>
              <w:rPr>
                <w:rFonts w:hint="eastAsia" w:ascii="宋体" w:hAnsi="宋体"/>
                <w:color w:val="000000"/>
                <w:spacing w:val="-2"/>
              </w:rPr>
              <w:t>方案</w:t>
            </w:r>
            <w:r>
              <w:rPr>
                <w:rFonts w:hint="eastAsia" w:ascii="宋体" w:hAnsi="宋体"/>
                <w:color w:val="000000"/>
              </w:rPr>
              <w:t>阐述粗略或无阐述、前后逻辑二处及以上不一致的得0-</w:t>
            </w:r>
            <w:r>
              <w:rPr>
                <w:rFonts w:hint="eastAsia"/>
                <w:color w:val="000000"/>
              </w:rPr>
              <w:t>1</w:t>
            </w:r>
            <w:r>
              <w:rPr>
                <w:rFonts w:hint="eastAsia" w:ascii="宋体" w:hAnsi="宋体"/>
                <w:color w:val="000000"/>
              </w:rPr>
              <w:t>分。</w:t>
            </w:r>
          </w:p>
        </w:tc>
        <w:tc>
          <w:tcPr>
            <w:tcW w:w="533" w:type="dxa"/>
            <w:tcBorders>
              <w:top w:val="single" w:color="auto" w:sz="4" w:space="0"/>
              <w:left w:val="nil"/>
              <w:bottom w:val="single" w:color="000000" w:sz="8" w:space="0"/>
              <w:right w:val="single" w:color="000000" w:sz="8" w:space="0"/>
            </w:tcBorders>
            <w:shd w:val="clear" w:color="auto" w:fill="FFFFFF"/>
            <w:noWrap/>
            <w:vAlign w:val="center"/>
          </w:tcPr>
          <w:p w14:paraId="3AACADF6">
            <w:pPr>
              <w:snapToGrid w:val="0"/>
              <w:spacing w:line="273" w:lineRule="auto"/>
              <w:jc w:val="center"/>
              <w:rPr>
                <w:rFonts w:hint="eastAsia" w:ascii="宋体" w:hAnsi="宋体"/>
                <w:b/>
                <w:color w:val="000000"/>
              </w:rPr>
            </w:pPr>
            <w:r>
              <w:rPr>
                <w:rFonts w:hint="eastAsia" w:ascii="宋体" w:hAnsi="宋体"/>
                <w:b/>
                <w:color w:val="000000"/>
              </w:rPr>
              <w:t>5</w:t>
            </w:r>
          </w:p>
        </w:tc>
      </w:tr>
      <w:tr w14:paraId="32CF1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27" w:hRule="atLeast"/>
        </w:trPr>
        <w:tc>
          <w:tcPr>
            <w:tcW w:w="437" w:type="dxa"/>
            <w:tcBorders>
              <w:top w:val="single" w:color="000000" w:sz="8" w:space="0"/>
              <w:left w:val="single" w:color="000000" w:sz="8" w:space="0"/>
              <w:bottom w:val="single" w:color="auto" w:sz="4" w:space="0"/>
              <w:right w:val="single" w:color="auto" w:sz="4" w:space="0"/>
            </w:tcBorders>
            <w:shd w:val="clear" w:color="auto" w:fill="FFFFFF"/>
            <w:noWrap/>
            <w:vAlign w:val="center"/>
          </w:tcPr>
          <w:p w14:paraId="201FC6C1">
            <w:pPr>
              <w:spacing w:line="273" w:lineRule="auto"/>
              <w:jc w:val="center"/>
              <w:rPr>
                <w:rFonts w:hint="eastAsia" w:ascii="宋体" w:hAnsi="宋体"/>
                <w:b/>
                <w:color w:val="000000"/>
              </w:rPr>
            </w:pPr>
            <w:r>
              <w:rPr>
                <w:rFonts w:hint="eastAsia" w:ascii="宋体" w:hAnsi="宋体"/>
                <w:b/>
                <w:color w:val="000000"/>
              </w:rPr>
              <w:t>9</w:t>
            </w:r>
          </w:p>
        </w:tc>
        <w:tc>
          <w:tcPr>
            <w:tcW w:w="1160" w:type="dxa"/>
            <w:tcBorders>
              <w:top w:val="single" w:color="000000" w:sz="8" w:space="0"/>
              <w:left w:val="nil"/>
              <w:bottom w:val="single" w:color="auto" w:sz="4" w:space="0"/>
              <w:right w:val="single" w:color="000000" w:sz="8" w:space="0"/>
            </w:tcBorders>
            <w:shd w:val="clear" w:color="auto" w:fill="FFFFFF"/>
            <w:noWrap/>
            <w:vAlign w:val="center"/>
          </w:tcPr>
          <w:p w14:paraId="56CEA4C0">
            <w:pPr>
              <w:spacing w:line="273" w:lineRule="auto"/>
              <w:jc w:val="center"/>
              <w:rPr>
                <w:rFonts w:hint="eastAsia" w:ascii="宋体" w:hAnsi="宋体"/>
                <w:b/>
                <w:bCs/>
                <w:color w:val="000000"/>
              </w:rPr>
            </w:pPr>
            <w:r>
              <w:rPr>
                <w:rFonts w:hint="eastAsia" w:ascii="宋体" w:hAnsi="宋体"/>
                <w:b/>
                <w:bCs/>
                <w:color w:val="000000"/>
                <w:spacing w:val="-2"/>
              </w:rPr>
              <w:t>服务承诺</w:t>
            </w:r>
          </w:p>
        </w:tc>
        <w:tc>
          <w:tcPr>
            <w:tcW w:w="7440" w:type="dxa"/>
            <w:tcBorders>
              <w:top w:val="single" w:color="auto" w:sz="4" w:space="0"/>
              <w:left w:val="nil"/>
              <w:bottom w:val="single" w:color="auto" w:sz="4" w:space="0"/>
              <w:right w:val="single" w:color="000000" w:sz="8" w:space="0"/>
            </w:tcBorders>
            <w:shd w:val="clear" w:color="auto" w:fill="FFFFFF"/>
            <w:noWrap/>
            <w:vAlign w:val="center"/>
          </w:tcPr>
          <w:p w14:paraId="3E546361">
            <w:pPr>
              <w:snapToGrid w:val="0"/>
              <w:spacing w:line="273" w:lineRule="auto"/>
              <w:ind w:firstLine="412" w:firstLineChars="200"/>
              <w:jc w:val="left"/>
              <w:rPr>
                <w:rFonts w:hint="eastAsia" w:ascii="宋体" w:hAnsi="宋体"/>
                <w:color w:val="000000"/>
              </w:rPr>
            </w:pPr>
            <w:r>
              <w:rPr>
                <w:rFonts w:hint="eastAsia" w:ascii="宋体" w:hAnsi="宋体"/>
                <w:color w:val="000000"/>
                <w:spacing w:val="-2"/>
              </w:rPr>
              <w:t>供应商有详细的服务承诺，磋商小组根据承诺是否对采购人的服务工作需求有切实可行和实际意义的，根据其承诺的可行性、合理性、便捷性进行评审。方案</w:t>
            </w:r>
            <w:r>
              <w:rPr>
                <w:rFonts w:hint="eastAsia" w:ascii="宋体" w:hAnsi="宋体"/>
                <w:color w:val="000000"/>
              </w:rPr>
              <w:t>内容详细、条理清晰、前后逻辑一致的得</w:t>
            </w:r>
            <w:r>
              <w:rPr>
                <w:rFonts w:hint="eastAsia"/>
                <w:color w:val="000000"/>
              </w:rPr>
              <w:t>4</w:t>
            </w:r>
            <w:r>
              <w:rPr>
                <w:color w:val="000000"/>
              </w:rPr>
              <w:t>-</w:t>
            </w:r>
            <w:r>
              <w:rPr>
                <w:rFonts w:hint="eastAsia"/>
                <w:color w:val="000000"/>
              </w:rPr>
              <w:t>5</w:t>
            </w:r>
            <w:r>
              <w:rPr>
                <w:rFonts w:hint="eastAsia" w:ascii="宋体" w:hAnsi="宋体"/>
                <w:color w:val="000000"/>
              </w:rPr>
              <w:t>分；</w:t>
            </w:r>
            <w:r>
              <w:rPr>
                <w:rFonts w:hint="eastAsia" w:ascii="宋体" w:hAnsi="宋体"/>
                <w:color w:val="000000"/>
                <w:spacing w:val="-2"/>
              </w:rPr>
              <w:t>方案</w:t>
            </w:r>
            <w:r>
              <w:rPr>
                <w:rFonts w:hint="eastAsia" w:ascii="宋体" w:hAnsi="宋体"/>
                <w:color w:val="000000"/>
              </w:rPr>
              <w:t>内容简单、条理尚可、前后逻辑基本一致的得</w:t>
            </w:r>
            <w:r>
              <w:rPr>
                <w:rFonts w:hint="eastAsia"/>
                <w:color w:val="000000"/>
              </w:rPr>
              <w:t>2</w:t>
            </w:r>
            <w:r>
              <w:rPr>
                <w:color w:val="000000"/>
              </w:rPr>
              <w:t>-</w:t>
            </w:r>
            <w:r>
              <w:rPr>
                <w:rFonts w:hint="eastAsia"/>
                <w:color w:val="000000"/>
              </w:rPr>
              <w:t>3</w:t>
            </w:r>
            <w:r>
              <w:rPr>
                <w:rFonts w:hint="eastAsia" w:ascii="宋体" w:hAnsi="宋体"/>
                <w:color w:val="000000"/>
              </w:rPr>
              <w:t>分；</w:t>
            </w:r>
            <w:r>
              <w:rPr>
                <w:rFonts w:hint="eastAsia" w:ascii="宋体" w:hAnsi="宋体"/>
                <w:color w:val="000000"/>
                <w:spacing w:val="-2"/>
              </w:rPr>
              <w:t>方案</w:t>
            </w:r>
            <w:r>
              <w:rPr>
                <w:rFonts w:hint="eastAsia" w:ascii="宋体" w:hAnsi="宋体"/>
                <w:color w:val="000000"/>
              </w:rPr>
              <w:t>阐述粗略或无阐述、前后逻辑二处及以上不一致的得0-</w:t>
            </w:r>
            <w:r>
              <w:rPr>
                <w:rFonts w:hint="eastAsia"/>
                <w:color w:val="000000"/>
              </w:rPr>
              <w:t>1</w:t>
            </w:r>
            <w:r>
              <w:rPr>
                <w:rFonts w:hint="eastAsia" w:ascii="宋体" w:hAnsi="宋体"/>
                <w:color w:val="000000"/>
              </w:rPr>
              <w:t>分。</w:t>
            </w:r>
          </w:p>
        </w:tc>
        <w:tc>
          <w:tcPr>
            <w:tcW w:w="533" w:type="dxa"/>
            <w:tcBorders>
              <w:top w:val="single" w:color="auto" w:sz="4" w:space="0"/>
              <w:left w:val="nil"/>
              <w:bottom w:val="single" w:color="000000" w:sz="8" w:space="0"/>
              <w:right w:val="single" w:color="000000" w:sz="8" w:space="0"/>
            </w:tcBorders>
            <w:shd w:val="clear" w:color="auto" w:fill="FFFFFF"/>
            <w:noWrap/>
            <w:vAlign w:val="center"/>
          </w:tcPr>
          <w:p w14:paraId="7BA63D17">
            <w:pPr>
              <w:spacing w:line="273" w:lineRule="auto"/>
              <w:jc w:val="center"/>
              <w:rPr>
                <w:rFonts w:hint="eastAsia" w:ascii="宋体" w:hAnsi="宋体"/>
                <w:b/>
                <w:color w:val="000000"/>
              </w:rPr>
            </w:pPr>
            <w:r>
              <w:rPr>
                <w:rFonts w:hint="eastAsia" w:ascii="宋体" w:hAnsi="宋体"/>
                <w:b/>
                <w:color w:val="000000"/>
              </w:rPr>
              <w:t>5</w:t>
            </w:r>
          </w:p>
        </w:tc>
      </w:tr>
      <w:tr w14:paraId="5D9F96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4" w:hRule="atLeast"/>
        </w:trPr>
        <w:tc>
          <w:tcPr>
            <w:tcW w:w="437" w:type="dxa"/>
            <w:tcBorders>
              <w:top w:val="single" w:color="000000" w:sz="8" w:space="0"/>
              <w:left w:val="single" w:color="000000" w:sz="8" w:space="0"/>
              <w:bottom w:val="single" w:color="auto" w:sz="4" w:space="0"/>
              <w:right w:val="single" w:color="auto" w:sz="4" w:space="0"/>
            </w:tcBorders>
            <w:shd w:val="clear" w:color="auto" w:fill="FFFFFF"/>
            <w:noWrap/>
            <w:vAlign w:val="center"/>
          </w:tcPr>
          <w:p w14:paraId="07A4FC45">
            <w:pPr>
              <w:spacing w:line="273" w:lineRule="auto"/>
              <w:jc w:val="center"/>
              <w:rPr>
                <w:rFonts w:hint="eastAsia" w:ascii="宋体" w:hAnsi="宋体"/>
                <w:b/>
                <w:color w:val="000000"/>
              </w:rPr>
            </w:pPr>
            <w:r>
              <w:rPr>
                <w:rFonts w:hint="eastAsia" w:ascii="宋体" w:hAnsi="宋体"/>
                <w:b/>
                <w:color w:val="000000"/>
              </w:rPr>
              <w:t>10</w:t>
            </w:r>
          </w:p>
        </w:tc>
        <w:tc>
          <w:tcPr>
            <w:tcW w:w="1160" w:type="dxa"/>
            <w:tcBorders>
              <w:top w:val="single" w:color="000000" w:sz="8" w:space="0"/>
              <w:left w:val="nil"/>
              <w:bottom w:val="single" w:color="auto" w:sz="4" w:space="0"/>
              <w:right w:val="single" w:color="000000" w:sz="8" w:space="0"/>
            </w:tcBorders>
            <w:shd w:val="clear" w:color="auto" w:fill="FFFFFF"/>
            <w:noWrap/>
            <w:vAlign w:val="center"/>
          </w:tcPr>
          <w:p w14:paraId="5BEA592D">
            <w:pPr>
              <w:spacing w:line="273" w:lineRule="auto"/>
              <w:jc w:val="center"/>
              <w:rPr>
                <w:rFonts w:hint="eastAsia" w:ascii="宋体" w:hAnsi="宋体"/>
                <w:b/>
                <w:bCs/>
                <w:color w:val="000000"/>
              </w:rPr>
            </w:pPr>
            <w:r>
              <w:rPr>
                <w:rFonts w:hint="eastAsia" w:ascii="宋体" w:hAnsi="宋体"/>
                <w:b/>
                <w:bCs/>
                <w:color w:val="000000"/>
                <w:spacing w:val="-2"/>
              </w:rPr>
              <w:t>应急方案及合理化建议</w:t>
            </w:r>
          </w:p>
        </w:tc>
        <w:tc>
          <w:tcPr>
            <w:tcW w:w="7440" w:type="dxa"/>
            <w:tcBorders>
              <w:top w:val="single" w:color="auto" w:sz="4" w:space="0"/>
              <w:left w:val="nil"/>
              <w:bottom w:val="single" w:color="auto" w:sz="4" w:space="0"/>
              <w:right w:val="single" w:color="000000" w:sz="8" w:space="0"/>
            </w:tcBorders>
            <w:shd w:val="clear" w:color="auto" w:fill="FFFFFF"/>
            <w:noWrap/>
            <w:vAlign w:val="center"/>
          </w:tcPr>
          <w:p w14:paraId="2A309E31">
            <w:pPr>
              <w:snapToGrid w:val="0"/>
              <w:spacing w:line="273" w:lineRule="auto"/>
              <w:ind w:firstLine="412" w:firstLineChars="200"/>
              <w:jc w:val="left"/>
              <w:rPr>
                <w:rFonts w:hint="eastAsia" w:ascii="宋体" w:hAnsi="宋体"/>
                <w:color w:val="000000"/>
              </w:rPr>
            </w:pPr>
            <w:r>
              <w:rPr>
                <w:rFonts w:hint="eastAsia" w:ascii="宋体" w:hAnsi="宋体"/>
                <w:color w:val="000000"/>
                <w:spacing w:val="-2"/>
              </w:rPr>
              <w:t>供应商针对本项目有具体的应急方案及合理化建议，根据方案针对本项目的实用性和可行性进行评审。方案</w:t>
            </w:r>
            <w:r>
              <w:rPr>
                <w:rFonts w:hint="eastAsia" w:ascii="宋体" w:hAnsi="宋体"/>
                <w:color w:val="000000"/>
              </w:rPr>
              <w:t>内容详细、条理清晰、前后逻辑一致的得</w:t>
            </w:r>
            <w:r>
              <w:rPr>
                <w:rFonts w:hint="eastAsia"/>
                <w:color w:val="000000"/>
              </w:rPr>
              <w:t>4</w:t>
            </w:r>
            <w:r>
              <w:rPr>
                <w:color w:val="000000"/>
              </w:rPr>
              <w:t>-</w:t>
            </w:r>
            <w:r>
              <w:rPr>
                <w:rFonts w:hint="eastAsia"/>
                <w:color w:val="000000"/>
              </w:rPr>
              <w:t>5</w:t>
            </w:r>
            <w:r>
              <w:rPr>
                <w:rFonts w:hint="eastAsia" w:ascii="宋体" w:hAnsi="宋体"/>
                <w:color w:val="000000"/>
              </w:rPr>
              <w:t>分；</w:t>
            </w:r>
            <w:r>
              <w:rPr>
                <w:rFonts w:hint="eastAsia" w:ascii="宋体" w:hAnsi="宋体"/>
                <w:color w:val="000000"/>
                <w:spacing w:val="-2"/>
              </w:rPr>
              <w:t>方案</w:t>
            </w:r>
            <w:r>
              <w:rPr>
                <w:rFonts w:hint="eastAsia" w:ascii="宋体" w:hAnsi="宋体"/>
                <w:color w:val="000000"/>
              </w:rPr>
              <w:t>内容简单、条理尚可、前后逻辑基本一致的得</w:t>
            </w:r>
            <w:r>
              <w:rPr>
                <w:rFonts w:hint="eastAsia"/>
                <w:color w:val="000000"/>
              </w:rPr>
              <w:t>2</w:t>
            </w:r>
            <w:r>
              <w:rPr>
                <w:color w:val="000000"/>
              </w:rPr>
              <w:t>-</w:t>
            </w:r>
            <w:r>
              <w:rPr>
                <w:rFonts w:hint="eastAsia"/>
                <w:color w:val="000000"/>
              </w:rPr>
              <w:t>3</w:t>
            </w:r>
            <w:r>
              <w:rPr>
                <w:rFonts w:hint="eastAsia" w:ascii="宋体" w:hAnsi="宋体"/>
                <w:color w:val="000000"/>
              </w:rPr>
              <w:t>分；</w:t>
            </w:r>
            <w:r>
              <w:rPr>
                <w:rFonts w:hint="eastAsia" w:ascii="宋体" w:hAnsi="宋体"/>
                <w:color w:val="000000"/>
                <w:spacing w:val="-2"/>
              </w:rPr>
              <w:t>方案</w:t>
            </w:r>
            <w:r>
              <w:rPr>
                <w:rFonts w:hint="eastAsia" w:ascii="宋体" w:hAnsi="宋体"/>
                <w:color w:val="000000"/>
              </w:rPr>
              <w:t>阐述粗略或无阐述、前后逻辑二处及以上不一致的得0-</w:t>
            </w:r>
            <w:r>
              <w:rPr>
                <w:rFonts w:hint="eastAsia"/>
                <w:color w:val="000000"/>
              </w:rPr>
              <w:t>1</w:t>
            </w:r>
            <w:r>
              <w:rPr>
                <w:rFonts w:hint="eastAsia" w:ascii="宋体" w:hAnsi="宋体"/>
                <w:color w:val="000000"/>
              </w:rPr>
              <w:t>分。</w:t>
            </w:r>
          </w:p>
        </w:tc>
        <w:tc>
          <w:tcPr>
            <w:tcW w:w="533" w:type="dxa"/>
            <w:tcBorders>
              <w:top w:val="single" w:color="auto" w:sz="4" w:space="0"/>
              <w:left w:val="nil"/>
              <w:bottom w:val="single" w:color="000000" w:sz="8" w:space="0"/>
              <w:right w:val="single" w:color="000000" w:sz="8" w:space="0"/>
            </w:tcBorders>
            <w:shd w:val="clear" w:color="auto" w:fill="FFFFFF"/>
            <w:noWrap/>
            <w:vAlign w:val="center"/>
          </w:tcPr>
          <w:p w14:paraId="1B2EBB3E">
            <w:pPr>
              <w:spacing w:line="273" w:lineRule="auto"/>
              <w:jc w:val="center"/>
              <w:rPr>
                <w:rFonts w:hint="eastAsia" w:ascii="宋体" w:hAnsi="宋体"/>
                <w:b/>
                <w:color w:val="000000"/>
              </w:rPr>
            </w:pPr>
            <w:r>
              <w:rPr>
                <w:rFonts w:hint="eastAsia" w:ascii="宋体" w:hAnsi="宋体"/>
                <w:b/>
                <w:color w:val="000000"/>
              </w:rPr>
              <w:t>5</w:t>
            </w:r>
          </w:p>
        </w:tc>
      </w:tr>
      <w:tr w14:paraId="6E69FF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4" w:hRule="atLeast"/>
        </w:trPr>
        <w:tc>
          <w:tcPr>
            <w:tcW w:w="437" w:type="dxa"/>
            <w:tcBorders>
              <w:top w:val="single" w:color="000000" w:sz="8" w:space="0"/>
              <w:left w:val="single" w:color="000000" w:sz="8" w:space="0"/>
              <w:bottom w:val="single" w:color="auto" w:sz="4" w:space="0"/>
              <w:right w:val="single" w:color="auto" w:sz="4" w:space="0"/>
            </w:tcBorders>
            <w:shd w:val="clear" w:color="auto" w:fill="FFFFFF"/>
            <w:noWrap/>
            <w:vAlign w:val="center"/>
          </w:tcPr>
          <w:p w14:paraId="7997263E">
            <w:pPr>
              <w:spacing w:line="273" w:lineRule="auto"/>
              <w:jc w:val="center"/>
              <w:rPr>
                <w:rFonts w:hint="eastAsia" w:ascii="宋体" w:hAnsi="宋体"/>
                <w:b/>
                <w:color w:val="000000"/>
              </w:rPr>
            </w:pPr>
            <w:r>
              <w:rPr>
                <w:rFonts w:hint="eastAsia" w:ascii="宋体" w:hAnsi="宋体"/>
                <w:b/>
                <w:color w:val="000000"/>
              </w:rPr>
              <w:t>11</w:t>
            </w:r>
          </w:p>
        </w:tc>
        <w:tc>
          <w:tcPr>
            <w:tcW w:w="1160" w:type="dxa"/>
            <w:tcBorders>
              <w:top w:val="single" w:color="000000" w:sz="8" w:space="0"/>
              <w:left w:val="nil"/>
              <w:bottom w:val="single" w:color="auto" w:sz="4" w:space="0"/>
              <w:right w:val="single" w:color="000000" w:sz="8" w:space="0"/>
            </w:tcBorders>
            <w:shd w:val="clear" w:color="auto" w:fill="FFFFFF"/>
            <w:noWrap/>
            <w:vAlign w:val="center"/>
          </w:tcPr>
          <w:p w14:paraId="1905C8DF">
            <w:pPr>
              <w:spacing w:line="273" w:lineRule="auto"/>
              <w:ind w:left="-122" w:leftChars="-58" w:right="-107" w:rightChars="-51"/>
              <w:jc w:val="center"/>
              <w:rPr>
                <w:rFonts w:hint="eastAsia" w:ascii="仿宋_GB2312" w:eastAsia="仿宋_GB2312"/>
                <w:b/>
                <w:color w:val="000000"/>
              </w:rPr>
            </w:pPr>
            <w:r>
              <w:rPr>
                <w:b/>
                <w:bCs/>
                <w:color w:val="000000"/>
                <w:spacing w:val="-2"/>
              </w:rPr>
              <w:t>交接维稳</w:t>
            </w:r>
          </w:p>
        </w:tc>
        <w:tc>
          <w:tcPr>
            <w:tcW w:w="7440" w:type="dxa"/>
            <w:tcBorders>
              <w:top w:val="single" w:color="auto" w:sz="4" w:space="0"/>
              <w:left w:val="nil"/>
              <w:bottom w:val="single" w:color="auto" w:sz="4" w:space="0"/>
              <w:right w:val="single" w:color="000000" w:sz="8" w:space="0"/>
            </w:tcBorders>
            <w:shd w:val="clear" w:color="auto" w:fill="FFFFFF"/>
            <w:noWrap/>
            <w:vAlign w:val="center"/>
          </w:tcPr>
          <w:p w14:paraId="59D7AD08">
            <w:pPr>
              <w:snapToGrid w:val="0"/>
              <w:spacing w:line="273" w:lineRule="auto"/>
              <w:ind w:firstLine="412" w:firstLineChars="200"/>
              <w:jc w:val="left"/>
              <w:rPr>
                <w:rFonts w:hint="eastAsia" w:ascii="宋体" w:hAnsi="宋体"/>
                <w:color w:val="000000"/>
                <w:spacing w:val="-2"/>
              </w:rPr>
            </w:pPr>
            <w:r>
              <w:rPr>
                <w:rFonts w:hint="eastAsia" w:ascii="宋体" w:hAnsi="宋体"/>
                <w:color w:val="000000"/>
                <w:spacing w:val="-2"/>
              </w:rPr>
              <w:t>供应商根据本项目实际情况和特点，保证项目开始和结束交接的顺利性和可行性，针对本项目制定交接维稳过渡、人员维稳、安全排除等方面实施方案。方案</w:t>
            </w:r>
            <w:r>
              <w:rPr>
                <w:rFonts w:hint="eastAsia" w:ascii="宋体" w:hAnsi="宋体"/>
                <w:color w:val="000000"/>
              </w:rPr>
              <w:t>内容详细、条理清晰、前后逻辑一致的得</w:t>
            </w:r>
            <w:r>
              <w:rPr>
                <w:color w:val="000000"/>
              </w:rPr>
              <w:t>4-5</w:t>
            </w:r>
            <w:r>
              <w:rPr>
                <w:rFonts w:hint="eastAsia" w:ascii="宋体" w:hAnsi="宋体"/>
                <w:color w:val="000000"/>
              </w:rPr>
              <w:t>分；</w:t>
            </w:r>
            <w:r>
              <w:rPr>
                <w:rFonts w:hint="eastAsia" w:ascii="宋体" w:hAnsi="宋体"/>
                <w:color w:val="000000"/>
                <w:spacing w:val="-2"/>
              </w:rPr>
              <w:t>方案</w:t>
            </w:r>
            <w:r>
              <w:rPr>
                <w:rFonts w:hint="eastAsia" w:ascii="宋体" w:hAnsi="宋体"/>
                <w:color w:val="000000"/>
              </w:rPr>
              <w:t>内容简单、条理尚可、前后逻辑基本一致的得</w:t>
            </w:r>
            <w:r>
              <w:rPr>
                <w:color w:val="000000"/>
              </w:rPr>
              <w:t>2-3</w:t>
            </w:r>
            <w:r>
              <w:rPr>
                <w:rFonts w:hint="eastAsia" w:ascii="宋体" w:hAnsi="宋体"/>
                <w:color w:val="000000"/>
              </w:rPr>
              <w:t>分；</w:t>
            </w:r>
            <w:r>
              <w:rPr>
                <w:rFonts w:hint="eastAsia" w:ascii="宋体" w:hAnsi="宋体"/>
                <w:color w:val="000000"/>
                <w:spacing w:val="-2"/>
              </w:rPr>
              <w:t>方案</w:t>
            </w:r>
            <w:r>
              <w:rPr>
                <w:rFonts w:hint="eastAsia" w:ascii="宋体" w:hAnsi="宋体"/>
                <w:color w:val="000000"/>
              </w:rPr>
              <w:t>阐述粗略或无阐述、前后逻辑二处及以上不一致的得0-</w:t>
            </w:r>
            <w:r>
              <w:rPr>
                <w:color w:val="000000"/>
              </w:rPr>
              <w:t>1</w:t>
            </w:r>
            <w:r>
              <w:rPr>
                <w:rFonts w:hint="eastAsia" w:ascii="宋体" w:hAnsi="宋体"/>
                <w:color w:val="000000"/>
              </w:rPr>
              <w:t>分。</w:t>
            </w:r>
          </w:p>
        </w:tc>
        <w:tc>
          <w:tcPr>
            <w:tcW w:w="533" w:type="dxa"/>
            <w:tcBorders>
              <w:top w:val="single" w:color="auto" w:sz="4" w:space="0"/>
              <w:left w:val="nil"/>
              <w:bottom w:val="single" w:color="000000" w:sz="8" w:space="0"/>
              <w:right w:val="single" w:color="000000" w:sz="8" w:space="0"/>
            </w:tcBorders>
            <w:shd w:val="clear" w:color="auto" w:fill="FFFFFF"/>
            <w:noWrap/>
            <w:vAlign w:val="center"/>
          </w:tcPr>
          <w:p w14:paraId="40EF59FB">
            <w:pPr>
              <w:snapToGrid w:val="0"/>
              <w:spacing w:line="273" w:lineRule="auto"/>
              <w:jc w:val="center"/>
              <w:rPr>
                <w:rFonts w:hint="eastAsia" w:hAnsi="宋体"/>
                <w:color w:val="000000"/>
                <w:spacing w:val="-2"/>
              </w:rPr>
            </w:pPr>
            <w:r>
              <w:rPr>
                <w:rFonts w:hint="eastAsia" w:ascii="宋体" w:hAnsi="宋体"/>
                <w:b/>
                <w:color w:val="000000"/>
              </w:rPr>
              <w:t>5</w:t>
            </w:r>
          </w:p>
        </w:tc>
      </w:tr>
      <w:tr w14:paraId="02C9A4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10" w:hRule="atLeast"/>
        </w:trPr>
        <w:tc>
          <w:tcPr>
            <w:tcW w:w="9570" w:type="dxa"/>
            <w:gridSpan w:val="4"/>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1EF1BCA">
            <w:pPr>
              <w:widowControl/>
              <w:snapToGrid w:val="0"/>
              <w:spacing w:line="273" w:lineRule="auto"/>
              <w:ind w:firstLine="420" w:firstLineChars="200"/>
              <w:jc w:val="left"/>
              <w:rPr>
                <w:rFonts w:ascii="宋体" w:hAnsi="宋体"/>
                <w:bCs/>
                <w:color w:val="000000"/>
                <w:kern w:val="0"/>
              </w:rPr>
            </w:pPr>
            <w:r>
              <w:rPr>
                <w:rFonts w:hint="eastAsia" w:ascii="宋体" w:hAnsi="宋体"/>
                <w:bCs/>
                <w:color w:val="000000"/>
                <w:kern w:val="0"/>
              </w:rPr>
              <w:t>资信及商务技术分按照评标委员会成员的独立评分结果汇总后的算术平均分计算，计算公式为：</w:t>
            </w:r>
          </w:p>
          <w:p w14:paraId="20B8DE41">
            <w:pPr>
              <w:snapToGrid w:val="0"/>
              <w:spacing w:line="273" w:lineRule="auto"/>
              <w:ind w:firstLine="422" w:firstLineChars="200"/>
              <w:rPr>
                <w:rFonts w:hint="eastAsia" w:ascii="宋体" w:hAnsi="宋体"/>
                <w:bCs/>
                <w:color w:val="000000"/>
              </w:rPr>
            </w:pPr>
            <w:r>
              <w:rPr>
                <w:rFonts w:hint="eastAsia" w:ascii="宋体" w:hAnsi="宋体"/>
                <w:b/>
                <w:color w:val="000000"/>
                <w:kern w:val="0"/>
              </w:rPr>
              <w:t>资信及商务技术分=评标委员会所有成员评分合计数/评标委员会组成人员数。</w:t>
            </w:r>
          </w:p>
        </w:tc>
      </w:tr>
    </w:tbl>
    <w:p w14:paraId="772EBB54">
      <w:pPr>
        <w:widowControl/>
        <w:spacing w:line="348" w:lineRule="auto"/>
        <w:ind w:left="420"/>
        <w:rPr>
          <w:rFonts w:hint="eastAsia" w:ascii="宋体" w:hAnsi="宋体"/>
          <w:b/>
          <w:bCs/>
          <w:color w:val="000000"/>
          <w:kern w:val="0"/>
          <w:szCs w:val="21"/>
        </w:rPr>
      </w:pPr>
      <w:r>
        <w:rPr>
          <w:rFonts w:hint="eastAsia" w:ascii="宋体" w:hAnsi="宋体"/>
          <w:b/>
          <w:bCs/>
          <w:color w:val="000000"/>
          <w:kern w:val="0"/>
        </w:rPr>
        <w:t>（二）报价文件</w:t>
      </w:r>
    </w:p>
    <w:p w14:paraId="2561A2CC">
      <w:pPr>
        <w:widowControl/>
        <w:spacing w:line="360" w:lineRule="auto"/>
        <w:ind w:firstLine="420" w:firstLineChars="200"/>
        <w:jc w:val="left"/>
        <w:rPr>
          <w:rFonts w:hint="eastAsia" w:ascii="宋体" w:hAnsi="宋体"/>
          <w:color w:val="000000"/>
          <w:kern w:val="0"/>
        </w:rPr>
      </w:pPr>
      <w:r>
        <w:rPr>
          <w:rFonts w:hint="eastAsia" w:ascii="宋体" w:hAnsi="宋体"/>
          <w:color w:val="000000"/>
          <w:kern w:val="0"/>
        </w:rPr>
        <w:t>价格分采用低价优先法计算，即满足竞争性磋商文件要求且</w:t>
      </w:r>
      <w:r>
        <w:rPr>
          <w:rFonts w:hint="eastAsia" w:ascii="宋体" w:hAnsi="宋体"/>
          <w:b/>
          <w:bCs/>
          <w:color w:val="000000"/>
          <w:kern w:val="0"/>
        </w:rPr>
        <w:t>最后一轮磋商报价最低</w:t>
      </w:r>
      <w:r>
        <w:rPr>
          <w:rFonts w:hint="eastAsia" w:ascii="宋体" w:hAnsi="宋体"/>
          <w:color w:val="000000"/>
          <w:kern w:val="0"/>
        </w:rPr>
        <w:t>的为评审基准价，其价格分为满分。其他供应商的价格分统一按照下列公式计算：</w:t>
      </w:r>
    </w:p>
    <w:p w14:paraId="1364E4EB">
      <w:pPr>
        <w:widowControl/>
        <w:spacing w:line="360" w:lineRule="auto"/>
        <w:ind w:firstLine="420" w:firstLineChars="200"/>
        <w:jc w:val="left"/>
        <w:rPr>
          <w:rFonts w:hint="eastAsia" w:ascii="宋体" w:hAnsi="宋体"/>
          <w:color w:val="000000"/>
          <w:kern w:val="0"/>
        </w:rPr>
      </w:pPr>
      <w:r>
        <w:rPr>
          <w:rFonts w:hint="eastAsia" w:ascii="宋体" w:hAnsi="宋体"/>
          <w:color w:val="000000"/>
          <w:kern w:val="0"/>
        </w:rPr>
        <w:t>磋商报价得分=[评审基准价／最后一轮磋商报价]×15%×100。（四舍五入，保留两位小数）</w:t>
      </w:r>
    </w:p>
    <w:p w14:paraId="1EB49381">
      <w:pPr>
        <w:widowControl/>
        <w:spacing w:line="360" w:lineRule="auto"/>
        <w:ind w:firstLine="422" w:firstLineChars="200"/>
        <w:jc w:val="left"/>
        <w:rPr>
          <w:rFonts w:hint="eastAsia"/>
          <w:b/>
          <w:color w:val="000000"/>
        </w:rPr>
      </w:pPr>
      <w:r>
        <w:rPr>
          <w:rFonts w:hint="eastAsia" w:ascii="宋体" w:hAnsi="宋体"/>
          <w:b/>
          <w:color w:val="000000"/>
        </w:rPr>
        <w:t>该磋商评审办法及评分标准仅适用于本项目采购，解释权属于采购人。</w:t>
      </w:r>
    </w:p>
    <w:p w14:paraId="21824F83">
      <w:pPr>
        <w:pStyle w:val="2"/>
        <w:ind w:firstLine="210"/>
        <w:rPr>
          <w:rFonts w:hint="eastAsia"/>
        </w:rPr>
      </w:pPr>
    </w:p>
    <w:p w14:paraId="40580920">
      <w:pPr>
        <w:pStyle w:val="2"/>
        <w:ind w:firstLine="210"/>
        <w:rPr>
          <w:rFonts w:hint="eastAsia"/>
        </w:rPr>
      </w:pPr>
      <w:bookmarkStart w:id="16" w:name="_GoBack"/>
      <w:bookmarkEnd w:id="1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0D160C"/>
    <w:multiLevelType w:val="multilevel"/>
    <w:tmpl w:val="300D160C"/>
    <w:lvl w:ilvl="0" w:tentative="0">
      <w:start w:val="6"/>
      <w:numFmt w:val="chineseCounting"/>
      <w:suff w:val="space"/>
      <w:lvlText w:val="第%1章"/>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01"/>
    <w:rsid w:val="00503A01"/>
    <w:rsid w:val="00B4035B"/>
    <w:rsid w:val="00C218AE"/>
    <w:rsid w:val="00CC2765"/>
    <w:rsid w:val="00F50FAE"/>
    <w:rsid w:val="02D23C7A"/>
    <w:rsid w:val="1F8104C6"/>
    <w:rsid w:val="5CAD0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0"/>
    <w:qFormat/>
    <w:uiPriority w:val="0"/>
    <w:pPr>
      <w:keepNext/>
      <w:keepLines/>
      <w:adjustRightInd w:val="0"/>
      <w:spacing w:before="120" w:line="360" w:lineRule="auto"/>
      <w:jc w:val="center"/>
      <w:textAlignment w:val="baseline"/>
      <w:outlineLvl w:val="0"/>
    </w:pPr>
    <w:rPr>
      <w:b/>
      <w:bCs/>
      <w:kern w:val="44"/>
      <w:sz w:val="32"/>
      <w:szCs w:val="20"/>
    </w:rPr>
  </w:style>
  <w:style w:type="paragraph" w:styleId="5">
    <w:name w:val="heading 3"/>
    <w:basedOn w:val="1"/>
    <w:next w:val="1"/>
    <w:link w:val="11"/>
    <w:qFormat/>
    <w:uiPriority w:val="0"/>
    <w:pPr>
      <w:keepNext/>
      <w:keepLines/>
      <w:snapToGrid w:val="0"/>
      <w:spacing w:line="360" w:lineRule="auto"/>
      <w:jc w:val="left"/>
      <w:outlineLvl w:val="2"/>
    </w:pPr>
    <w:rPr>
      <w:b/>
      <w:bCs/>
      <w:sz w:val="24"/>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3"/>
    <w:qFormat/>
    <w:uiPriority w:val="0"/>
    <w:pPr>
      <w:ind w:firstLine="420" w:firstLineChars="100"/>
    </w:pPr>
    <w:rPr>
      <w:szCs w:val="22"/>
    </w:rPr>
  </w:style>
  <w:style w:type="paragraph" w:styleId="3">
    <w:name w:val="Body Text"/>
    <w:basedOn w:val="1"/>
    <w:next w:val="2"/>
    <w:link w:val="12"/>
    <w:semiHidden/>
    <w:unhideWhenUsed/>
    <w:qFormat/>
    <w:uiPriority w:val="99"/>
    <w:pPr>
      <w:spacing w:after="120"/>
    </w:pPr>
  </w:style>
  <w:style w:type="paragraph" w:styleId="6">
    <w:name w:val="Balloon Text"/>
    <w:basedOn w:val="1"/>
    <w:link w:val="15"/>
    <w:semiHidden/>
    <w:unhideWhenUsed/>
    <w:qFormat/>
    <w:uiPriority w:val="99"/>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0">
    <w:name w:val="标题 1 Char"/>
    <w:basedOn w:val="9"/>
    <w:link w:val="4"/>
    <w:qFormat/>
    <w:uiPriority w:val="0"/>
    <w:rPr>
      <w:b/>
      <w:bCs/>
      <w:kern w:val="44"/>
      <w:sz w:val="32"/>
    </w:rPr>
  </w:style>
  <w:style w:type="character" w:customStyle="1" w:styleId="11">
    <w:name w:val="标题 3 Char"/>
    <w:basedOn w:val="9"/>
    <w:link w:val="5"/>
    <w:qFormat/>
    <w:uiPriority w:val="0"/>
    <w:rPr>
      <w:b/>
      <w:bCs/>
      <w:kern w:val="2"/>
      <w:sz w:val="24"/>
      <w:szCs w:val="32"/>
    </w:rPr>
  </w:style>
  <w:style w:type="character" w:customStyle="1" w:styleId="12">
    <w:name w:val="正文文本 Char"/>
    <w:basedOn w:val="9"/>
    <w:link w:val="3"/>
    <w:semiHidden/>
    <w:qFormat/>
    <w:uiPriority w:val="99"/>
    <w:rPr>
      <w:kern w:val="2"/>
      <w:sz w:val="21"/>
      <w:szCs w:val="24"/>
    </w:rPr>
  </w:style>
  <w:style w:type="character" w:customStyle="1" w:styleId="13">
    <w:name w:val="正文首行缩进 Char"/>
    <w:basedOn w:val="12"/>
    <w:link w:val="2"/>
    <w:qFormat/>
    <w:uiPriority w:val="0"/>
    <w:rPr>
      <w:kern w:val="2"/>
      <w:sz w:val="21"/>
      <w:szCs w:val="22"/>
    </w:rPr>
  </w:style>
  <w:style w:type="character" w:customStyle="1" w:styleId="14">
    <w:name w:val="15"/>
    <w:basedOn w:val="9"/>
    <w:qFormat/>
    <w:uiPriority w:val="0"/>
    <w:rPr>
      <w:rFonts w:hint="default" w:ascii="Times New Roman" w:hAnsi="Times New Roman" w:eastAsia="宋体" w:cs="Times New Roman"/>
      <w:b/>
      <w:bCs/>
      <w:kern w:val="44"/>
      <w:sz w:val="32"/>
      <w:szCs w:val="32"/>
    </w:rPr>
  </w:style>
  <w:style w:type="character" w:customStyle="1" w:styleId="15">
    <w:name w:val="批注框文本 Char"/>
    <w:basedOn w:val="9"/>
    <w:link w:val="6"/>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10</Pages>
  <Words>5530</Words>
  <Characters>5659</Characters>
  <Lines>58</Lines>
  <Paragraphs>16</Paragraphs>
  <TotalTime>0</TotalTime>
  <ScaleCrop>false</ScaleCrop>
  <LinksUpToDate>false</LinksUpToDate>
  <CharactersWithSpaces>5674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2024-11-12T01:44:00Z</dcterms:created>
  <dc:creator>Administrator</dc:creator>
  <cp:lastModifiedBy>胡彬彬</cp:lastModifiedBy>
  <cp:lastPrinted>2024-11-15T00:15:00Z</cp:lastPrinted>
  <dcterms:modified xsi:type="dcterms:W3CDTF">2025-04-29T01:24:54Z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eyJoZGlkIjoiMGE1YmQwZmZiOGVlOTBlNWEzN2M1ZWU3NDUzNzM1NzEifQ==</vt:lpwstr>
  </property>
  <property fmtid="{D5CDD505-2E9C-101B-9397-08002B2CF9AE}" pid="3" name="KSOProductBuildVer">
    <vt:lpwstr>2052-12.1.0.20784</vt:lpwstr>
  </property>
  <property fmtid="{D5CDD505-2E9C-101B-9397-08002B2CF9AE}" pid="4" name="ICV">
    <vt:lpwstr>2A0C6A9EC33344509CFF5B3E079BDC80_12</vt:lpwstr>
  </property>
</Properties>
</file>