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Theme="majorEastAsia" w:hAnsiTheme="majorEastAsia" w:eastAsiaTheme="majorEastAsia" w:cstheme="majorEastAsia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项目名称：人民法院特种专业技术用车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采购需求：大型囚车5台150万元、 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8"/>
          <w:szCs w:val="28"/>
          <w:vertAlign w:val="baseline"/>
          <w:lang w:eastAsia="zh-CN"/>
        </w:rPr>
        <w:t>中型囚车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8"/>
          <w:szCs w:val="28"/>
          <w:vertAlign w:val="baseline"/>
          <w:lang w:val="en-US" w:eastAsia="zh-CN"/>
        </w:rPr>
        <w:t xml:space="preserve">3台75万元、 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小型囚车11台297万元。总计：522万元。</w:t>
      </w:r>
    </w:p>
    <w:p>
      <w:pPr>
        <w:rPr>
          <w:rFonts w:hint="default" w:asciiTheme="majorEastAsia" w:hAnsiTheme="majorEastAsia" w:eastAsiaTheme="majorEastAsia" w:cstheme="majorEastAsia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预计采购时间：2025年05月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F21123"/>
    <w:rsid w:val="3DC22E16"/>
    <w:rsid w:val="5911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2024-04-03T02:29:00Z</dcterms:created>
  <dc:creator>Administrator</dc:creator>
  <cp:lastModifiedBy>Administrator</cp:lastModifiedBy>
  <dcterms:modified xsi:type="dcterms:W3CDTF">2025-04-16T03:12:04Z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