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3E89">
      <w:pPr>
        <w:spacing w:line="360" w:lineRule="auto"/>
        <w:jc w:val="center"/>
        <w:rPr>
          <w:rFonts w:hint="eastAsia" w:ascii="仿宋_GB2312" w:hAnsi="宋体" w:eastAsia="仿宋_GB2312"/>
          <w:b/>
          <w:sz w:val="32"/>
          <w:szCs w:val="32"/>
          <w:highlight w:val="none"/>
        </w:rPr>
      </w:pPr>
    </w:p>
    <w:p w14:paraId="146A0C77">
      <w:pPr>
        <w:pStyle w:val="11"/>
        <w:rPr>
          <w:highlight w:val="none"/>
        </w:rPr>
      </w:pPr>
    </w:p>
    <w:p w14:paraId="02772D45">
      <w:pPr>
        <w:spacing w:line="360" w:lineRule="auto"/>
        <w:jc w:val="center"/>
        <w:rPr>
          <w:rFonts w:hint="eastAsia" w:ascii="宋体" w:hAnsi="宋体"/>
          <w:b/>
          <w:sz w:val="52"/>
          <w:szCs w:val="52"/>
          <w:highlight w:val="none"/>
        </w:rPr>
      </w:pPr>
      <w:r>
        <w:rPr>
          <w:rFonts w:hint="eastAsia" w:ascii="宋体" w:hAnsi="宋体"/>
          <w:b/>
          <w:sz w:val="52"/>
          <w:szCs w:val="52"/>
          <w:highlight w:val="none"/>
        </w:rPr>
        <w:t>湖州市中心医院智慧运营管理平台项目</w:t>
      </w:r>
    </w:p>
    <w:p w14:paraId="6231F446">
      <w:pPr>
        <w:pStyle w:val="11"/>
        <w:rPr>
          <w:highlight w:val="none"/>
        </w:rPr>
      </w:pPr>
    </w:p>
    <w:p w14:paraId="74EFC1AB">
      <w:pPr>
        <w:rPr>
          <w:highlight w:val="none"/>
        </w:rPr>
      </w:pPr>
    </w:p>
    <w:p w14:paraId="6D36C828">
      <w:pPr>
        <w:snapToGrid w:val="0"/>
        <w:spacing w:line="360" w:lineRule="auto"/>
        <w:jc w:val="center"/>
        <w:rPr>
          <w:rFonts w:hint="eastAsia" w:ascii="宋体" w:hAnsi="宋体"/>
          <w:b/>
          <w:sz w:val="28"/>
          <w:szCs w:val="28"/>
          <w:highlight w:val="none"/>
        </w:rPr>
      </w:pPr>
      <w:r>
        <w:rPr>
          <w:rFonts w:hint="eastAsia" w:ascii="宋体" w:hAnsi="宋体"/>
          <w:b/>
          <w:sz w:val="28"/>
          <w:szCs w:val="28"/>
          <w:highlight w:val="none"/>
        </w:rPr>
        <w:t>（财政审批编号：</w:t>
      </w:r>
      <w:r>
        <w:rPr>
          <w:rFonts w:hint="eastAsia"/>
          <w:highlight w:val="none"/>
        </w:rPr>
        <w:fldChar w:fldCharType="begin"/>
      </w:r>
      <w:r>
        <w:rPr>
          <w:highlight w:val="none"/>
        </w:rPr>
        <w:instrText xml:space="preserve"> HYPERLINK "https://pay.zcygov.cn/purchaseplan_front/?_app_=zcy.procurement" \l "/plan/list/view?id=1000000000010949232&amp;_app_=zcy.procurement" \t "https://www.zcygov.cn/project-center/_procurement_/purchasePlans/_blank" </w:instrText>
      </w:r>
      <w:r>
        <w:rPr>
          <w:rFonts w:hint="eastAsia"/>
          <w:highlight w:val="none"/>
        </w:rPr>
        <w:fldChar w:fldCharType="separate"/>
      </w:r>
      <w:r>
        <w:rPr>
          <w:rFonts w:hint="eastAsia" w:ascii="宋体" w:hAnsi="宋体"/>
          <w:b/>
          <w:sz w:val="28"/>
          <w:szCs w:val="28"/>
          <w:highlight w:val="none"/>
          <w:lang w:eastAsia="zh-CN"/>
        </w:rPr>
        <w:t>临[2025]207号</w:t>
      </w:r>
      <w:r>
        <w:rPr>
          <w:rFonts w:hint="eastAsia" w:ascii="宋体" w:hAnsi="宋体"/>
          <w:b/>
          <w:sz w:val="28"/>
          <w:szCs w:val="28"/>
          <w:highlight w:val="none"/>
        </w:rPr>
        <w:fldChar w:fldCharType="end"/>
      </w:r>
      <w:r>
        <w:rPr>
          <w:rFonts w:hint="eastAsia" w:ascii="宋体" w:hAnsi="宋体"/>
          <w:b/>
          <w:sz w:val="28"/>
          <w:szCs w:val="28"/>
          <w:highlight w:val="none"/>
        </w:rPr>
        <w:t>）</w:t>
      </w:r>
    </w:p>
    <w:p w14:paraId="7563DA6B">
      <w:pPr>
        <w:snapToGrid w:val="0"/>
        <w:spacing w:before="120" w:beforeLines="50" w:line="360" w:lineRule="auto"/>
        <w:jc w:val="center"/>
        <w:rPr>
          <w:rFonts w:ascii="隶书" w:hAnsi="Arial Narrow" w:eastAsia="楷体_GB2312"/>
          <w:sz w:val="30"/>
          <w:szCs w:val="72"/>
          <w:highlight w:val="none"/>
        </w:rPr>
      </w:pPr>
      <w:r>
        <w:rPr>
          <w:rFonts w:hint="eastAsia" w:ascii="宋体" w:hAnsi="宋体" w:cs="宋体"/>
          <w:b/>
          <w:sz w:val="52"/>
          <w:szCs w:val="52"/>
          <w:highlight w:val="none"/>
        </w:rPr>
        <w:t>（电子招投标）</w:t>
      </w:r>
    </w:p>
    <w:p w14:paraId="7A1F2E88">
      <w:pPr>
        <w:snapToGrid w:val="0"/>
        <w:spacing w:before="120" w:beforeLines="50" w:line="360" w:lineRule="auto"/>
        <w:rPr>
          <w:rFonts w:ascii="隶书" w:hAnsi="Arial Narrow" w:eastAsia="楷体_GB2312"/>
          <w:sz w:val="30"/>
          <w:szCs w:val="72"/>
          <w:highlight w:val="none"/>
        </w:rPr>
      </w:pPr>
    </w:p>
    <w:p w14:paraId="32AEC6F4">
      <w:pPr>
        <w:spacing w:before="120" w:beforeLines="50"/>
        <w:jc w:val="center"/>
        <w:rPr>
          <w:rFonts w:hint="eastAsia" w:ascii="宋体" w:hAnsi="宋体"/>
          <w:sz w:val="72"/>
          <w:szCs w:val="72"/>
          <w:highlight w:val="none"/>
        </w:rPr>
      </w:pPr>
      <w:r>
        <w:rPr>
          <w:rFonts w:hint="eastAsia" w:ascii="宋体" w:hAnsi="宋体"/>
          <w:sz w:val="72"/>
          <w:szCs w:val="72"/>
          <w:highlight w:val="none"/>
        </w:rPr>
        <w:t>公开招标采购文件</w:t>
      </w:r>
    </w:p>
    <w:p w14:paraId="0127FCCA">
      <w:pPr>
        <w:snapToGrid w:val="0"/>
        <w:spacing w:line="360" w:lineRule="auto"/>
        <w:rPr>
          <w:rFonts w:hint="eastAsia" w:ascii="宋体" w:hAnsi="宋体"/>
          <w:sz w:val="30"/>
          <w:szCs w:val="72"/>
          <w:highlight w:val="none"/>
        </w:rPr>
      </w:pPr>
    </w:p>
    <w:p w14:paraId="077331ED">
      <w:pPr>
        <w:snapToGrid w:val="0"/>
        <w:spacing w:line="360" w:lineRule="auto"/>
        <w:rPr>
          <w:rFonts w:hint="eastAsia" w:ascii="宋体" w:hAnsi="宋体"/>
          <w:sz w:val="30"/>
          <w:szCs w:val="72"/>
          <w:highlight w:val="none"/>
        </w:rPr>
      </w:pPr>
    </w:p>
    <w:p w14:paraId="1F466C75">
      <w:pPr>
        <w:snapToGrid w:val="0"/>
        <w:spacing w:line="360" w:lineRule="auto"/>
        <w:rPr>
          <w:rFonts w:hint="eastAsia" w:ascii="宋体" w:hAnsi="宋体"/>
          <w:sz w:val="30"/>
          <w:szCs w:val="72"/>
          <w:highlight w:val="none"/>
        </w:rPr>
      </w:pPr>
    </w:p>
    <w:p w14:paraId="1FD9D5D7">
      <w:pPr>
        <w:pStyle w:val="13"/>
        <w:snapToGrid w:val="0"/>
        <w:spacing w:beforeLines="0" w:afterLines="0" w:line="360" w:lineRule="auto"/>
        <w:ind w:firstLine="596" w:firstLineChars="198"/>
        <w:rPr>
          <w:rFonts w:hint="eastAsia" w:hAnsi="宋体" w:eastAsia="宋体"/>
          <w:b/>
          <w:sz w:val="30"/>
          <w:szCs w:val="30"/>
          <w:highlight w:val="none"/>
          <w:lang w:eastAsia="zh-CN"/>
        </w:rPr>
      </w:pPr>
      <w:r>
        <w:rPr>
          <w:rFonts w:hAnsi="宋体"/>
          <w:b/>
          <w:sz w:val="30"/>
          <w:szCs w:val="30"/>
          <w:highlight w:val="none"/>
        </w:rPr>
        <w:t>项目编号：</w:t>
      </w:r>
      <w:r>
        <w:rPr>
          <w:rFonts w:hint="eastAsia" w:hAnsi="宋体"/>
          <w:b/>
          <w:sz w:val="30"/>
          <w:szCs w:val="30"/>
          <w:highlight w:val="none"/>
          <w:lang w:eastAsia="zh-CN"/>
        </w:rPr>
        <w:t>HYHZ2025-25</w:t>
      </w:r>
    </w:p>
    <w:p w14:paraId="2549333A">
      <w:pPr>
        <w:pStyle w:val="13"/>
        <w:snapToGrid w:val="0"/>
        <w:spacing w:beforeLines="0" w:afterLines="0" w:line="360" w:lineRule="auto"/>
        <w:ind w:left="2086" w:leftChars="282" w:hanging="1494" w:hangingChars="496"/>
        <w:rPr>
          <w:rFonts w:hint="eastAsia" w:hAnsi="宋体"/>
          <w:b/>
          <w:sz w:val="30"/>
          <w:szCs w:val="30"/>
          <w:highlight w:val="none"/>
        </w:rPr>
      </w:pPr>
      <w:r>
        <w:rPr>
          <w:rFonts w:hint="eastAsia" w:hAnsi="宋体"/>
          <w:b/>
          <w:sz w:val="30"/>
          <w:szCs w:val="30"/>
          <w:highlight w:val="none"/>
        </w:rPr>
        <w:t>项目名称：湖州市中心医院智慧运营管理平台项目</w:t>
      </w:r>
    </w:p>
    <w:p w14:paraId="1B98E576">
      <w:pPr>
        <w:pStyle w:val="13"/>
        <w:snapToGrid w:val="0"/>
        <w:spacing w:beforeLines="0" w:afterLines="0" w:line="360" w:lineRule="auto"/>
        <w:ind w:left="2087" w:leftChars="284" w:hanging="1491" w:hangingChars="495"/>
        <w:rPr>
          <w:rFonts w:hint="eastAsia" w:hAnsi="宋体"/>
          <w:b/>
          <w:sz w:val="30"/>
          <w:szCs w:val="30"/>
          <w:highlight w:val="none"/>
        </w:rPr>
      </w:pPr>
      <w:r>
        <w:rPr>
          <w:rFonts w:hAnsi="宋体"/>
          <w:b/>
          <w:sz w:val="30"/>
          <w:szCs w:val="30"/>
          <w:highlight w:val="none"/>
        </w:rPr>
        <w:t>采购单位：</w:t>
      </w:r>
      <w:r>
        <w:rPr>
          <w:rFonts w:hint="eastAsia" w:hAnsi="宋体"/>
          <w:b/>
          <w:sz w:val="30"/>
          <w:szCs w:val="30"/>
          <w:highlight w:val="none"/>
        </w:rPr>
        <w:t>湖州市中心医院</w:t>
      </w:r>
    </w:p>
    <w:p w14:paraId="6C98DCDB">
      <w:pPr>
        <w:pStyle w:val="13"/>
        <w:snapToGrid w:val="0"/>
        <w:spacing w:beforeLines="0" w:afterLines="0" w:line="360" w:lineRule="auto"/>
        <w:ind w:firstLine="590" w:firstLineChars="196"/>
        <w:rPr>
          <w:rFonts w:hint="eastAsia" w:hAnsi="宋体"/>
          <w:b/>
          <w:sz w:val="30"/>
          <w:szCs w:val="30"/>
          <w:highlight w:val="none"/>
        </w:rPr>
      </w:pPr>
      <w:r>
        <w:rPr>
          <w:rFonts w:hAnsi="宋体"/>
          <w:b/>
          <w:sz w:val="30"/>
          <w:szCs w:val="30"/>
          <w:highlight w:val="none"/>
        </w:rPr>
        <w:t>代理机构：</w:t>
      </w:r>
      <w:r>
        <w:rPr>
          <w:rFonts w:hint="eastAsia" w:hAnsi="宋体"/>
          <w:b/>
          <w:sz w:val="30"/>
          <w:szCs w:val="30"/>
          <w:highlight w:val="none"/>
        </w:rPr>
        <w:t>浙江华耀建设咨询有限公司</w:t>
      </w:r>
    </w:p>
    <w:p w14:paraId="4B0E6886">
      <w:pPr>
        <w:pStyle w:val="13"/>
        <w:snapToGrid w:val="0"/>
        <w:spacing w:beforeLines="0" w:afterLines="0" w:line="360" w:lineRule="auto"/>
        <w:ind w:firstLine="590" w:firstLineChars="196"/>
        <w:rPr>
          <w:rFonts w:hint="eastAsia" w:hAnsi="宋体"/>
          <w:b/>
          <w:sz w:val="30"/>
          <w:szCs w:val="30"/>
          <w:highlight w:val="none"/>
        </w:rPr>
      </w:pPr>
    </w:p>
    <w:p w14:paraId="731154FE">
      <w:pPr>
        <w:pStyle w:val="13"/>
        <w:snapToGrid w:val="0"/>
        <w:spacing w:beforeLines="0" w:afterLines="0" w:line="360" w:lineRule="auto"/>
        <w:ind w:firstLine="590" w:firstLineChars="196"/>
        <w:rPr>
          <w:rFonts w:hint="eastAsia" w:hAnsi="宋体"/>
          <w:b/>
          <w:sz w:val="30"/>
          <w:szCs w:val="30"/>
          <w:highlight w:val="none"/>
        </w:rPr>
      </w:pPr>
    </w:p>
    <w:p w14:paraId="411CE181">
      <w:pPr>
        <w:snapToGrid w:val="0"/>
        <w:spacing w:line="360" w:lineRule="auto"/>
        <w:jc w:val="center"/>
        <w:rPr>
          <w:rFonts w:hint="eastAsia" w:ascii="宋体" w:hAnsi="宋体"/>
          <w:b/>
          <w:bCs/>
          <w:w w:val="95"/>
          <w:sz w:val="30"/>
          <w:szCs w:val="30"/>
          <w:highlight w:val="none"/>
        </w:rPr>
      </w:pPr>
      <w:r>
        <w:rPr>
          <w:rFonts w:hint="eastAsia" w:ascii="宋体" w:hAnsi="宋体"/>
          <w:b/>
          <w:bCs/>
          <w:w w:val="95"/>
          <w:sz w:val="30"/>
          <w:szCs w:val="30"/>
          <w:highlight w:val="none"/>
          <w:lang w:eastAsia="zh-CN"/>
        </w:rPr>
        <w:t>2025年</w:t>
      </w:r>
      <w:r>
        <w:rPr>
          <w:rFonts w:hint="eastAsia" w:ascii="宋体" w:hAnsi="宋体"/>
          <w:b/>
          <w:bCs/>
          <w:w w:val="95"/>
          <w:sz w:val="30"/>
          <w:szCs w:val="30"/>
          <w:highlight w:val="none"/>
        </w:rPr>
        <w:t xml:space="preserve"> 月 日</w:t>
      </w:r>
    </w:p>
    <w:p w14:paraId="080DEB75">
      <w:pPr>
        <w:pStyle w:val="13"/>
        <w:spacing w:beforeLines="0" w:afterLines="0" w:line="360" w:lineRule="auto"/>
        <w:jc w:val="center"/>
        <w:rPr>
          <w:rFonts w:hint="eastAsia" w:ascii="创艺简标宋" w:hAnsi="宋体" w:eastAsia="创艺简标宋"/>
          <w:b/>
          <w:sz w:val="44"/>
          <w:szCs w:val="44"/>
          <w:highlight w:val="none"/>
        </w:rPr>
      </w:pPr>
    </w:p>
    <w:p w14:paraId="44F87986">
      <w:pPr>
        <w:pStyle w:val="13"/>
        <w:spacing w:beforeLines="0" w:afterLines="0" w:line="360" w:lineRule="auto"/>
        <w:jc w:val="center"/>
        <w:rPr>
          <w:rFonts w:hint="eastAsia" w:ascii="创艺简标宋" w:hAnsi="宋体" w:eastAsia="创艺简标宋"/>
          <w:b/>
          <w:sz w:val="44"/>
          <w:szCs w:val="44"/>
          <w:highlight w:val="none"/>
        </w:rPr>
      </w:pPr>
    </w:p>
    <w:p w14:paraId="30BBDDD3">
      <w:pPr>
        <w:pStyle w:val="13"/>
        <w:spacing w:beforeLines="0" w:afterLines="0" w:line="360" w:lineRule="auto"/>
        <w:jc w:val="center"/>
        <w:rPr>
          <w:rFonts w:hint="eastAsia" w:ascii="创艺简标宋" w:hAnsi="宋体" w:eastAsia="创艺简标宋"/>
          <w:b/>
          <w:sz w:val="44"/>
          <w:szCs w:val="44"/>
          <w:highlight w:val="none"/>
        </w:rPr>
      </w:pPr>
    </w:p>
    <w:p w14:paraId="17A88879">
      <w:pPr>
        <w:pStyle w:val="13"/>
        <w:spacing w:beforeLines="0" w:afterLines="0" w:line="360" w:lineRule="auto"/>
        <w:jc w:val="center"/>
        <w:rPr>
          <w:rFonts w:hint="eastAsia" w:ascii="创艺简标宋" w:hAnsi="宋体" w:eastAsia="创艺简标宋"/>
          <w:b/>
          <w:sz w:val="44"/>
          <w:szCs w:val="44"/>
          <w:highlight w:val="none"/>
        </w:rPr>
      </w:pPr>
      <w:r>
        <w:rPr>
          <w:rFonts w:hint="eastAsia" w:ascii="创艺简标宋" w:hAnsi="宋体" w:eastAsia="创艺简标宋"/>
          <w:b/>
          <w:sz w:val="44"/>
          <w:szCs w:val="44"/>
          <w:highlight w:val="none"/>
        </w:rPr>
        <w:t>目    录</w:t>
      </w:r>
    </w:p>
    <w:p w14:paraId="0ADC7F1E">
      <w:pPr>
        <w:pStyle w:val="13"/>
        <w:spacing w:beforeLines="0" w:afterLines="0" w:line="360" w:lineRule="auto"/>
        <w:jc w:val="center"/>
        <w:rPr>
          <w:rFonts w:hint="eastAsia" w:ascii="创艺简标宋" w:hAnsi="宋体" w:eastAsia="创艺简标宋"/>
          <w:sz w:val="44"/>
          <w:szCs w:val="44"/>
          <w:highlight w:val="none"/>
        </w:rPr>
      </w:pPr>
    </w:p>
    <w:p w14:paraId="712E63D7">
      <w:pPr>
        <w:pStyle w:val="13"/>
        <w:spacing w:beforeLines="0" w:afterLines="0" w:line="360" w:lineRule="auto"/>
        <w:ind w:left="880" w:hanging="880"/>
        <w:jc w:val="center"/>
        <w:rPr>
          <w:rFonts w:hint="eastAsia" w:ascii="创艺简标宋" w:hAnsi="宋体" w:eastAsia="创艺简标宋"/>
          <w:sz w:val="44"/>
          <w:szCs w:val="44"/>
          <w:highlight w:val="none"/>
        </w:rPr>
      </w:pPr>
    </w:p>
    <w:p w14:paraId="55F782D0">
      <w:pPr>
        <w:numPr>
          <w:ilvl w:val="0"/>
          <w:numId w:val="3"/>
        </w:numPr>
        <w:spacing w:line="360" w:lineRule="auto"/>
        <w:ind w:left="600" w:hanging="600"/>
        <w:rPr>
          <w:rFonts w:hint="eastAsia" w:ascii="宋体" w:hAnsi="宋体"/>
          <w:sz w:val="30"/>
          <w:szCs w:val="20"/>
          <w:highlight w:val="none"/>
        </w:rPr>
      </w:pPr>
      <w:r>
        <w:rPr>
          <w:rFonts w:hint="eastAsia" w:ascii="宋体" w:hAnsi="宋体"/>
          <w:sz w:val="30"/>
          <w:highlight w:val="none"/>
        </w:rPr>
        <w:t>公开招标采购公告   -------------------------3</w:t>
      </w:r>
    </w:p>
    <w:p w14:paraId="25B45A71">
      <w:pPr>
        <w:numPr>
          <w:ilvl w:val="0"/>
          <w:numId w:val="3"/>
        </w:numPr>
        <w:spacing w:line="360" w:lineRule="auto"/>
        <w:ind w:left="600" w:hanging="600"/>
        <w:rPr>
          <w:rFonts w:hint="eastAsia" w:ascii="宋体" w:hAnsi="宋体"/>
          <w:sz w:val="30"/>
          <w:szCs w:val="20"/>
          <w:highlight w:val="none"/>
        </w:rPr>
      </w:pPr>
      <w:r>
        <w:rPr>
          <w:rFonts w:hint="eastAsia" w:ascii="宋体" w:hAnsi="宋体"/>
          <w:sz w:val="30"/>
          <w:highlight w:val="none"/>
        </w:rPr>
        <w:t>招标需求   ---------------------------------7</w:t>
      </w:r>
    </w:p>
    <w:p w14:paraId="2590B7F5">
      <w:pPr>
        <w:numPr>
          <w:ilvl w:val="0"/>
          <w:numId w:val="3"/>
        </w:numPr>
        <w:spacing w:line="360" w:lineRule="auto"/>
        <w:ind w:left="600" w:hanging="600"/>
        <w:rPr>
          <w:sz w:val="30"/>
          <w:szCs w:val="30"/>
          <w:highlight w:val="none"/>
        </w:rPr>
      </w:pPr>
      <w:r>
        <w:rPr>
          <w:rFonts w:hint="eastAsia" w:ascii="宋体" w:hAnsi="宋体"/>
          <w:sz w:val="30"/>
          <w:highlight w:val="none"/>
        </w:rPr>
        <w:t>投标人须知    -----------------------------19</w:t>
      </w:r>
    </w:p>
    <w:p w14:paraId="5F6C3CB4">
      <w:pPr>
        <w:spacing w:line="360" w:lineRule="auto"/>
        <w:ind w:firstLine="1350" w:firstLineChars="450"/>
        <w:rPr>
          <w:rFonts w:hint="eastAsia" w:ascii="宋体" w:hAnsi="宋体"/>
          <w:sz w:val="30"/>
          <w:highlight w:val="none"/>
        </w:rPr>
      </w:pPr>
      <w:r>
        <w:rPr>
          <w:rFonts w:hint="eastAsia"/>
          <w:sz w:val="30"/>
          <w:szCs w:val="30"/>
          <w:highlight w:val="none"/>
        </w:rPr>
        <w:t xml:space="preserve">一、总则    </w:t>
      </w:r>
      <w:r>
        <w:rPr>
          <w:rFonts w:hint="eastAsia" w:ascii="宋体" w:hAnsi="宋体"/>
          <w:sz w:val="30"/>
          <w:highlight w:val="none"/>
        </w:rPr>
        <w:t>--------------------------------20</w:t>
      </w:r>
    </w:p>
    <w:p w14:paraId="5425D912">
      <w:pPr>
        <w:spacing w:line="360" w:lineRule="auto"/>
        <w:ind w:firstLine="1350" w:firstLineChars="450"/>
        <w:rPr>
          <w:rFonts w:hint="eastAsia" w:ascii="宋体" w:hAnsi="宋体"/>
          <w:sz w:val="30"/>
          <w:highlight w:val="none"/>
        </w:rPr>
      </w:pPr>
      <w:r>
        <w:rPr>
          <w:rFonts w:hint="eastAsia"/>
          <w:sz w:val="30"/>
          <w:szCs w:val="30"/>
          <w:highlight w:val="none"/>
        </w:rPr>
        <w:t xml:space="preserve">二、招标文件    </w:t>
      </w:r>
      <w:r>
        <w:rPr>
          <w:rFonts w:hint="eastAsia" w:ascii="宋体" w:hAnsi="宋体"/>
          <w:sz w:val="30"/>
          <w:highlight w:val="none"/>
        </w:rPr>
        <w:t>----------------------------23</w:t>
      </w:r>
    </w:p>
    <w:p w14:paraId="48855B70">
      <w:pPr>
        <w:spacing w:line="360" w:lineRule="auto"/>
        <w:ind w:firstLine="1350" w:firstLineChars="450"/>
        <w:rPr>
          <w:rFonts w:hint="eastAsia" w:ascii="宋体" w:hAnsi="宋体"/>
          <w:sz w:val="30"/>
          <w:highlight w:val="none"/>
        </w:rPr>
      </w:pPr>
      <w:r>
        <w:rPr>
          <w:rFonts w:hint="eastAsia"/>
          <w:sz w:val="30"/>
          <w:szCs w:val="30"/>
          <w:highlight w:val="none"/>
        </w:rPr>
        <w:t xml:space="preserve">三、投标文件的编制     </w:t>
      </w:r>
      <w:r>
        <w:rPr>
          <w:rFonts w:hint="eastAsia" w:ascii="宋体" w:hAnsi="宋体"/>
          <w:sz w:val="30"/>
          <w:highlight w:val="none"/>
        </w:rPr>
        <w:t>---------------------24</w:t>
      </w:r>
    </w:p>
    <w:p w14:paraId="31A9391B">
      <w:pPr>
        <w:spacing w:line="360" w:lineRule="auto"/>
        <w:ind w:firstLine="1350" w:firstLineChars="450"/>
        <w:rPr>
          <w:rFonts w:hint="eastAsia" w:ascii="宋体" w:hAnsi="宋体"/>
          <w:sz w:val="30"/>
          <w:highlight w:val="none"/>
        </w:rPr>
      </w:pPr>
      <w:r>
        <w:rPr>
          <w:rFonts w:hint="eastAsia"/>
          <w:sz w:val="30"/>
          <w:szCs w:val="30"/>
          <w:highlight w:val="none"/>
        </w:rPr>
        <w:t xml:space="preserve">四、开标   </w:t>
      </w:r>
      <w:r>
        <w:rPr>
          <w:rFonts w:hint="eastAsia" w:ascii="宋体" w:hAnsi="宋体"/>
          <w:sz w:val="30"/>
          <w:highlight w:val="none"/>
        </w:rPr>
        <w:t>---------------------------------29</w:t>
      </w:r>
    </w:p>
    <w:p w14:paraId="058D2290">
      <w:pPr>
        <w:spacing w:line="360" w:lineRule="auto"/>
        <w:ind w:firstLine="1350" w:firstLineChars="450"/>
        <w:rPr>
          <w:rFonts w:hint="eastAsia" w:ascii="宋体" w:hAnsi="宋体"/>
          <w:sz w:val="30"/>
          <w:highlight w:val="none"/>
        </w:rPr>
      </w:pPr>
      <w:r>
        <w:rPr>
          <w:rFonts w:hint="eastAsia"/>
          <w:sz w:val="30"/>
          <w:szCs w:val="30"/>
          <w:highlight w:val="none"/>
        </w:rPr>
        <w:t xml:space="preserve">五、评标   </w:t>
      </w:r>
      <w:r>
        <w:rPr>
          <w:rFonts w:hint="eastAsia" w:ascii="宋体" w:hAnsi="宋体"/>
          <w:sz w:val="30"/>
          <w:highlight w:val="none"/>
        </w:rPr>
        <w:t>---------------------------------30</w:t>
      </w:r>
    </w:p>
    <w:p w14:paraId="68101BB2">
      <w:pPr>
        <w:spacing w:line="360" w:lineRule="auto"/>
        <w:ind w:firstLine="1350" w:firstLineChars="450"/>
        <w:rPr>
          <w:rFonts w:hint="eastAsia" w:ascii="宋体" w:hAnsi="宋体"/>
          <w:sz w:val="30"/>
          <w:highlight w:val="none"/>
        </w:rPr>
      </w:pPr>
      <w:r>
        <w:rPr>
          <w:rFonts w:hint="eastAsia"/>
          <w:sz w:val="30"/>
          <w:szCs w:val="30"/>
          <w:highlight w:val="none"/>
        </w:rPr>
        <w:t xml:space="preserve">六、定标   </w:t>
      </w:r>
      <w:r>
        <w:rPr>
          <w:rFonts w:hint="eastAsia" w:ascii="宋体" w:hAnsi="宋体"/>
          <w:sz w:val="30"/>
          <w:highlight w:val="none"/>
        </w:rPr>
        <w:t>---------------------------------32</w:t>
      </w:r>
    </w:p>
    <w:p w14:paraId="36A302D5">
      <w:pPr>
        <w:spacing w:line="360" w:lineRule="auto"/>
        <w:ind w:firstLine="1350" w:firstLineChars="450"/>
        <w:rPr>
          <w:sz w:val="30"/>
          <w:szCs w:val="30"/>
          <w:highlight w:val="none"/>
        </w:rPr>
      </w:pPr>
      <w:r>
        <w:rPr>
          <w:rFonts w:hint="eastAsia"/>
          <w:sz w:val="30"/>
          <w:szCs w:val="30"/>
          <w:highlight w:val="none"/>
        </w:rPr>
        <w:t xml:space="preserve">七、合同授予   </w:t>
      </w:r>
      <w:r>
        <w:rPr>
          <w:rFonts w:hint="eastAsia" w:ascii="宋体" w:hAnsi="宋体"/>
          <w:sz w:val="30"/>
          <w:highlight w:val="none"/>
        </w:rPr>
        <w:t>-----------------------------33</w:t>
      </w:r>
    </w:p>
    <w:p w14:paraId="7F8CE60D">
      <w:pPr>
        <w:numPr>
          <w:ilvl w:val="0"/>
          <w:numId w:val="3"/>
        </w:numPr>
        <w:spacing w:line="360" w:lineRule="auto"/>
        <w:ind w:left="600" w:hanging="600"/>
        <w:rPr>
          <w:rFonts w:hint="eastAsia" w:ascii="宋体" w:hAnsi="宋体"/>
          <w:sz w:val="30"/>
          <w:szCs w:val="20"/>
          <w:highlight w:val="none"/>
        </w:rPr>
      </w:pPr>
      <w:r>
        <w:rPr>
          <w:rFonts w:hint="eastAsia" w:ascii="宋体" w:hAnsi="宋体"/>
          <w:sz w:val="30"/>
          <w:highlight w:val="none"/>
        </w:rPr>
        <w:t>评标办法及评分标准 ------------------------34</w:t>
      </w:r>
    </w:p>
    <w:p w14:paraId="656B38E6">
      <w:pPr>
        <w:numPr>
          <w:ilvl w:val="0"/>
          <w:numId w:val="3"/>
        </w:numPr>
        <w:spacing w:line="360" w:lineRule="auto"/>
        <w:ind w:left="600" w:hanging="600"/>
        <w:rPr>
          <w:rFonts w:hint="eastAsia" w:ascii="宋体" w:hAnsi="宋体"/>
          <w:sz w:val="30"/>
          <w:szCs w:val="20"/>
          <w:highlight w:val="none"/>
        </w:rPr>
      </w:pPr>
      <w:r>
        <w:rPr>
          <w:rFonts w:hint="eastAsia" w:ascii="宋体" w:hAnsi="宋体"/>
          <w:sz w:val="30"/>
          <w:highlight w:val="none"/>
        </w:rPr>
        <w:t>政府采购合同主要条款-----------------------38</w:t>
      </w:r>
    </w:p>
    <w:p w14:paraId="39C52E26">
      <w:pPr>
        <w:numPr>
          <w:ilvl w:val="0"/>
          <w:numId w:val="3"/>
        </w:numPr>
        <w:spacing w:line="360" w:lineRule="auto"/>
        <w:ind w:left="600" w:hanging="600"/>
        <w:rPr>
          <w:rFonts w:hint="eastAsia" w:ascii="宋体" w:hAnsi="宋体"/>
          <w:sz w:val="30"/>
          <w:szCs w:val="20"/>
          <w:highlight w:val="none"/>
        </w:rPr>
      </w:pPr>
      <w:r>
        <w:rPr>
          <w:rFonts w:hint="eastAsia" w:ascii="宋体" w:hAnsi="宋体"/>
          <w:sz w:val="30"/>
          <w:highlight w:val="none"/>
        </w:rPr>
        <w:t>投标文件格式    ---------------------------41</w:t>
      </w:r>
    </w:p>
    <w:p w14:paraId="218713C0">
      <w:pPr>
        <w:rPr>
          <w:highlight w:val="none"/>
        </w:rPr>
      </w:pPr>
    </w:p>
    <w:p w14:paraId="3A5DEC2E">
      <w:pPr>
        <w:rPr>
          <w:highlight w:val="none"/>
        </w:rPr>
      </w:pPr>
    </w:p>
    <w:p w14:paraId="36C0E9DF">
      <w:pPr>
        <w:rPr>
          <w:highlight w:val="none"/>
        </w:rPr>
      </w:pPr>
    </w:p>
    <w:p w14:paraId="7BECF5F7">
      <w:pPr>
        <w:rPr>
          <w:highlight w:val="none"/>
        </w:rPr>
      </w:pPr>
    </w:p>
    <w:p w14:paraId="4866C82A">
      <w:pPr>
        <w:rPr>
          <w:highlight w:val="none"/>
        </w:rPr>
      </w:pPr>
    </w:p>
    <w:p w14:paraId="38C0B8BE">
      <w:pPr>
        <w:spacing w:line="360" w:lineRule="auto"/>
        <w:rPr>
          <w:rFonts w:hint="eastAsia" w:ascii="宋体" w:hAnsi="宋体"/>
          <w:sz w:val="30"/>
          <w:szCs w:val="20"/>
          <w:highlight w:val="none"/>
        </w:rPr>
      </w:pPr>
    </w:p>
    <w:p w14:paraId="56E84B9F">
      <w:pPr>
        <w:rPr>
          <w:highlight w:val="none"/>
        </w:rPr>
      </w:pPr>
    </w:p>
    <w:p w14:paraId="3A58997E">
      <w:pPr>
        <w:rPr>
          <w:highlight w:val="none"/>
        </w:rPr>
      </w:pPr>
    </w:p>
    <w:p w14:paraId="05997487">
      <w:pPr>
        <w:pStyle w:val="11"/>
        <w:rPr>
          <w:highlight w:val="none"/>
        </w:rPr>
      </w:pPr>
    </w:p>
    <w:p w14:paraId="11A2078E">
      <w:pPr>
        <w:pStyle w:val="13"/>
        <w:snapToGrid w:val="0"/>
        <w:spacing w:beforeLines="0" w:afterLines="0" w:line="360" w:lineRule="auto"/>
        <w:jc w:val="center"/>
        <w:outlineLvl w:val="0"/>
        <w:rPr>
          <w:rFonts w:hint="eastAsia" w:ascii="黑体" w:hAnsi="宋体" w:eastAsia="黑体"/>
          <w:sz w:val="30"/>
          <w:szCs w:val="30"/>
          <w:highlight w:val="none"/>
        </w:rPr>
      </w:pPr>
      <w:r>
        <w:rPr>
          <w:rFonts w:hint="eastAsia" w:ascii="黑体" w:hAnsi="宋体" w:eastAsia="黑体"/>
          <w:sz w:val="30"/>
          <w:szCs w:val="30"/>
          <w:highlight w:val="none"/>
        </w:rPr>
        <w:t>第一章  公开招标采购公告</w:t>
      </w:r>
    </w:p>
    <w:p w14:paraId="0AB7735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sz w:val="24"/>
          <w:highlight w:val="none"/>
        </w:rPr>
      </w:pPr>
      <w:r>
        <w:rPr>
          <w:rFonts w:hint="eastAsia" w:ascii="宋体" w:hAnsi="宋体"/>
          <w:sz w:val="24"/>
          <w:highlight w:val="none"/>
        </w:rPr>
        <w:t>项目概况</w:t>
      </w:r>
    </w:p>
    <w:p w14:paraId="70389A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sz w:val="24"/>
          <w:highlight w:val="none"/>
        </w:rPr>
      </w:pPr>
      <w:r>
        <w:rPr>
          <w:rFonts w:hint="eastAsia" w:ascii="宋体" w:hAnsi="宋体"/>
          <w:sz w:val="24"/>
          <w:highlight w:val="none"/>
        </w:rPr>
        <w:t>湖州市中心医院智慧运营管理平台项目招标项目的潜在投标人应在浙江政府采购网（http://zfcg.czt.zj.gov.cn/）获取招标文件，并于</w:t>
      </w:r>
      <w:r>
        <w:rPr>
          <w:rFonts w:hint="eastAsia" w:ascii="宋体" w:hAnsi="宋体"/>
          <w:sz w:val="24"/>
          <w:highlight w:val="none"/>
          <w:lang w:eastAsia="zh-CN"/>
        </w:rPr>
        <w:t>2025年</w:t>
      </w:r>
      <w:r>
        <w:rPr>
          <w:rFonts w:hint="eastAsia" w:ascii="宋体" w:hAnsi="宋体"/>
          <w:sz w:val="24"/>
          <w:highlight w:val="none"/>
        </w:rPr>
        <w:t xml:space="preserve"> 月 日14：00（北京时间）前递交投标文件。</w:t>
      </w:r>
    </w:p>
    <w:p w14:paraId="752FA74C">
      <w:pPr>
        <w:snapToGrid w:val="0"/>
        <w:spacing w:line="360" w:lineRule="auto"/>
        <w:ind w:firstLine="482" w:firstLineChars="200"/>
        <w:rPr>
          <w:rFonts w:hint="eastAsia" w:ascii="宋体" w:hAnsi="宋体"/>
          <w:sz w:val="24"/>
          <w:highlight w:val="none"/>
        </w:rPr>
      </w:pPr>
      <w:r>
        <w:rPr>
          <w:rFonts w:hint="eastAsia" w:ascii="宋体" w:hAnsi="宋体" w:cs="Arial"/>
          <w:b/>
          <w:sz w:val="24"/>
          <w:highlight w:val="none"/>
        </w:rPr>
        <w:t>一、项目基本情况</w:t>
      </w:r>
    </w:p>
    <w:p w14:paraId="161F8E5D">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项目编号：</w:t>
      </w:r>
      <w:r>
        <w:rPr>
          <w:rFonts w:hint="eastAsia" w:ascii="宋体" w:hAnsi="宋体"/>
          <w:sz w:val="24"/>
          <w:highlight w:val="none"/>
          <w:lang w:eastAsia="zh-CN"/>
        </w:rPr>
        <w:t>HYHZ2025-25</w:t>
      </w:r>
    </w:p>
    <w:p w14:paraId="52CDA12E">
      <w:pPr>
        <w:spacing w:line="360" w:lineRule="auto"/>
        <w:ind w:firstLine="480" w:firstLineChars="200"/>
        <w:rPr>
          <w:rFonts w:hint="eastAsia" w:ascii="宋体" w:hAnsi="宋体"/>
          <w:sz w:val="24"/>
          <w:highlight w:val="none"/>
        </w:rPr>
      </w:pPr>
      <w:r>
        <w:rPr>
          <w:rFonts w:hint="eastAsia" w:ascii="宋体" w:hAnsi="宋体"/>
          <w:sz w:val="24"/>
          <w:highlight w:val="none"/>
        </w:rPr>
        <w:t>项目名称：湖州市中心医院智慧运营管理平台项目</w:t>
      </w:r>
    </w:p>
    <w:p w14:paraId="47AC0ECF">
      <w:pPr>
        <w:spacing w:line="360" w:lineRule="auto"/>
        <w:ind w:firstLine="480" w:firstLineChars="200"/>
        <w:rPr>
          <w:rFonts w:hint="eastAsia" w:ascii="宋体" w:hAnsi="宋体"/>
          <w:sz w:val="24"/>
          <w:highlight w:val="none"/>
        </w:rPr>
      </w:pPr>
      <w:r>
        <w:rPr>
          <w:rFonts w:hint="eastAsia" w:ascii="宋体" w:hAnsi="宋体"/>
          <w:sz w:val="24"/>
          <w:highlight w:val="none"/>
        </w:rPr>
        <w:t>预算金额：</w:t>
      </w:r>
      <w:r>
        <w:rPr>
          <w:rFonts w:hint="eastAsia" w:ascii="宋体" w:hAnsi="宋体" w:cs="宋体"/>
          <w:kern w:val="0"/>
          <w:sz w:val="24"/>
          <w:highlight w:val="none"/>
        </w:rPr>
        <w:t>327.9万元</w:t>
      </w:r>
    </w:p>
    <w:p w14:paraId="7045E3F4">
      <w:pPr>
        <w:spacing w:line="360" w:lineRule="auto"/>
        <w:ind w:firstLine="480" w:firstLineChars="200"/>
        <w:rPr>
          <w:rFonts w:hint="eastAsia" w:ascii="宋体" w:hAnsi="宋体"/>
          <w:sz w:val="24"/>
          <w:highlight w:val="none"/>
        </w:rPr>
      </w:pPr>
      <w:r>
        <w:rPr>
          <w:rFonts w:hint="eastAsia" w:ascii="宋体" w:hAnsi="宋体"/>
          <w:sz w:val="24"/>
          <w:highlight w:val="none"/>
        </w:rPr>
        <w:t>最高限价：</w:t>
      </w:r>
      <w:r>
        <w:rPr>
          <w:rFonts w:hint="eastAsia" w:ascii="宋体" w:hAnsi="宋体" w:cs="宋体"/>
          <w:kern w:val="0"/>
          <w:sz w:val="24"/>
          <w:highlight w:val="none"/>
        </w:rPr>
        <w:t>327.9万元</w:t>
      </w:r>
    </w:p>
    <w:p w14:paraId="31E92D79">
      <w:pPr>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采购需求：详</w:t>
      </w:r>
      <w:r>
        <w:rPr>
          <w:rFonts w:hint="eastAsia" w:ascii="宋体" w:hAnsi="宋体" w:cs="仿宋"/>
          <w:sz w:val="24"/>
          <w:highlight w:val="none"/>
        </w:rPr>
        <w:t>见招标文件第二章采购需求</w:t>
      </w:r>
    </w:p>
    <w:p w14:paraId="1FC53C23">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合同履行期限：二年，</w:t>
      </w:r>
      <w:r>
        <w:rPr>
          <w:rFonts w:hint="eastAsia" w:ascii="宋体" w:hAnsi="宋体"/>
          <w:sz w:val="24"/>
          <w:highlight w:val="none"/>
        </w:rPr>
        <w:t>详</w:t>
      </w:r>
      <w:r>
        <w:rPr>
          <w:rFonts w:hint="eastAsia" w:ascii="宋体" w:hAnsi="宋体" w:cs="仿宋"/>
          <w:sz w:val="24"/>
          <w:highlight w:val="none"/>
        </w:rPr>
        <w:t>见招标文件第二章采购需求</w:t>
      </w:r>
    </w:p>
    <w:p w14:paraId="22091F2F">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本项目（</w:t>
      </w:r>
      <w:r>
        <w:rPr>
          <w:rFonts w:hint="eastAsia" w:ascii="宋体" w:hAnsi="宋体" w:cs="仿宋"/>
          <w:i/>
          <w:sz w:val="24"/>
          <w:highlight w:val="none"/>
        </w:rPr>
        <w:t>否</w:t>
      </w:r>
      <w:r>
        <w:rPr>
          <w:rFonts w:hint="eastAsia" w:ascii="宋体" w:hAnsi="宋体" w:cs="仿宋"/>
          <w:sz w:val="24"/>
          <w:highlight w:val="none"/>
        </w:rPr>
        <w:t>）接受联合体投标。</w:t>
      </w:r>
    </w:p>
    <w:p w14:paraId="41A21491">
      <w:pPr>
        <w:snapToGrid w:val="0"/>
        <w:spacing w:line="360" w:lineRule="auto"/>
        <w:ind w:firstLine="482" w:firstLineChars="200"/>
        <w:rPr>
          <w:rFonts w:hint="eastAsia" w:ascii="宋体" w:hAnsi="宋体" w:cs="Arial"/>
          <w:b/>
          <w:sz w:val="24"/>
          <w:highlight w:val="none"/>
        </w:rPr>
      </w:pPr>
      <w:r>
        <w:rPr>
          <w:rFonts w:hint="eastAsia" w:ascii="宋体" w:hAnsi="宋体" w:cs="Arial"/>
          <w:b/>
          <w:sz w:val="24"/>
          <w:highlight w:val="none"/>
        </w:rPr>
        <w:t xml:space="preserve">二、申请人的资格要求 </w:t>
      </w:r>
    </w:p>
    <w:p w14:paraId="00D68C55">
      <w:pPr>
        <w:snapToGrid w:val="0"/>
        <w:spacing w:line="360" w:lineRule="auto"/>
        <w:ind w:firstLine="480" w:firstLineChars="200"/>
        <w:rPr>
          <w:rFonts w:hint="eastAsia" w:ascii="宋体" w:hAnsi="宋体"/>
          <w:sz w:val="24"/>
          <w:highlight w:val="none"/>
        </w:rPr>
      </w:pPr>
      <w:r>
        <w:rPr>
          <w:rFonts w:hint="eastAsia" w:ascii="宋体" w:hAnsi="宋体" w:cs="仿宋"/>
          <w:sz w:val="24"/>
          <w:highlight w:val="none"/>
        </w:rPr>
        <w:t>1.满足《中华人民共和国政府采购法》第二十二条规定；</w:t>
      </w:r>
      <w:r>
        <w:rPr>
          <w:rFonts w:hint="eastAsia" w:ascii="宋体" w:hAnsi="宋体"/>
          <w:sz w:val="24"/>
          <w:highlight w:val="none"/>
        </w:rPr>
        <w:t>未被“信用中国”（www.creditchina.gov.cn）、中国政府采购网（www.ccgp.gov.cn）列入失信被执行人、重大税收违法案件当事人名单、政府采购严重违法失信行为记录名单。</w:t>
      </w:r>
    </w:p>
    <w:p w14:paraId="45DF2765">
      <w:pPr>
        <w:widowControl/>
        <w:spacing w:line="360" w:lineRule="auto"/>
        <w:ind w:firstLine="482" w:firstLineChars="200"/>
        <w:jc w:val="left"/>
        <w:rPr>
          <w:rFonts w:hint="eastAsia" w:ascii="宋体" w:hAnsi="宋体" w:cs="宋体"/>
          <w:sz w:val="24"/>
          <w:szCs w:val="20"/>
          <w:highlight w:val="none"/>
        </w:rPr>
      </w:pPr>
      <w:r>
        <w:rPr>
          <w:rFonts w:hint="eastAsia" w:ascii="宋体" w:hAnsi="宋体"/>
          <w:b/>
          <w:sz w:val="24"/>
          <w:highlight w:val="none"/>
        </w:rPr>
        <w:t>2.落实政府采购政策需满足的资格要求：</w:t>
      </w:r>
      <w:r>
        <w:rPr>
          <w:rFonts w:hint="eastAsia" w:ascii="宋体" w:hAnsi="宋体"/>
          <w:sz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r>
        <w:rPr>
          <w:rFonts w:hint="eastAsia" w:ascii="宋体" w:hAnsi="宋体" w:cs="宋体"/>
          <w:sz w:val="24"/>
          <w:szCs w:val="20"/>
          <w:highlight w:val="none"/>
        </w:rPr>
        <w:t>；</w:t>
      </w:r>
    </w:p>
    <w:p w14:paraId="51EEA6AF">
      <w:pPr>
        <w:widowControl/>
        <w:spacing w:line="360" w:lineRule="auto"/>
        <w:ind w:firstLine="482" w:firstLineChars="200"/>
        <w:jc w:val="left"/>
        <w:rPr>
          <w:rFonts w:hint="eastAsia" w:ascii="宋体" w:hAnsi="宋体"/>
          <w:b/>
          <w:sz w:val="24"/>
          <w:highlight w:val="none"/>
          <w:lang w:val="zh-CN"/>
        </w:rPr>
      </w:pPr>
      <w:r>
        <w:rPr>
          <w:rFonts w:hint="eastAsia"/>
          <w:b/>
          <w:sz w:val="24"/>
          <w:highlight w:val="none"/>
        </w:rPr>
        <w:t>▲</w:t>
      </w:r>
      <w:r>
        <w:rPr>
          <w:rFonts w:hint="eastAsia" w:ascii="宋体" w:hAnsi="宋体"/>
          <w:b/>
          <w:sz w:val="24"/>
          <w:highlight w:val="none"/>
          <w:lang w:val="zh-CN"/>
        </w:rPr>
        <w:t>3.本项目的特定资格要求：无</w:t>
      </w:r>
    </w:p>
    <w:p w14:paraId="19087862">
      <w:pPr>
        <w:snapToGrid w:val="0"/>
        <w:spacing w:line="360" w:lineRule="auto"/>
        <w:ind w:firstLine="482" w:firstLineChars="200"/>
        <w:rPr>
          <w:rFonts w:hint="eastAsia" w:ascii="宋体" w:hAnsi="宋体" w:cs="Arial"/>
          <w:b/>
          <w:sz w:val="24"/>
          <w:highlight w:val="none"/>
        </w:rPr>
      </w:pPr>
      <w:r>
        <w:rPr>
          <w:rFonts w:hint="eastAsia" w:ascii="宋体" w:hAnsi="宋体" w:cs="Arial"/>
          <w:b/>
          <w:sz w:val="24"/>
          <w:highlight w:val="none"/>
        </w:rPr>
        <w:t xml:space="preserve">三、获取招标文件 </w:t>
      </w:r>
    </w:p>
    <w:p w14:paraId="6DCBA71F">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时间：</w:t>
      </w:r>
      <w:r>
        <w:rPr>
          <w:rFonts w:hint="eastAsia" w:ascii="宋体" w:hAnsi="宋体" w:cs="仿宋"/>
          <w:sz w:val="24"/>
          <w:highlight w:val="none"/>
          <w:lang w:eastAsia="zh-CN"/>
        </w:rPr>
        <w:t>2025年</w:t>
      </w:r>
      <w:r>
        <w:rPr>
          <w:rFonts w:hint="eastAsia" w:ascii="宋体" w:hAnsi="宋体" w:cs="仿宋"/>
          <w:sz w:val="24"/>
          <w:highlight w:val="none"/>
        </w:rPr>
        <w:t xml:space="preserve"> 月 日至 </w:t>
      </w:r>
      <w:r>
        <w:rPr>
          <w:rFonts w:hint="eastAsia" w:ascii="宋体" w:hAnsi="宋体"/>
          <w:sz w:val="24"/>
          <w:highlight w:val="none"/>
          <w:lang w:eastAsia="zh-CN"/>
        </w:rPr>
        <w:t>2025年</w:t>
      </w:r>
      <w:r>
        <w:rPr>
          <w:rFonts w:hint="eastAsia" w:ascii="宋体" w:hAnsi="宋体"/>
          <w:sz w:val="24"/>
          <w:highlight w:val="none"/>
        </w:rPr>
        <w:t xml:space="preserve"> 月 日</w:t>
      </w:r>
      <w:r>
        <w:rPr>
          <w:rFonts w:hint="eastAsia" w:ascii="宋体" w:hAnsi="宋体" w:cs="仿宋"/>
          <w:sz w:val="24"/>
          <w:highlight w:val="none"/>
        </w:rPr>
        <w:t>，每天上午00:00至12:00，下午12:00至23:59</w:t>
      </w:r>
    </w:p>
    <w:p w14:paraId="561F13A4">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315FCD49">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方式：本次招标文件实行网上获取，不接受供应商现场报名。</w:t>
      </w:r>
    </w:p>
    <w:p w14:paraId="3FB37508">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售价：0</w:t>
      </w:r>
    </w:p>
    <w:p w14:paraId="38FDB0FE">
      <w:pPr>
        <w:snapToGrid w:val="0"/>
        <w:spacing w:line="360" w:lineRule="auto"/>
        <w:ind w:firstLine="482" w:firstLineChars="200"/>
        <w:rPr>
          <w:rFonts w:hint="eastAsia" w:ascii="宋体" w:hAnsi="宋体" w:cs="Arial"/>
          <w:b/>
          <w:sz w:val="24"/>
          <w:highlight w:val="none"/>
        </w:rPr>
      </w:pPr>
      <w:r>
        <w:rPr>
          <w:rFonts w:hint="eastAsia" w:ascii="宋体" w:hAnsi="宋体" w:cs="Arial"/>
          <w:b/>
          <w:sz w:val="24"/>
          <w:highlight w:val="none"/>
        </w:rPr>
        <w:t xml:space="preserve">四、提交投标文件截止时间、开标时间和地点 </w:t>
      </w:r>
    </w:p>
    <w:p w14:paraId="3E62E2FB">
      <w:pPr>
        <w:snapToGrid w:val="0"/>
        <w:spacing w:line="360" w:lineRule="auto"/>
        <w:ind w:firstLine="600" w:firstLineChars="250"/>
        <w:rPr>
          <w:rFonts w:hint="eastAsia" w:ascii="宋体" w:hAnsi="宋体" w:cs="仿宋"/>
          <w:bCs/>
          <w:sz w:val="24"/>
          <w:highlight w:val="none"/>
        </w:rPr>
      </w:pPr>
      <w:r>
        <w:rPr>
          <w:rFonts w:hint="eastAsia" w:ascii="宋体" w:hAnsi="宋体" w:cs="仿宋"/>
          <w:sz w:val="24"/>
          <w:highlight w:val="none"/>
          <w:lang w:eastAsia="zh-CN"/>
        </w:rPr>
        <w:t>2025年</w:t>
      </w:r>
      <w:r>
        <w:rPr>
          <w:rFonts w:hint="eastAsia" w:ascii="宋体" w:hAnsi="宋体"/>
          <w:sz w:val="24"/>
          <w:highlight w:val="none"/>
        </w:rPr>
        <w:t xml:space="preserve"> 月 日14：00</w:t>
      </w:r>
      <w:r>
        <w:rPr>
          <w:rFonts w:hint="eastAsia" w:ascii="宋体" w:hAnsi="宋体" w:cs="仿宋"/>
          <w:bCs/>
          <w:sz w:val="24"/>
          <w:highlight w:val="none"/>
        </w:rPr>
        <w:t>（北京时间）</w:t>
      </w:r>
    </w:p>
    <w:p w14:paraId="3D2F3566">
      <w:pPr>
        <w:snapToGrid w:val="0"/>
        <w:spacing w:line="360" w:lineRule="auto"/>
        <w:ind w:firstLine="600" w:firstLineChars="250"/>
        <w:rPr>
          <w:rFonts w:hint="eastAsia" w:ascii="宋体" w:hAnsi="宋体" w:cs="仿宋"/>
          <w:bCs/>
          <w:sz w:val="24"/>
          <w:highlight w:val="none"/>
          <w:u w:val="single"/>
        </w:rPr>
      </w:pPr>
      <w:r>
        <w:rPr>
          <w:rFonts w:hint="eastAsia" w:ascii="宋体" w:hAnsi="宋体" w:cs="仿宋"/>
          <w:sz w:val="24"/>
          <w:highlight w:val="none"/>
        </w:rPr>
        <w:t>地点：通过“政府采购云平台（http://www.zcygov.cn）”实行在线投标及开标</w:t>
      </w:r>
    </w:p>
    <w:p w14:paraId="550295ED">
      <w:pPr>
        <w:snapToGrid w:val="0"/>
        <w:spacing w:line="360" w:lineRule="auto"/>
        <w:ind w:firstLine="482" w:firstLineChars="200"/>
        <w:rPr>
          <w:rFonts w:hint="eastAsia" w:ascii="宋体" w:hAnsi="宋体" w:cs="Arial"/>
          <w:b/>
          <w:sz w:val="24"/>
          <w:highlight w:val="none"/>
        </w:rPr>
      </w:pPr>
      <w:r>
        <w:rPr>
          <w:rFonts w:hint="eastAsia" w:ascii="宋体" w:hAnsi="宋体" w:cs="Arial"/>
          <w:b/>
          <w:sz w:val="24"/>
          <w:highlight w:val="none"/>
        </w:rPr>
        <w:t>五、公告期限</w:t>
      </w:r>
    </w:p>
    <w:p w14:paraId="70EE0847">
      <w:pPr>
        <w:snapToGrid w:val="0"/>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自本公告发布之日起5个工作日。</w:t>
      </w:r>
    </w:p>
    <w:p w14:paraId="21C1B820">
      <w:pPr>
        <w:snapToGrid w:val="0"/>
        <w:spacing w:line="360" w:lineRule="auto"/>
        <w:ind w:firstLine="482" w:firstLineChars="200"/>
        <w:rPr>
          <w:rFonts w:hint="eastAsia" w:ascii="宋体" w:hAnsi="宋体" w:cs="Arial"/>
          <w:b/>
          <w:sz w:val="24"/>
          <w:highlight w:val="none"/>
        </w:rPr>
      </w:pPr>
      <w:r>
        <w:rPr>
          <w:rFonts w:hint="eastAsia" w:ascii="宋体" w:hAnsi="宋体" w:cs="Arial"/>
          <w:b/>
          <w:sz w:val="24"/>
          <w:highlight w:val="none"/>
        </w:rPr>
        <w:t>六、其他补充事宜</w:t>
      </w:r>
    </w:p>
    <w:p w14:paraId="6B242A57">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2D57FD">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33B0852B">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6642B2C2">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2281765A">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77A5FB8">
      <w:pPr>
        <w:snapToGrid w:val="0"/>
        <w:spacing w:line="360" w:lineRule="auto"/>
        <w:ind w:firstLine="480" w:firstLineChars="200"/>
        <w:rPr>
          <w:rFonts w:hint="eastAsia" w:ascii="宋体" w:hAnsi="宋体" w:cs="Arial"/>
          <w:b/>
          <w:sz w:val="24"/>
          <w:highlight w:val="none"/>
        </w:rPr>
      </w:pPr>
      <w:r>
        <w:rPr>
          <w:rFonts w:hint="eastAsia" w:ascii="宋体" w:hAnsi="宋体" w:cs="宋体"/>
          <w:sz w:val="24"/>
          <w:highlight w:val="none"/>
        </w:rPr>
        <w:t>6.</w:t>
      </w:r>
      <w:r>
        <w:rPr>
          <w:rFonts w:ascii="宋体" w:hAnsi="宋体" w:cs="宋体"/>
          <w:sz w:val="24"/>
          <w:highlight w:val="none"/>
        </w:rPr>
        <w:t>根据《政府采购促进中小企业发展管理办法》，本项目是否专门面向中小企业采购：是</w:t>
      </w:r>
      <w:r>
        <w:rPr>
          <w:rFonts w:hint="eastAsia" w:ascii="宋体" w:hAnsi="宋体" w:cs="宋体"/>
          <w:sz w:val="24"/>
          <w:highlight w:val="none"/>
        </w:rPr>
        <w:t>。</w:t>
      </w:r>
    </w:p>
    <w:p w14:paraId="562B188E">
      <w:pPr>
        <w:snapToGrid w:val="0"/>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7.本项目公告发布网站： 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32"/>
          <w:rFonts w:hint="eastAsia" w:ascii="宋体" w:hAnsi="宋体" w:cs="仿宋"/>
          <w:sz w:val="24"/>
          <w:highlight w:val="none"/>
        </w:rPr>
        <w:t>http://zfcg.czt.zj.gov.cn/</w:t>
      </w:r>
      <w:r>
        <w:rPr>
          <w:rStyle w:val="32"/>
          <w:rFonts w:hint="eastAsia" w:ascii="宋体" w:hAnsi="宋体" w:cs="仿宋"/>
          <w:sz w:val="24"/>
          <w:highlight w:val="none"/>
        </w:rPr>
        <w:fldChar w:fldCharType="end"/>
      </w:r>
      <w:r>
        <w:rPr>
          <w:rFonts w:hint="eastAsia"/>
          <w:highlight w:val="none"/>
        </w:rPr>
        <w:t>，</w:t>
      </w:r>
      <w:r>
        <w:rPr>
          <w:rFonts w:hint="eastAsia" w:ascii="宋体" w:hAnsi="宋体" w:cs="仿宋"/>
          <w:sz w:val="24"/>
          <w:highlight w:val="none"/>
        </w:rPr>
        <w:t>湖州市公共资源交易信息网：http://ggzy.huzhou.gov.cn/hzfront/-“政府采购”-“分散采购”模块</w:t>
      </w:r>
    </w:p>
    <w:p w14:paraId="79E17B97">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8.投标事项：</w:t>
      </w:r>
    </w:p>
    <w:p w14:paraId="35C93004">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525776C">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（2）参与政府采购项目的注册供应商，需登录浙江政府采购云平台（http://www.zcygov.cn）进行网上报名，尚未注册的供应商应当先在浙江政府采购云平台上申请注册。</w:t>
      </w:r>
    </w:p>
    <w:p w14:paraId="63A0D1C2">
      <w:pPr>
        <w:spacing w:line="360" w:lineRule="auto"/>
        <w:ind w:firstLine="480" w:firstLineChars="200"/>
        <w:jc w:val="left"/>
        <w:rPr>
          <w:rFonts w:hint="eastAsia" w:ascii="宋体" w:hAnsi="宋体" w:cs="仿宋"/>
          <w:kern w:val="0"/>
          <w:sz w:val="24"/>
          <w:highlight w:val="none"/>
        </w:rPr>
      </w:pPr>
      <w:r>
        <w:rPr>
          <w:rFonts w:hint="eastAsia" w:ascii="宋体" w:hAnsi="宋体" w:cs="仿宋"/>
          <w:sz w:val="24"/>
          <w:highlight w:val="none"/>
        </w:rPr>
        <w:t>（3）政府采购项目电子交易操作指南：</w:t>
      </w:r>
      <w:r>
        <w:rPr>
          <w:highlight w:val="none"/>
        </w:rPr>
        <w:t>https://service.zcygov.cn/#/knowledges/CW1EtGwBFdiHxlNd6I3m/6IMVAG0BFdiHxlNdQ8Na</w:t>
      </w:r>
    </w:p>
    <w:p w14:paraId="2DF652C2">
      <w:pPr>
        <w:spacing w:line="360" w:lineRule="auto"/>
        <w:ind w:firstLine="480" w:firstLineChars="200"/>
        <w:rPr>
          <w:rFonts w:hint="eastAsia" w:ascii="宋体" w:hAnsi="宋体" w:cs="仿宋"/>
          <w:kern w:val="0"/>
          <w:sz w:val="24"/>
          <w:highlight w:val="none"/>
        </w:rPr>
      </w:pPr>
      <w:r>
        <w:rPr>
          <w:rFonts w:hint="eastAsia" w:ascii="宋体" w:hAnsi="宋体" w:cs="仿宋"/>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4210829F">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（5）投标供应商应当在投标截止时间前，将生成的“电子加密投标文件”上传递交至“政府采购云平台”。投标截止时间以后上传递交的投标文件将被“政府采购云平台”拒收。</w:t>
      </w:r>
    </w:p>
    <w:p w14:paraId="4694D3E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（6）备</w:t>
      </w:r>
      <w:r>
        <w:rPr>
          <w:rFonts w:hint="eastAsia" w:ascii="宋体" w:hAnsi="宋体"/>
          <w:sz w:val="24"/>
          <w:highlight w:val="none"/>
        </w:rPr>
        <w:t>份</w:t>
      </w:r>
      <w:r>
        <w:rPr>
          <w:rFonts w:hint="eastAsia" w:ascii="宋体" w:hAnsi="宋体" w:cs="宋体"/>
          <w:kern w:val="0"/>
          <w:sz w:val="24"/>
          <w:highlight w:val="none"/>
        </w:rPr>
        <w:t>投标文件</w:t>
      </w:r>
      <w:r>
        <w:rPr>
          <w:rFonts w:hint="eastAsia" w:ascii="宋体" w:hAnsi="宋体"/>
          <w:sz w:val="24"/>
          <w:highlight w:val="none"/>
        </w:rPr>
        <w:t>：根据“浙江省政府采购项目电子交易管理暂行办法”第二十条规定，本次招标允许供应商递交备份</w:t>
      </w:r>
      <w:r>
        <w:rPr>
          <w:rFonts w:hint="eastAsia" w:ascii="宋体" w:hAnsi="宋体" w:cs="宋体"/>
          <w:kern w:val="0"/>
          <w:sz w:val="24"/>
          <w:highlight w:val="none"/>
        </w:rPr>
        <w:t>投标文件</w:t>
      </w:r>
      <w:r>
        <w:rPr>
          <w:rFonts w:hint="eastAsia" w:ascii="宋体" w:hAnsi="宋体"/>
          <w:sz w:val="24"/>
          <w:highlight w:val="none"/>
        </w:rPr>
        <w:t>，仅提交备份</w:t>
      </w:r>
      <w:r>
        <w:rPr>
          <w:rFonts w:hint="eastAsia" w:ascii="宋体" w:hAnsi="宋体" w:cs="宋体"/>
          <w:kern w:val="0"/>
          <w:sz w:val="24"/>
          <w:highlight w:val="none"/>
        </w:rPr>
        <w:t>投标文件</w:t>
      </w:r>
      <w:r>
        <w:rPr>
          <w:rFonts w:hint="eastAsia" w:ascii="宋体" w:hAnsi="宋体"/>
          <w:sz w:val="24"/>
          <w:highlight w:val="none"/>
        </w:rPr>
        <w:t>的，</w:t>
      </w:r>
      <w:r>
        <w:rPr>
          <w:rFonts w:hint="eastAsia" w:ascii="宋体" w:hAnsi="宋体" w:cs="宋体"/>
          <w:kern w:val="0"/>
          <w:sz w:val="24"/>
          <w:highlight w:val="none"/>
        </w:rPr>
        <w:t>投标</w:t>
      </w:r>
      <w:r>
        <w:rPr>
          <w:rFonts w:hint="eastAsia" w:ascii="宋体" w:hAnsi="宋体"/>
          <w:sz w:val="24"/>
          <w:highlight w:val="none"/>
        </w:rPr>
        <w:t>无效。本项目不强制要求供应商提交备份</w:t>
      </w:r>
      <w:r>
        <w:rPr>
          <w:rFonts w:hint="eastAsia" w:ascii="宋体" w:hAnsi="宋体" w:cs="宋体"/>
          <w:kern w:val="0"/>
          <w:sz w:val="24"/>
          <w:highlight w:val="none"/>
        </w:rPr>
        <w:t>投标文件</w:t>
      </w:r>
      <w:r>
        <w:rPr>
          <w:rFonts w:hint="eastAsia" w:ascii="宋体" w:hAnsi="宋体"/>
          <w:sz w:val="24"/>
          <w:highlight w:val="none"/>
        </w:rPr>
        <w:t>，但由于未提交备份</w:t>
      </w:r>
      <w:r>
        <w:rPr>
          <w:rFonts w:hint="eastAsia" w:ascii="宋体" w:hAnsi="宋体" w:cs="宋体"/>
          <w:kern w:val="0"/>
          <w:sz w:val="24"/>
          <w:highlight w:val="none"/>
        </w:rPr>
        <w:t>投标文件</w:t>
      </w:r>
      <w:r>
        <w:rPr>
          <w:rFonts w:hint="eastAsia" w:ascii="宋体" w:hAnsi="宋体"/>
          <w:sz w:val="24"/>
          <w:highlight w:val="none"/>
        </w:rPr>
        <w:t>而造成项目开评标活动无法进行下去的，</w:t>
      </w:r>
      <w:r>
        <w:rPr>
          <w:rFonts w:hint="eastAsia" w:ascii="宋体" w:hAnsi="宋体" w:cs="宋体"/>
          <w:kern w:val="0"/>
          <w:sz w:val="24"/>
          <w:highlight w:val="none"/>
        </w:rPr>
        <w:t>投标</w:t>
      </w:r>
      <w:r>
        <w:rPr>
          <w:rFonts w:hint="eastAsia" w:ascii="宋体" w:hAnsi="宋体"/>
          <w:sz w:val="24"/>
          <w:highlight w:val="none"/>
        </w:rPr>
        <w:t>无效的，相关风险由供应</w:t>
      </w:r>
      <w:r>
        <w:rPr>
          <w:rFonts w:hint="eastAsia" w:ascii="宋体" w:hAnsi="宋体" w:cs="宋体"/>
          <w:kern w:val="0"/>
          <w:sz w:val="24"/>
          <w:highlight w:val="none"/>
        </w:rPr>
        <w:t>商自行承担。</w:t>
      </w:r>
      <w:r>
        <w:rPr>
          <w:rFonts w:ascii="宋体" w:hAnsi="宋体" w:cs="宋体"/>
          <w:kern w:val="0"/>
          <w:sz w:val="24"/>
          <w:highlight w:val="none"/>
        </w:rPr>
        <w:t>备份</w:t>
      </w:r>
      <w:r>
        <w:rPr>
          <w:rFonts w:hint="eastAsia" w:ascii="宋体" w:hAnsi="宋体" w:cs="宋体"/>
          <w:kern w:val="0"/>
          <w:sz w:val="24"/>
          <w:highlight w:val="none"/>
        </w:rPr>
        <w:t>投标文件：1份。</w:t>
      </w:r>
      <w:r>
        <w:rPr>
          <w:rFonts w:ascii="宋体" w:hAnsi="宋体" w:cs="宋体"/>
          <w:kern w:val="0"/>
          <w:sz w:val="24"/>
          <w:highlight w:val="none"/>
        </w:rPr>
        <w:t>以介质存储的数据电文形式的备份</w:t>
      </w:r>
      <w:r>
        <w:rPr>
          <w:rFonts w:hint="eastAsia" w:ascii="宋体" w:hAnsi="宋体" w:cs="宋体"/>
          <w:kern w:val="0"/>
          <w:sz w:val="24"/>
          <w:highlight w:val="none"/>
        </w:rPr>
        <w:t>投标文件（</w:t>
      </w:r>
      <w:r>
        <w:rPr>
          <w:rFonts w:ascii="宋体" w:hAnsi="宋体" w:cs="宋体"/>
          <w:kern w:val="0"/>
          <w:sz w:val="24"/>
          <w:highlight w:val="none"/>
        </w:rPr>
        <w:t>BFBS格式</w:t>
      </w:r>
      <w:r>
        <w:rPr>
          <w:rFonts w:hint="eastAsia" w:ascii="宋体" w:hAnsi="宋体" w:cs="宋体"/>
          <w:kern w:val="0"/>
          <w:sz w:val="24"/>
          <w:highlight w:val="none"/>
        </w:rPr>
        <w:t>）</w:t>
      </w:r>
      <w:r>
        <w:rPr>
          <w:rFonts w:ascii="宋体" w:hAnsi="宋体" w:cs="宋体"/>
          <w:kern w:val="0"/>
          <w:sz w:val="24"/>
          <w:highlight w:val="none"/>
        </w:rPr>
        <w:t>，按政采云平台项目采购-电子交易操作指南中上传的电子</w:t>
      </w:r>
      <w:r>
        <w:rPr>
          <w:rFonts w:hint="eastAsia" w:ascii="宋体" w:hAnsi="宋体" w:cs="宋体"/>
          <w:kern w:val="0"/>
          <w:sz w:val="24"/>
          <w:highlight w:val="none"/>
        </w:rPr>
        <w:t>投标文件</w:t>
      </w:r>
      <w:r>
        <w:rPr>
          <w:rFonts w:ascii="宋体" w:hAnsi="宋体" w:cs="宋体"/>
          <w:kern w:val="0"/>
          <w:sz w:val="24"/>
          <w:highlight w:val="none"/>
        </w:rPr>
        <w:t>格式，以U盘形式存储提供</w:t>
      </w:r>
      <w:r>
        <w:rPr>
          <w:rFonts w:hint="eastAsia" w:ascii="宋体" w:hAnsi="宋体" w:cs="宋体"/>
          <w:kern w:val="0"/>
          <w:sz w:val="24"/>
          <w:highlight w:val="none"/>
        </w:rPr>
        <w:t>）</w:t>
      </w:r>
      <w:r>
        <w:rPr>
          <w:rFonts w:ascii="宋体" w:hAnsi="宋体" w:cs="宋体"/>
          <w:kern w:val="0"/>
          <w:sz w:val="24"/>
          <w:highlight w:val="none"/>
        </w:rPr>
        <w:t>。U盘盘面上粘贴标签，标注单位名称，装入一个外包封袋中进行邮寄</w:t>
      </w:r>
      <w:r>
        <w:rPr>
          <w:rFonts w:hint="eastAsia" w:ascii="宋体" w:hAnsi="宋体" w:cs="宋体"/>
          <w:kern w:val="0"/>
          <w:sz w:val="24"/>
          <w:highlight w:val="none"/>
          <w:lang w:eastAsia="zh-CN"/>
        </w:rPr>
        <w:t>。</w:t>
      </w:r>
      <w:r>
        <w:rPr>
          <w:rFonts w:ascii="宋体" w:hAnsi="宋体" w:cs="宋体"/>
          <w:kern w:val="0"/>
          <w:sz w:val="24"/>
          <w:highlight w:val="none"/>
        </w:rPr>
        <w:t>邮寄时，总的外包封袋上可不注明单位名称，但应注明单位的联系人、联系电话及项目名称</w:t>
      </w:r>
      <w:r>
        <w:rPr>
          <w:rFonts w:hint="eastAsia" w:ascii="宋体" w:hAnsi="宋体" w:cs="宋体"/>
          <w:kern w:val="0"/>
          <w:sz w:val="24"/>
          <w:highlight w:val="none"/>
        </w:rPr>
        <w:t>。邮寄地址为：浙江华耀建设咨询有限公司（湖州市静江公寓1单元1101室），联系人：张治中，联系电话：0572-2198738</w:t>
      </w:r>
      <w:r>
        <w:rPr>
          <w:highlight w:val="none"/>
        </w:rPr>
        <w:fldChar w:fldCharType="begin"/>
      </w:r>
      <w:r>
        <w:rPr>
          <w:highlight w:val="none"/>
        </w:rPr>
        <w:instrText xml:space="preserve"> HYPERLINK "mailto:huayaohz@163.com。供应商应于2020年9月" </w:instrText>
      </w:r>
      <w:r>
        <w:rPr>
          <w:highlight w:val="none"/>
        </w:rPr>
        <w:fldChar w:fldCharType="separate"/>
      </w:r>
      <w:r>
        <w:rPr>
          <w:rFonts w:hint="eastAsia" w:ascii="宋体" w:hAnsi="宋体" w:cs="宋体"/>
          <w:kern w:val="0"/>
          <w:sz w:val="24"/>
          <w:highlight w:val="none"/>
        </w:rPr>
        <w:t>，</w:t>
      </w:r>
      <w:r>
        <w:rPr>
          <w:rFonts w:hint="eastAsia" w:ascii="宋体" w:hAnsi="宋体" w:cs="宋体"/>
          <w:kern w:val="0"/>
          <w:sz w:val="24"/>
          <w:highlight w:val="none"/>
        </w:rPr>
        <w:fldChar w:fldCharType="end"/>
      </w:r>
      <w:r>
        <w:rPr>
          <w:rFonts w:hint="eastAsia" w:ascii="宋体" w:hAnsi="宋体" w:cs="宋体"/>
          <w:kern w:val="0"/>
          <w:sz w:val="24"/>
          <w:highlight w:val="none"/>
        </w:rPr>
        <w:t>拒绝到付。以收件人实际签收时间为准，逾期送达的将拒绝接收。</w:t>
      </w:r>
    </w:p>
    <w:p w14:paraId="1F2770C1">
      <w:pPr>
        <w:spacing w:line="360" w:lineRule="auto"/>
        <w:ind w:firstLine="480" w:firstLineChars="200"/>
        <w:rPr>
          <w:rFonts w:hint="eastAsia" w:ascii="宋体" w:hAnsi="宋体"/>
          <w:sz w:val="24"/>
          <w:highlight w:val="none"/>
        </w:rPr>
      </w:pPr>
      <w:r>
        <w:rPr>
          <w:rFonts w:hint="eastAsia" w:ascii="宋体" w:hAnsi="宋体" w:cs="宋体"/>
          <w:kern w:val="0"/>
          <w:sz w:val="24"/>
          <w:highlight w:val="none"/>
        </w:rPr>
        <w:t>（7）本项目开评标会议通过政采云电子交易系统在线完成，</w:t>
      </w:r>
      <w:r>
        <w:rPr>
          <w:rFonts w:hint="eastAsia" w:ascii="宋体" w:hAnsi="宋体"/>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4A80744B">
      <w:pPr>
        <w:snapToGrid w:val="0"/>
        <w:spacing w:line="360" w:lineRule="auto"/>
        <w:ind w:firstLine="542" w:firstLineChars="225"/>
        <w:rPr>
          <w:rFonts w:hint="eastAsia" w:ascii="宋体" w:hAnsi="宋体" w:cs="Arial"/>
          <w:b/>
          <w:sz w:val="24"/>
          <w:highlight w:val="none"/>
        </w:rPr>
      </w:pPr>
      <w:r>
        <w:rPr>
          <w:rFonts w:hint="eastAsia" w:ascii="宋体" w:hAnsi="宋体" w:cs="Arial"/>
          <w:b/>
          <w:sz w:val="24"/>
          <w:highlight w:val="none"/>
        </w:rPr>
        <w:t>七、业务咨询：</w:t>
      </w:r>
    </w:p>
    <w:p w14:paraId="52076A28">
      <w:pPr>
        <w:snapToGrid w:val="0"/>
        <w:spacing w:line="360" w:lineRule="auto"/>
        <w:ind w:firstLine="470" w:firstLineChars="196"/>
        <w:rPr>
          <w:rFonts w:hint="eastAsia" w:ascii="宋体" w:hAnsi="宋体" w:cs="Arial"/>
          <w:b/>
          <w:sz w:val="24"/>
          <w:highlight w:val="none"/>
        </w:rPr>
      </w:pPr>
      <w:r>
        <w:rPr>
          <w:rFonts w:hint="eastAsia" w:ascii="宋体" w:hAnsi="宋体"/>
          <w:sz w:val="24"/>
          <w:highlight w:val="none"/>
        </w:rPr>
        <w:t>1.采购代理机构名称：浙江华耀建设咨询有限公司</w:t>
      </w:r>
    </w:p>
    <w:p w14:paraId="05F89267">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kern w:val="0"/>
          <w:sz w:val="24"/>
          <w:highlight w:val="none"/>
        </w:rPr>
        <w:t>浙江省湖州市静江公寓1单元1101室</w:t>
      </w:r>
    </w:p>
    <w:p w14:paraId="2923F342">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联系人：小张；联系电话：0572-2198738；传真：0572-2198739</w:t>
      </w:r>
    </w:p>
    <w:p w14:paraId="3DE97DAB">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供应商质疑函接收人：何女士   联系电话：0572-2371910</w:t>
      </w:r>
    </w:p>
    <w:p w14:paraId="255F1BE4">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电子邮箱：</w:t>
      </w:r>
      <w:r>
        <w:rPr>
          <w:rFonts w:hint="eastAsia"/>
          <w:highlight w:val="none"/>
        </w:rPr>
        <w:fldChar w:fldCharType="begin"/>
      </w:r>
      <w:r>
        <w:rPr>
          <w:highlight w:val="none"/>
        </w:rPr>
        <w:instrText xml:space="preserve"> HYPERLINK "mailto:huayaohz@163.com。" </w:instrText>
      </w:r>
      <w:r>
        <w:rPr>
          <w:rFonts w:hint="eastAsia"/>
          <w:highlight w:val="none"/>
        </w:rPr>
        <w:fldChar w:fldCharType="separate"/>
      </w:r>
      <w:r>
        <w:rPr>
          <w:rFonts w:hint="eastAsia" w:ascii="宋体" w:hAnsi="宋体"/>
          <w:sz w:val="24"/>
          <w:highlight w:val="none"/>
        </w:rPr>
        <w:t>huayaohz@163.com</w:t>
      </w:r>
      <w:r>
        <w:rPr>
          <w:rFonts w:hint="eastAsia" w:ascii="宋体" w:hAnsi="宋体"/>
          <w:sz w:val="24"/>
          <w:highlight w:val="none"/>
        </w:rPr>
        <w:fldChar w:fldCharType="end"/>
      </w:r>
    </w:p>
    <w:p w14:paraId="6C641F2B">
      <w:pPr>
        <w:snapToGrid w:val="0"/>
        <w:spacing w:line="360" w:lineRule="auto"/>
        <w:ind w:firstLine="420" w:firstLineChars="200"/>
        <w:rPr>
          <w:highlight w:val="none"/>
        </w:rPr>
      </w:pPr>
    </w:p>
    <w:p w14:paraId="6A40951A">
      <w:pPr>
        <w:snapToGrid w:val="0"/>
        <w:spacing w:line="360" w:lineRule="auto"/>
        <w:ind w:firstLine="470" w:firstLineChars="196"/>
        <w:rPr>
          <w:rFonts w:hint="eastAsia" w:ascii="宋体" w:hAnsi="宋体"/>
          <w:sz w:val="24"/>
          <w:highlight w:val="none"/>
        </w:rPr>
      </w:pPr>
      <w:r>
        <w:rPr>
          <w:rFonts w:hint="eastAsia" w:ascii="宋体" w:hAnsi="宋体" w:cs="Arial"/>
          <w:sz w:val="24"/>
          <w:highlight w:val="none"/>
        </w:rPr>
        <w:t>2.采购人名称：</w:t>
      </w:r>
      <w:r>
        <w:rPr>
          <w:rFonts w:hint="eastAsia" w:ascii="宋体" w:hAnsi="宋体"/>
          <w:sz w:val="24"/>
          <w:highlight w:val="none"/>
        </w:rPr>
        <w:t>湖州市中心医院</w:t>
      </w:r>
    </w:p>
    <w:p w14:paraId="048EFF6A">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地址：湖州市三环北路</w:t>
      </w:r>
      <w:r>
        <w:rPr>
          <w:rFonts w:ascii="宋体" w:hAnsi="宋体"/>
          <w:sz w:val="24"/>
          <w:highlight w:val="none"/>
        </w:rPr>
        <w:t>1558号</w:t>
      </w:r>
    </w:p>
    <w:p w14:paraId="6BD37165">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联系人：潘先生               联系电话：0572-2555788</w:t>
      </w:r>
    </w:p>
    <w:p w14:paraId="02578ACF">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采购人质疑联系人：张先生     联系电话：0572-2555357</w:t>
      </w:r>
    </w:p>
    <w:p w14:paraId="7978C36B">
      <w:pPr>
        <w:snapToGrid w:val="0"/>
        <w:spacing w:line="360" w:lineRule="auto"/>
        <w:ind w:firstLine="470" w:firstLineChars="196"/>
        <w:rPr>
          <w:rFonts w:hint="eastAsia" w:ascii="宋体" w:hAnsi="宋体" w:cs="宋体"/>
          <w:sz w:val="24"/>
          <w:highlight w:val="none"/>
        </w:rPr>
      </w:pPr>
    </w:p>
    <w:p w14:paraId="26CB0DD3">
      <w:pPr>
        <w:snapToGrid w:val="0"/>
        <w:spacing w:line="360" w:lineRule="auto"/>
        <w:ind w:firstLine="470" w:firstLineChars="196"/>
        <w:rPr>
          <w:rFonts w:hint="eastAsia" w:ascii="宋体" w:hAnsi="宋体" w:cs="宋体"/>
          <w:sz w:val="24"/>
          <w:highlight w:val="none"/>
        </w:rPr>
      </w:pPr>
    </w:p>
    <w:p w14:paraId="080FC89B">
      <w:pPr>
        <w:snapToGrid w:val="0"/>
        <w:spacing w:line="360" w:lineRule="auto"/>
        <w:ind w:firstLine="470" w:firstLineChars="196"/>
        <w:rPr>
          <w:rFonts w:hint="eastAsia" w:ascii="宋体" w:hAnsi="宋体" w:cs="宋体"/>
          <w:sz w:val="24"/>
          <w:highlight w:val="none"/>
        </w:rPr>
      </w:pPr>
      <w:r>
        <w:rPr>
          <w:rFonts w:hint="eastAsia" w:ascii="宋体" w:hAnsi="宋体" w:cs="Arial"/>
          <w:sz w:val="24"/>
          <w:highlight w:val="none"/>
        </w:rPr>
        <w:t>3.同级政府采购监督管理部门名称：</w:t>
      </w:r>
      <w:r>
        <w:rPr>
          <w:rFonts w:hint="eastAsia" w:ascii="宋体" w:hAnsi="宋体" w:cs="宋体"/>
          <w:sz w:val="24"/>
          <w:highlight w:val="none"/>
        </w:rPr>
        <w:t>湖州市财政局采监处</w:t>
      </w:r>
    </w:p>
    <w:p w14:paraId="2CE9C2B9">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地址：湖州市龙王山路518号</w:t>
      </w:r>
    </w:p>
    <w:p w14:paraId="374BCFF4">
      <w:pPr>
        <w:snapToGrid w:val="0"/>
        <w:spacing w:line="360" w:lineRule="auto"/>
        <w:ind w:firstLine="470" w:firstLineChars="196"/>
        <w:rPr>
          <w:rFonts w:hint="eastAsia" w:ascii="宋体" w:hAnsi="宋体" w:cs="宋体"/>
          <w:sz w:val="24"/>
          <w:highlight w:val="none"/>
        </w:rPr>
      </w:pPr>
      <w:r>
        <w:rPr>
          <w:rFonts w:hint="eastAsia" w:ascii="宋体" w:hAnsi="宋体" w:cs="Arial"/>
          <w:sz w:val="24"/>
          <w:highlight w:val="none"/>
        </w:rPr>
        <w:t>联系人：程先生；监督投诉电话：0572-</w:t>
      </w:r>
      <w:r>
        <w:rPr>
          <w:rFonts w:ascii="宋体" w:hAnsi="宋体" w:cs="宋体"/>
          <w:sz w:val="24"/>
          <w:highlight w:val="none"/>
        </w:rPr>
        <w:t>2150</w:t>
      </w:r>
      <w:r>
        <w:rPr>
          <w:rFonts w:hint="eastAsia" w:ascii="宋体" w:hAnsi="宋体" w:cs="宋体"/>
          <w:sz w:val="24"/>
          <w:highlight w:val="none"/>
        </w:rPr>
        <w:t>216</w:t>
      </w:r>
    </w:p>
    <w:p w14:paraId="1C143D49">
      <w:pPr>
        <w:pStyle w:val="11"/>
        <w:rPr>
          <w:highlight w:val="none"/>
        </w:rPr>
      </w:pPr>
    </w:p>
    <w:p w14:paraId="4F01567D">
      <w:pPr>
        <w:rPr>
          <w:highlight w:val="none"/>
        </w:rPr>
      </w:pPr>
    </w:p>
    <w:p w14:paraId="70CC14D8">
      <w:pPr>
        <w:snapToGrid w:val="0"/>
        <w:spacing w:line="360" w:lineRule="auto"/>
        <w:ind w:left="238" w:firstLine="240" w:firstLineChars="100"/>
        <w:jc w:val="right"/>
        <w:rPr>
          <w:rFonts w:hint="eastAsia" w:ascii="宋体" w:hAnsi="宋体"/>
          <w:sz w:val="24"/>
          <w:highlight w:val="none"/>
        </w:rPr>
      </w:pPr>
      <w:r>
        <w:rPr>
          <w:rFonts w:hint="eastAsia" w:ascii="宋体" w:hAnsi="宋体" w:cs="Arial"/>
          <w:sz w:val="24"/>
          <w:highlight w:val="none"/>
        </w:rPr>
        <w:t>湖州市中心医院</w:t>
      </w:r>
    </w:p>
    <w:p w14:paraId="63446149">
      <w:pPr>
        <w:snapToGrid w:val="0"/>
        <w:spacing w:line="360" w:lineRule="auto"/>
        <w:ind w:left="238"/>
        <w:jc w:val="right"/>
        <w:rPr>
          <w:rFonts w:hint="eastAsia" w:ascii="宋体" w:hAnsi="宋体"/>
          <w:sz w:val="24"/>
          <w:highlight w:val="none"/>
        </w:rPr>
      </w:pPr>
      <w:r>
        <w:rPr>
          <w:rFonts w:hint="eastAsia" w:ascii="宋体" w:hAnsi="宋体"/>
          <w:sz w:val="24"/>
          <w:highlight w:val="none"/>
        </w:rPr>
        <w:t xml:space="preserve">                                                 浙江华耀建设咨询有限公司</w:t>
      </w:r>
    </w:p>
    <w:p w14:paraId="79A0ED5D">
      <w:pPr>
        <w:snapToGrid w:val="0"/>
        <w:spacing w:line="360" w:lineRule="auto"/>
        <w:ind w:left="238"/>
        <w:jc w:val="right"/>
        <w:rPr>
          <w:rFonts w:hint="eastAsia" w:ascii="宋体" w:hAnsi="宋体"/>
          <w:sz w:val="24"/>
          <w:highlight w:val="none"/>
        </w:rPr>
      </w:pPr>
      <w:r>
        <w:rPr>
          <w:rFonts w:hint="eastAsia" w:ascii="宋体" w:hAnsi="宋体"/>
          <w:sz w:val="24"/>
          <w:highlight w:val="none"/>
          <w:lang w:eastAsia="zh-CN"/>
        </w:rPr>
        <w:t>2025年</w:t>
      </w:r>
      <w:r>
        <w:rPr>
          <w:rFonts w:hint="eastAsia" w:ascii="宋体" w:hAnsi="宋体"/>
          <w:sz w:val="24"/>
          <w:highlight w:val="none"/>
        </w:rPr>
        <w:t xml:space="preserve"> 月 日</w:t>
      </w:r>
    </w:p>
    <w:p w14:paraId="48B2DEA1">
      <w:pPr>
        <w:pStyle w:val="11"/>
        <w:rPr>
          <w:highlight w:val="none"/>
        </w:rPr>
      </w:pPr>
    </w:p>
    <w:p w14:paraId="0B6DD06F">
      <w:pPr>
        <w:jc w:val="left"/>
        <w:rPr>
          <w:rFonts w:hint="eastAsia" w:ascii="宋体" w:hAnsi="宋体" w:cs="仿宋"/>
          <w:b/>
          <w:sz w:val="24"/>
          <w:highlight w:val="none"/>
        </w:rPr>
      </w:pPr>
      <w:r>
        <w:rPr>
          <w:rFonts w:hint="eastAsia" w:ascii="宋体" w:hAnsi="宋体" w:cs="仿宋"/>
          <w:b/>
          <w:sz w:val="24"/>
          <w:highlight w:val="none"/>
        </w:rPr>
        <w:t>若对项目采购电子交易系统操作有疑问，可登录政采云（https://www.zcygov.cn/），点击右侧咨询小采，获取采小蜜智能服务管家帮助，或拨打政采云服务热线400-881-7190获取热线服务帮助。</w:t>
      </w:r>
    </w:p>
    <w:p w14:paraId="11DEAAB9">
      <w:pPr>
        <w:rPr>
          <w:rFonts w:hint="eastAsia" w:ascii="宋体" w:hAnsi="宋体" w:cs="仿宋"/>
          <w:b/>
          <w:sz w:val="24"/>
          <w:highlight w:val="none"/>
        </w:rPr>
      </w:pPr>
      <w:r>
        <w:rPr>
          <w:rFonts w:hint="eastAsia" w:ascii="宋体" w:hAnsi="宋体" w:cs="仿宋"/>
          <w:b/>
          <w:sz w:val="24"/>
          <w:highlight w:val="none"/>
        </w:rPr>
        <w:t>CA问题联系电话（人工）：汇信CA 400-888-4636；天谷CA 400-087-8198。</w:t>
      </w:r>
    </w:p>
    <w:p w14:paraId="10AAA302">
      <w:pPr>
        <w:snapToGrid w:val="0"/>
        <w:spacing w:line="360" w:lineRule="auto"/>
        <w:ind w:left="238"/>
        <w:jc w:val="center"/>
        <w:rPr>
          <w:rFonts w:hint="eastAsia" w:ascii="宋体" w:hAnsi="宋体"/>
          <w:b/>
          <w:sz w:val="30"/>
          <w:szCs w:val="30"/>
          <w:highlight w:val="none"/>
        </w:rPr>
      </w:pPr>
    </w:p>
    <w:p w14:paraId="41E116EF">
      <w:pPr>
        <w:snapToGrid w:val="0"/>
        <w:spacing w:line="360" w:lineRule="auto"/>
        <w:ind w:left="238"/>
        <w:jc w:val="center"/>
        <w:rPr>
          <w:rFonts w:hint="eastAsia" w:ascii="宋体" w:hAnsi="宋体"/>
          <w:b/>
          <w:sz w:val="30"/>
          <w:szCs w:val="30"/>
          <w:highlight w:val="none"/>
        </w:rPr>
      </w:pPr>
      <w:r>
        <w:rPr>
          <w:rFonts w:hint="eastAsia" w:ascii="宋体" w:hAnsi="宋体"/>
          <w:b/>
          <w:sz w:val="30"/>
          <w:szCs w:val="30"/>
          <w:highlight w:val="none"/>
        </w:rPr>
        <w:t>第二章  招标需求</w:t>
      </w:r>
    </w:p>
    <w:p w14:paraId="38B493AB">
      <w:pPr>
        <w:widowControl/>
        <w:spacing w:line="360" w:lineRule="auto"/>
        <w:ind w:firstLine="482" w:firstLineChars="200"/>
        <w:rPr>
          <w:rFonts w:hint="eastAsia" w:ascii="宋体" w:hAnsi="宋体"/>
          <w:sz w:val="24"/>
          <w:highlight w:val="none"/>
        </w:rPr>
      </w:pPr>
      <w:r>
        <w:rPr>
          <w:rFonts w:hint="eastAsia" w:ascii="宋体" w:hAnsi="宋体"/>
          <w:b/>
          <w:sz w:val="24"/>
          <w:highlight w:val="none"/>
        </w:rPr>
        <w:t>一、采购项目名称：湖州市中心医院智慧运营管理平台项目</w:t>
      </w:r>
    </w:p>
    <w:p w14:paraId="1FE9663B">
      <w:pPr>
        <w:widowControl/>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二、采购项目编号：</w:t>
      </w:r>
      <w:r>
        <w:rPr>
          <w:rFonts w:hint="eastAsia" w:ascii="宋体" w:hAnsi="宋体"/>
          <w:b/>
          <w:sz w:val="24"/>
          <w:highlight w:val="none"/>
          <w:lang w:eastAsia="zh-CN"/>
        </w:rPr>
        <w:t>HYHZ2025-25</w:t>
      </w:r>
    </w:p>
    <w:p w14:paraId="58238386">
      <w:pPr>
        <w:widowControl/>
        <w:spacing w:line="360" w:lineRule="auto"/>
        <w:ind w:firstLine="482" w:firstLineChars="200"/>
        <w:rPr>
          <w:rFonts w:hint="eastAsia" w:ascii="宋体" w:hAnsi="宋体" w:cs="宋体"/>
          <w:b/>
          <w:kern w:val="0"/>
          <w:sz w:val="24"/>
          <w:highlight w:val="none"/>
        </w:rPr>
      </w:pPr>
      <w:r>
        <w:rPr>
          <w:rFonts w:hint="eastAsia" w:ascii="宋体" w:hAnsi="宋体"/>
          <w:b/>
          <w:sz w:val="24"/>
          <w:highlight w:val="none"/>
        </w:rPr>
        <w:t>三、采购项目预算：</w:t>
      </w:r>
      <w:r>
        <w:rPr>
          <w:rFonts w:hint="eastAsia" w:ascii="宋体" w:hAnsi="宋体" w:cs="宋体"/>
          <w:b/>
          <w:kern w:val="0"/>
          <w:sz w:val="24"/>
          <w:highlight w:val="none"/>
        </w:rPr>
        <w:t>人民币叁佰贰拾柒万玖仟元整（￥3279000.00）</w:t>
      </w:r>
    </w:p>
    <w:p w14:paraId="383A57D1">
      <w:pPr>
        <w:widowControl/>
        <w:spacing w:line="360" w:lineRule="auto"/>
        <w:ind w:firstLine="482" w:firstLineChars="200"/>
        <w:rPr>
          <w:rFonts w:hint="eastAsia" w:ascii="宋体" w:hAnsi="宋体"/>
          <w:b/>
          <w:sz w:val="24"/>
          <w:highlight w:val="none"/>
        </w:rPr>
      </w:pPr>
      <w:r>
        <w:rPr>
          <w:rFonts w:hint="eastAsia" w:ascii="宋体" w:hAnsi="宋体"/>
          <w:b/>
          <w:sz w:val="24"/>
          <w:highlight w:val="none"/>
        </w:rPr>
        <w:t>四、采购项目实施地点：采购人指定地点</w:t>
      </w:r>
    </w:p>
    <w:p w14:paraId="277B40EF">
      <w:pPr>
        <w:widowControl/>
        <w:spacing w:line="360" w:lineRule="auto"/>
        <w:ind w:firstLine="482" w:firstLineChars="200"/>
        <w:outlineLvl w:val="1"/>
        <w:rPr>
          <w:rFonts w:hint="eastAsia" w:ascii="宋体" w:hAnsi="宋体" w:cs="宋体"/>
          <w:b/>
          <w:sz w:val="24"/>
          <w:highlight w:val="none"/>
        </w:rPr>
      </w:pPr>
      <w:r>
        <w:rPr>
          <w:rFonts w:hint="eastAsia" w:ascii="宋体" w:hAnsi="宋体"/>
          <w:b/>
          <w:sz w:val="24"/>
          <w:highlight w:val="none"/>
        </w:rPr>
        <w:t>五、采购项目内容</w:t>
      </w:r>
    </w:p>
    <w:p w14:paraId="270C0FBE">
      <w:pPr>
        <w:widowControl/>
        <w:spacing w:line="360" w:lineRule="auto"/>
        <w:ind w:firstLine="482" w:firstLineChars="200"/>
        <w:rPr>
          <w:rFonts w:hint="eastAsia" w:ascii="宋体" w:hAnsi="宋体"/>
          <w:b/>
          <w:sz w:val="24"/>
          <w:highlight w:val="none"/>
        </w:rPr>
      </w:pPr>
      <w:bookmarkStart w:id="0" w:name="_Toc174636896"/>
      <w:r>
        <w:rPr>
          <w:rFonts w:hint="eastAsia" w:ascii="宋体" w:hAnsi="宋体"/>
          <w:b/>
          <w:sz w:val="24"/>
          <w:highlight w:val="none"/>
        </w:rPr>
        <w:t>（一）项目背景相关要求</w:t>
      </w:r>
      <w:bookmarkEnd w:id="0"/>
    </w:p>
    <w:p w14:paraId="2172AD7B">
      <w:pPr>
        <w:tabs>
          <w:tab w:val="left" w:pos="0"/>
          <w:tab w:val="left" w:pos="900"/>
        </w:tabs>
        <w:adjustRightInd w:val="0"/>
        <w:spacing w:line="360" w:lineRule="auto"/>
        <w:ind w:firstLine="560"/>
        <w:contextualSpacing/>
        <w:rPr>
          <w:rFonts w:hint="eastAsia" w:ascii="宋体" w:hAnsi="宋体" w:cs="宋体"/>
          <w:sz w:val="24"/>
          <w:highlight w:val="none"/>
        </w:rPr>
      </w:pPr>
      <w:r>
        <w:rPr>
          <w:rFonts w:hint="eastAsia" w:ascii="宋体" w:hAnsi="宋体" w:cs="宋体"/>
          <w:sz w:val="24"/>
          <w:highlight w:val="none"/>
        </w:rPr>
        <w:t>为进一步推动公立医院高质量发展，按照《国务院办公厅关于推动公立医院高质量发展的意见》（国办发〔2021〕18号）以及《湖州市卫生健康事业发展“十四五”规划》要求，湖州市中心医院需要不断提升自身的服务能力和管理水平，以满足人民群众日益增长的医疗卫生需求。通过项目建设，帮助医院更好地评估自身的运营状况，发现存在的问题和不足，从而制定针对性的改进措施，提高医疗服务的质量和效率，将管理重点由绩效的结果评价向运营管理的资源投入、过程管控转变，夯实院级管理层、科室管理层，强化医院由职能管理向科室运营转变。</w:t>
      </w:r>
    </w:p>
    <w:p w14:paraId="5E32D322">
      <w:pPr>
        <w:tabs>
          <w:tab w:val="left" w:pos="0"/>
          <w:tab w:val="left" w:pos="900"/>
        </w:tabs>
        <w:adjustRightInd w:val="0"/>
        <w:spacing w:line="360" w:lineRule="auto"/>
        <w:ind w:firstLine="560"/>
        <w:contextualSpacing/>
        <w:rPr>
          <w:rFonts w:hint="eastAsia" w:ascii="宋体" w:hAnsi="宋体" w:cs="宋体"/>
          <w:sz w:val="24"/>
          <w:highlight w:val="none"/>
        </w:rPr>
      </w:pPr>
      <w:r>
        <w:rPr>
          <w:rFonts w:hint="eastAsia" w:ascii="宋体" w:hAnsi="宋体" w:cs="宋体"/>
          <w:sz w:val="24"/>
          <w:highlight w:val="none"/>
        </w:rPr>
        <w:t>我院拟建立“战略目标导向，绩效和数据驱动”的院科两级运营管理体系，以战略目标为管理导向、以全局资源配置最优、产出效用最大为运营目标，实现院级、科室两级全面运营管理模式，实现科室向效能目标驱动的精益运营管理模式转变。</w:t>
      </w:r>
    </w:p>
    <w:p w14:paraId="04AB6C15">
      <w:pPr>
        <w:tabs>
          <w:tab w:val="left" w:pos="0"/>
          <w:tab w:val="left" w:pos="900"/>
        </w:tabs>
        <w:adjustRightInd w:val="0"/>
        <w:spacing w:line="360" w:lineRule="auto"/>
        <w:ind w:firstLine="560"/>
        <w:contextualSpacing/>
        <w:rPr>
          <w:rFonts w:hint="eastAsia" w:ascii="宋体" w:hAnsi="宋体" w:cs="宋体"/>
          <w:sz w:val="24"/>
          <w:highlight w:val="none"/>
        </w:rPr>
      </w:pPr>
      <w:r>
        <w:rPr>
          <w:rFonts w:hint="eastAsia" w:ascii="宋体" w:hAnsi="宋体" w:cs="宋体"/>
          <w:sz w:val="24"/>
          <w:highlight w:val="none"/>
        </w:rPr>
        <w:t>通过项目建设，为医院经营决策、统筹规划提供及时、全面、准确的数据支撑，为医院运营管理工作建立科学化、规范化流程，满足事前管理、事中控制、事后分析，满足对人、财、物、技等资源要素的精细化管理需求，达到医院开源节流、降本控耗、提质增效、持续发展的目的。</w:t>
      </w:r>
    </w:p>
    <w:p w14:paraId="345EA4AB">
      <w:pPr>
        <w:tabs>
          <w:tab w:val="left" w:pos="0"/>
          <w:tab w:val="left" w:pos="900"/>
        </w:tabs>
        <w:adjustRightInd w:val="0"/>
        <w:spacing w:line="360" w:lineRule="auto"/>
        <w:ind w:firstLine="560"/>
        <w:contextualSpacing/>
        <w:rPr>
          <w:rFonts w:hint="eastAsia" w:ascii="宋体" w:hAnsi="宋体" w:cs="宋体"/>
          <w:sz w:val="24"/>
          <w:highlight w:val="none"/>
        </w:rPr>
      </w:pPr>
    </w:p>
    <w:p w14:paraId="5DF1B6A8">
      <w:pPr>
        <w:widowControl/>
        <w:spacing w:line="360" w:lineRule="auto"/>
        <w:ind w:firstLine="482" w:firstLineChars="200"/>
        <w:rPr>
          <w:rFonts w:hint="eastAsia" w:ascii="宋体" w:hAnsi="宋体"/>
          <w:b/>
          <w:sz w:val="24"/>
          <w:highlight w:val="none"/>
        </w:rPr>
      </w:pPr>
      <w:bookmarkStart w:id="1" w:name="_Toc7673"/>
      <w:bookmarkStart w:id="2" w:name="_Toc174636897"/>
      <w:r>
        <w:rPr>
          <w:rFonts w:hint="eastAsia" w:ascii="宋体" w:hAnsi="宋体"/>
          <w:b/>
          <w:sz w:val="24"/>
          <w:highlight w:val="none"/>
        </w:rPr>
        <w:t>（二）招标内容及数量</w:t>
      </w:r>
      <w:bookmarkEnd w:id="1"/>
      <w:bookmarkEnd w:id="2"/>
    </w:p>
    <w:p w14:paraId="0D06BB07">
      <w:pPr>
        <w:widowControl/>
        <w:spacing w:line="360" w:lineRule="auto"/>
        <w:ind w:firstLine="482" w:firstLineChars="200"/>
        <w:rPr>
          <w:rFonts w:hint="eastAsia" w:ascii="宋体" w:hAnsi="宋体"/>
          <w:b/>
          <w:sz w:val="24"/>
          <w:highlight w:val="none"/>
        </w:rPr>
      </w:pPr>
      <w:r>
        <w:rPr>
          <w:rFonts w:hint="eastAsia" w:ascii="宋体" w:hAnsi="宋体"/>
          <w:b/>
          <w:sz w:val="24"/>
          <w:highlight w:val="none"/>
        </w:rPr>
        <w:t>1套院级运营管理平台，1套科室运营管理平台，1套运营管理大数据中心，1套运营管理AI中台，以及1套运营管理咨询和辅导服务</w:t>
      </w:r>
    </w:p>
    <w:p w14:paraId="55D38079">
      <w:pPr>
        <w:widowControl/>
        <w:spacing w:line="360" w:lineRule="auto"/>
        <w:jc w:val="left"/>
        <w:rPr>
          <w:rFonts w:hint="eastAsia" w:ascii="宋体" w:hAnsi="宋体" w:cs="宋体"/>
          <w:sz w:val="24"/>
          <w:highlight w:val="none"/>
        </w:rPr>
      </w:pPr>
    </w:p>
    <w:p w14:paraId="54EE9E34">
      <w:pPr>
        <w:widowControl/>
        <w:spacing w:line="360" w:lineRule="auto"/>
        <w:ind w:firstLine="482" w:firstLineChars="200"/>
        <w:rPr>
          <w:rFonts w:hint="eastAsia" w:ascii="宋体" w:hAnsi="宋体"/>
          <w:b/>
          <w:sz w:val="24"/>
          <w:highlight w:val="none"/>
        </w:rPr>
      </w:pPr>
      <w:bookmarkStart w:id="3" w:name="_Toc174636901"/>
      <w:r>
        <w:rPr>
          <w:rFonts w:hint="eastAsia" w:ascii="宋体" w:hAnsi="宋体"/>
          <w:b/>
          <w:sz w:val="24"/>
          <w:highlight w:val="none"/>
        </w:rPr>
        <w:t>（三）建设原则</w:t>
      </w:r>
      <w:bookmarkEnd w:id="3"/>
    </w:p>
    <w:p w14:paraId="405A71EC">
      <w:pPr>
        <w:spacing w:line="360" w:lineRule="auto"/>
        <w:ind w:firstLine="480"/>
        <w:rPr>
          <w:rFonts w:hint="eastAsia" w:ascii="宋体" w:hAnsi="宋体" w:cs="宋体"/>
          <w:sz w:val="24"/>
          <w:highlight w:val="none"/>
        </w:rPr>
      </w:pPr>
      <w:r>
        <w:rPr>
          <w:rFonts w:hint="eastAsia" w:ascii="宋体" w:hAnsi="宋体" w:cs="宋体"/>
          <w:sz w:val="24"/>
          <w:highlight w:val="none"/>
        </w:rPr>
        <w:t>1、符合政策规范性原则</w:t>
      </w:r>
    </w:p>
    <w:p w14:paraId="5F5F5D10">
      <w:pPr>
        <w:spacing w:line="360" w:lineRule="auto"/>
        <w:ind w:firstLine="480"/>
        <w:rPr>
          <w:rFonts w:hint="eastAsia" w:ascii="宋体" w:hAnsi="宋体" w:cs="宋体"/>
          <w:sz w:val="24"/>
          <w:highlight w:val="none"/>
        </w:rPr>
      </w:pPr>
      <w:r>
        <w:rPr>
          <w:rFonts w:hint="eastAsia" w:ascii="宋体" w:hAnsi="宋体" w:cs="宋体"/>
          <w:sz w:val="24"/>
          <w:highlight w:val="none"/>
        </w:rPr>
        <w:t>以医院战略目标为导向，依据现医院管理制度和规范、推动公立医院高质量发展的指导意见和《关于加强公立医院运营管理的指导意见》等要求，医院运营精细化运营要以业务流程管理为核心，以全成本管理和绩效管理为工具，科学配置各类资源，从产出维度评价人、财、物、技的投入，以投入产出效用最大为目标。</w:t>
      </w:r>
    </w:p>
    <w:p w14:paraId="75DB3626">
      <w:pPr>
        <w:spacing w:line="360" w:lineRule="auto"/>
        <w:ind w:firstLine="480"/>
        <w:rPr>
          <w:rFonts w:hint="eastAsia" w:ascii="宋体" w:hAnsi="宋体" w:cs="宋体"/>
          <w:sz w:val="24"/>
          <w:highlight w:val="none"/>
        </w:rPr>
      </w:pPr>
      <w:bookmarkStart w:id="4" w:name="_Toc157076493"/>
      <w:r>
        <w:rPr>
          <w:rFonts w:hint="eastAsia" w:ascii="宋体" w:hAnsi="宋体" w:cs="宋体"/>
          <w:sz w:val="24"/>
          <w:highlight w:val="none"/>
        </w:rPr>
        <w:t>2、整体性原则</w:t>
      </w:r>
      <w:bookmarkEnd w:id="4"/>
    </w:p>
    <w:p w14:paraId="27449711">
      <w:pPr>
        <w:spacing w:line="360" w:lineRule="auto"/>
        <w:ind w:firstLine="480"/>
        <w:rPr>
          <w:rFonts w:hint="eastAsia" w:ascii="宋体" w:hAnsi="宋体" w:cs="宋体"/>
          <w:sz w:val="24"/>
          <w:highlight w:val="none"/>
        </w:rPr>
      </w:pPr>
      <w:r>
        <w:rPr>
          <w:rFonts w:hint="eastAsia" w:ascii="宋体" w:hAnsi="宋体" w:cs="宋体"/>
          <w:sz w:val="24"/>
          <w:highlight w:val="none"/>
        </w:rPr>
        <w:t>依据医院整体运营管理目标，统筹各类业务流程管理需求，对资源进行有效配置，以全局利益最大化为原则。</w:t>
      </w:r>
    </w:p>
    <w:p w14:paraId="7D38FDA4">
      <w:pPr>
        <w:spacing w:line="360" w:lineRule="auto"/>
        <w:ind w:firstLine="480"/>
        <w:rPr>
          <w:rFonts w:hint="eastAsia" w:ascii="宋体" w:hAnsi="宋体" w:cs="宋体"/>
          <w:sz w:val="24"/>
          <w:highlight w:val="none"/>
        </w:rPr>
      </w:pPr>
      <w:bookmarkStart w:id="5" w:name="_Toc157076494"/>
      <w:r>
        <w:rPr>
          <w:rFonts w:hint="eastAsia" w:ascii="宋体" w:hAnsi="宋体" w:cs="宋体"/>
          <w:sz w:val="24"/>
          <w:highlight w:val="none"/>
        </w:rPr>
        <w:t>3、先进性原则</w:t>
      </w:r>
      <w:bookmarkEnd w:id="5"/>
    </w:p>
    <w:p w14:paraId="5E5BE95C">
      <w:pPr>
        <w:spacing w:line="360" w:lineRule="auto"/>
        <w:ind w:firstLine="480"/>
        <w:rPr>
          <w:rFonts w:hint="eastAsia" w:ascii="宋体" w:hAnsi="宋体" w:cs="宋体"/>
          <w:sz w:val="24"/>
          <w:highlight w:val="none"/>
        </w:rPr>
      </w:pPr>
      <w:r>
        <w:rPr>
          <w:rFonts w:hint="eastAsia" w:ascii="宋体" w:hAnsi="宋体" w:cs="宋体"/>
          <w:sz w:val="24"/>
          <w:highlight w:val="none"/>
        </w:rPr>
        <w:t>平台建设要充分利用大数据、人工智能AI技术，参考基线数据，将医院运营管理模型、知识内容融入软件中，提高软件系统的业务适配性、运营分析的智能化水平，提高运营决策效率。</w:t>
      </w:r>
    </w:p>
    <w:p w14:paraId="377DC2FD">
      <w:pPr>
        <w:spacing w:line="360" w:lineRule="auto"/>
        <w:ind w:firstLine="480"/>
        <w:rPr>
          <w:rFonts w:hint="eastAsia" w:ascii="宋体" w:hAnsi="宋体" w:cs="宋体"/>
          <w:sz w:val="24"/>
          <w:highlight w:val="none"/>
        </w:rPr>
      </w:pPr>
      <w:bookmarkStart w:id="6" w:name="_Toc157076495"/>
      <w:r>
        <w:rPr>
          <w:rFonts w:hint="eastAsia" w:ascii="宋体" w:hAnsi="宋体" w:cs="宋体"/>
          <w:sz w:val="24"/>
          <w:highlight w:val="none"/>
        </w:rPr>
        <w:t>4、实用性原则</w:t>
      </w:r>
      <w:bookmarkEnd w:id="6"/>
    </w:p>
    <w:p w14:paraId="4ED70CC3">
      <w:pPr>
        <w:spacing w:line="360" w:lineRule="auto"/>
        <w:ind w:firstLine="480"/>
        <w:rPr>
          <w:rFonts w:hint="eastAsia" w:ascii="宋体" w:hAnsi="宋体" w:cs="宋体"/>
          <w:sz w:val="24"/>
          <w:highlight w:val="none"/>
        </w:rPr>
      </w:pPr>
      <w:r>
        <w:rPr>
          <w:rFonts w:hint="eastAsia" w:ascii="宋体" w:hAnsi="宋体" w:cs="宋体"/>
          <w:sz w:val="24"/>
          <w:highlight w:val="none"/>
        </w:rPr>
        <w:t>平台立足医院自身客观条件，包括现有运营管理体系建设水平、运营管理基础系统的现状，构建适应医院发展阶段、满足当前管理部门考核要求以及适应当前医保支付政策的运营体系，实现医院及学科运营能力的全面提升，增强区域内同业竞争优势。</w:t>
      </w:r>
    </w:p>
    <w:p w14:paraId="71435D31">
      <w:pPr>
        <w:spacing w:line="360" w:lineRule="auto"/>
        <w:ind w:firstLine="480"/>
        <w:rPr>
          <w:rFonts w:hint="eastAsia" w:ascii="宋体" w:hAnsi="宋体" w:cs="宋体"/>
          <w:sz w:val="24"/>
          <w:highlight w:val="none"/>
        </w:rPr>
      </w:pPr>
      <w:bookmarkStart w:id="7" w:name="_Toc157076496"/>
      <w:r>
        <w:rPr>
          <w:rFonts w:hint="eastAsia" w:ascii="宋体" w:hAnsi="宋体" w:cs="宋体"/>
          <w:sz w:val="24"/>
          <w:highlight w:val="none"/>
        </w:rPr>
        <w:t>5、软件平台开放性原则</w:t>
      </w:r>
      <w:bookmarkEnd w:id="7"/>
    </w:p>
    <w:p w14:paraId="6885C3C6">
      <w:pPr>
        <w:spacing w:line="360" w:lineRule="auto"/>
        <w:ind w:firstLine="480"/>
        <w:rPr>
          <w:rFonts w:hint="eastAsia" w:ascii="宋体" w:hAnsi="宋体" w:cs="宋体"/>
          <w:sz w:val="24"/>
          <w:highlight w:val="none"/>
        </w:rPr>
      </w:pPr>
      <w:r>
        <w:rPr>
          <w:rFonts w:hint="eastAsia" w:ascii="宋体" w:hAnsi="宋体" w:cs="宋体"/>
          <w:sz w:val="24"/>
          <w:highlight w:val="none"/>
        </w:rPr>
        <w:t>系统设计和建设需坚持开放性原则。软件开发平台采用先进的网络体系设计结构，兼容不同的软件、硬件平台系统，可以利用现有的设备资源，保护投资。</w:t>
      </w:r>
    </w:p>
    <w:p w14:paraId="1A5AE375">
      <w:pPr>
        <w:spacing w:line="360" w:lineRule="auto"/>
        <w:ind w:firstLine="480"/>
        <w:rPr>
          <w:rFonts w:hint="eastAsia" w:ascii="宋体" w:hAnsi="宋体" w:cs="宋体"/>
          <w:sz w:val="24"/>
          <w:highlight w:val="none"/>
        </w:rPr>
      </w:pPr>
      <w:bookmarkStart w:id="8" w:name="_Toc157076497"/>
      <w:r>
        <w:rPr>
          <w:rFonts w:hint="eastAsia" w:ascii="宋体" w:hAnsi="宋体" w:cs="宋体"/>
          <w:sz w:val="24"/>
          <w:highlight w:val="none"/>
        </w:rPr>
        <w:t>6、软件平台扩展性原则</w:t>
      </w:r>
      <w:bookmarkEnd w:id="8"/>
    </w:p>
    <w:p w14:paraId="725B1ED4">
      <w:pPr>
        <w:spacing w:line="360" w:lineRule="auto"/>
        <w:ind w:firstLine="480"/>
        <w:rPr>
          <w:rFonts w:hint="eastAsia" w:ascii="宋体" w:hAnsi="宋体" w:cs="宋体"/>
          <w:sz w:val="24"/>
          <w:highlight w:val="none"/>
        </w:rPr>
      </w:pPr>
      <w:r>
        <w:rPr>
          <w:rFonts w:hint="eastAsia" w:ascii="宋体" w:hAnsi="宋体" w:cs="宋体"/>
          <w:sz w:val="24"/>
          <w:highlight w:val="none"/>
        </w:rPr>
        <w:t>系统建设过程中需遵循扩展性原则，系统必须提供标准的开发接口与用户现有或将来扩展的业务系统集成，特别要加强系统设计的前瞻性、预留系统扩充和扩展能力。</w:t>
      </w:r>
    </w:p>
    <w:p w14:paraId="2C66DA6A">
      <w:pPr>
        <w:spacing w:line="360" w:lineRule="auto"/>
        <w:ind w:firstLine="480"/>
        <w:rPr>
          <w:rFonts w:hint="eastAsia" w:ascii="宋体" w:hAnsi="宋体" w:cs="宋体"/>
          <w:sz w:val="24"/>
          <w:highlight w:val="none"/>
        </w:rPr>
      </w:pPr>
      <w:bookmarkStart w:id="9" w:name="_Toc157076498"/>
      <w:r>
        <w:rPr>
          <w:rFonts w:hint="eastAsia" w:ascii="宋体" w:hAnsi="宋体" w:cs="宋体"/>
          <w:sz w:val="24"/>
          <w:highlight w:val="none"/>
        </w:rPr>
        <w:t>7、软件平台安全性原则</w:t>
      </w:r>
      <w:bookmarkEnd w:id="9"/>
    </w:p>
    <w:p w14:paraId="0D0978DA">
      <w:pPr>
        <w:spacing w:line="360" w:lineRule="auto"/>
        <w:ind w:firstLine="480"/>
        <w:rPr>
          <w:rFonts w:hint="eastAsia" w:ascii="宋体" w:hAnsi="宋体" w:cs="宋体"/>
          <w:sz w:val="24"/>
          <w:highlight w:val="none"/>
        </w:rPr>
      </w:pPr>
      <w:r>
        <w:rPr>
          <w:rFonts w:hint="eastAsia" w:ascii="宋体" w:hAnsi="宋体" w:cs="宋体"/>
          <w:sz w:val="24"/>
          <w:highlight w:val="none"/>
        </w:rPr>
        <w:t>本项目涉及内部业务系统建设时应遵循安全性原则，系统必须能够提供有效的安全保密措施，确保整个系统的安全运行。</w:t>
      </w:r>
    </w:p>
    <w:p w14:paraId="17DD9E52">
      <w:pPr>
        <w:pStyle w:val="7"/>
        <w:spacing w:line="360" w:lineRule="auto"/>
        <w:rPr>
          <w:highlight w:val="none"/>
        </w:rPr>
      </w:pPr>
    </w:p>
    <w:p w14:paraId="692A986E">
      <w:pPr>
        <w:widowControl/>
        <w:spacing w:line="360" w:lineRule="auto"/>
        <w:ind w:firstLine="482" w:firstLineChars="200"/>
        <w:rPr>
          <w:rFonts w:hint="eastAsia" w:ascii="宋体" w:hAnsi="宋体"/>
          <w:b/>
          <w:sz w:val="24"/>
          <w:highlight w:val="none"/>
        </w:rPr>
      </w:pPr>
      <w:bookmarkStart w:id="10" w:name="_Toc174636902"/>
      <w:bookmarkStart w:id="11" w:name="_Toc117101187"/>
      <w:r>
        <w:rPr>
          <w:rFonts w:hint="eastAsia" w:ascii="宋体" w:hAnsi="宋体"/>
          <w:b/>
          <w:sz w:val="24"/>
          <w:highlight w:val="none"/>
        </w:rPr>
        <w:t>（四）项目建设依据</w:t>
      </w:r>
      <w:bookmarkEnd w:id="10"/>
    </w:p>
    <w:p w14:paraId="22DBEAB8">
      <w:pPr>
        <w:tabs>
          <w:tab w:val="left" w:pos="0"/>
        </w:tabs>
        <w:spacing w:line="360" w:lineRule="auto"/>
        <w:rPr>
          <w:rFonts w:hint="eastAsia" w:ascii="宋体" w:hAnsi="宋体" w:cs="宋体"/>
          <w:b/>
          <w:bCs/>
          <w:sz w:val="24"/>
          <w:highlight w:val="none"/>
        </w:rPr>
      </w:pPr>
      <w:r>
        <w:rPr>
          <w:rFonts w:hint="eastAsia" w:ascii="宋体" w:hAnsi="宋体" w:cs="宋体"/>
          <w:b/>
          <w:bCs/>
          <w:sz w:val="24"/>
          <w:highlight w:val="none"/>
        </w:rPr>
        <w:t>4.1政策依据</w:t>
      </w:r>
    </w:p>
    <w:p w14:paraId="5CA431DF">
      <w:pPr>
        <w:tabs>
          <w:tab w:val="left" w:pos="0"/>
        </w:tabs>
        <w:spacing w:line="360" w:lineRule="auto"/>
        <w:rPr>
          <w:rFonts w:hint="eastAsia" w:ascii="宋体" w:hAnsi="宋体" w:cs="宋体"/>
          <w:sz w:val="24"/>
          <w:highlight w:val="none"/>
        </w:rPr>
      </w:pPr>
      <w:r>
        <w:rPr>
          <w:rFonts w:hint="eastAsia" w:ascii="宋体" w:hAnsi="宋体" w:cs="宋体"/>
          <w:sz w:val="24"/>
          <w:highlight w:val="none"/>
        </w:rPr>
        <w:t>1.《关于进一步完善医疗卫生服务体系的意见》（中共中央办公厅、国务院办公厅 2023年3月发布）；</w:t>
      </w:r>
    </w:p>
    <w:p w14:paraId="7D39BC97">
      <w:pPr>
        <w:tabs>
          <w:tab w:val="left" w:pos="0"/>
        </w:tabs>
        <w:spacing w:line="360" w:lineRule="auto"/>
        <w:rPr>
          <w:rFonts w:hint="eastAsia" w:ascii="宋体" w:hAnsi="宋体" w:cs="宋体"/>
          <w:sz w:val="24"/>
          <w:highlight w:val="none"/>
        </w:rPr>
      </w:pPr>
      <w:r>
        <w:rPr>
          <w:rFonts w:hint="eastAsia" w:ascii="宋体" w:hAnsi="宋体" w:cs="宋体"/>
          <w:sz w:val="24"/>
          <w:highlight w:val="none"/>
        </w:rPr>
        <w:t>2.《关于开展全面提升医疗质量行动（2023-2025年）的通知》（国卫医政发﹝2023﹞12号）；</w:t>
      </w:r>
    </w:p>
    <w:p w14:paraId="117D54CD">
      <w:pPr>
        <w:tabs>
          <w:tab w:val="left" w:pos="0"/>
        </w:tabs>
        <w:spacing w:line="360" w:lineRule="auto"/>
        <w:rPr>
          <w:rFonts w:hint="eastAsia" w:ascii="宋体" w:hAnsi="宋体" w:cs="宋体"/>
          <w:sz w:val="24"/>
          <w:highlight w:val="none"/>
        </w:rPr>
      </w:pPr>
      <w:r>
        <w:rPr>
          <w:rFonts w:hint="eastAsia" w:ascii="宋体" w:hAnsi="宋体" w:cs="宋体"/>
          <w:sz w:val="24"/>
          <w:highlight w:val="none"/>
        </w:rPr>
        <w:t>3.《关于印发国家三级公立医院绩效考核操作手册（2023版）的通知》（国卫办医政函〔2023〕49号）；</w:t>
      </w:r>
    </w:p>
    <w:p w14:paraId="089AFABF">
      <w:pPr>
        <w:tabs>
          <w:tab w:val="left" w:pos="0"/>
        </w:tabs>
        <w:spacing w:line="360" w:lineRule="auto"/>
        <w:rPr>
          <w:rFonts w:hint="eastAsia" w:ascii="宋体" w:hAnsi="宋体" w:cs="宋体"/>
          <w:sz w:val="24"/>
          <w:highlight w:val="none"/>
        </w:rPr>
      </w:pPr>
      <w:r>
        <w:rPr>
          <w:rFonts w:hint="eastAsia" w:ascii="宋体" w:hAnsi="宋体" w:cs="宋体"/>
          <w:sz w:val="24"/>
          <w:highlight w:val="none"/>
        </w:rPr>
        <w:t>4.《关于进一步加强公立医院内部控制建设的指导意见》（财会〔2023〕31号）；</w:t>
      </w:r>
    </w:p>
    <w:p w14:paraId="2A8F11CE">
      <w:pPr>
        <w:tabs>
          <w:tab w:val="left" w:pos="0"/>
        </w:tabs>
        <w:spacing w:line="360" w:lineRule="auto"/>
        <w:rPr>
          <w:rFonts w:hint="eastAsia" w:ascii="宋体" w:hAnsi="宋体" w:cs="宋体"/>
          <w:sz w:val="24"/>
          <w:highlight w:val="none"/>
        </w:rPr>
      </w:pPr>
      <w:r>
        <w:rPr>
          <w:rFonts w:hint="eastAsia" w:ascii="宋体" w:hAnsi="宋体" w:cs="宋体"/>
          <w:sz w:val="24"/>
          <w:highlight w:val="none"/>
        </w:rPr>
        <w:t>5.《关于推动临床专科能力建设的指导意见》（国卫医政发〔2023〕22号）；</w:t>
      </w:r>
    </w:p>
    <w:p w14:paraId="146B00B8">
      <w:pPr>
        <w:tabs>
          <w:tab w:val="left" w:pos="0"/>
        </w:tabs>
        <w:spacing w:line="360" w:lineRule="auto"/>
        <w:rPr>
          <w:rFonts w:hint="eastAsia" w:ascii="宋体" w:hAnsi="宋体" w:cs="宋体"/>
          <w:sz w:val="24"/>
          <w:highlight w:val="none"/>
        </w:rPr>
      </w:pPr>
      <w:r>
        <w:rPr>
          <w:rFonts w:hint="eastAsia" w:ascii="宋体" w:hAnsi="宋体" w:cs="宋体"/>
          <w:sz w:val="24"/>
          <w:highlight w:val="none"/>
        </w:rPr>
        <w:t>6.《国务院办公厅关于推动公立医院高质量发展的意见》（国办发〔2021〕18号）；</w:t>
      </w:r>
    </w:p>
    <w:p w14:paraId="0F38240F">
      <w:pPr>
        <w:tabs>
          <w:tab w:val="left" w:pos="0"/>
        </w:tabs>
        <w:spacing w:line="360" w:lineRule="auto"/>
        <w:rPr>
          <w:rFonts w:hint="eastAsia" w:ascii="宋体" w:hAnsi="宋体" w:cs="宋体"/>
          <w:sz w:val="24"/>
          <w:highlight w:val="none"/>
        </w:rPr>
      </w:pPr>
      <w:r>
        <w:rPr>
          <w:rFonts w:hint="eastAsia" w:ascii="宋体" w:hAnsi="宋体" w:cs="宋体"/>
          <w:sz w:val="24"/>
          <w:highlight w:val="none"/>
        </w:rPr>
        <w:t>7.国家卫生健康委和国家中医药管理局联合印发《公立医院高质量发展促进行动（2021-2025年）》；</w:t>
      </w:r>
    </w:p>
    <w:p w14:paraId="2597FF87">
      <w:pPr>
        <w:tabs>
          <w:tab w:val="left" w:pos="0"/>
        </w:tabs>
        <w:spacing w:line="360" w:lineRule="auto"/>
        <w:rPr>
          <w:rFonts w:hint="eastAsia" w:ascii="宋体" w:hAnsi="宋体" w:cs="宋体"/>
          <w:sz w:val="24"/>
          <w:highlight w:val="none"/>
        </w:rPr>
      </w:pPr>
      <w:r>
        <w:rPr>
          <w:rFonts w:hint="eastAsia" w:ascii="宋体" w:hAnsi="宋体" w:cs="宋体"/>
          <w:sz w:val="24"/>
          <w:highlight w:val="none"/>
        </w:rPr>
        <w:t>8.《关于加强公立医院运营管理的指导意见》（国卫财务发〔2020〕27号）；</w:t>
      </w:r>
    </w:p>
    <w:p w14:paraId="715607F0">
      <w:pPr>
        <w:tabs>
          <w:tab w:val="left" w:pos="0"/>
        </w:tabs>
        <w:spacing w:line="360" w:lineRule="auto"/>
        <w:rPr>
          <w:rFonts w:hint="eastAsia" w:ascii="宋体" w:hAnsi="宋体" w:cs="宋体"/>
          <w:sz w:val="24"/>
          <w:highlight w:val="none"/>
        </w:rPr>
      </w:pPr>
      <w:r>
        <w:rPr>
          <w:rFonts w:hint="eastAsia" w:ascii="宋体" w:hAnsi="宋体" w:cs="宋体"/>
          <w:sz w:val="24"/>
          <w:highlight w:val="none"/>
        </w:rPr>
        <w:t>9.《国务院办公厅关于加强三级公立医院绩效考核工作的意见》（国办发〔2019〕4号）；</w:t>
      </w:r>
    </w:p>
    <w:p w14:paraId="6E520F26">
      <w:pPr>
        <w:tabs>
          <w:tab w:val="left" w:pos="0"/>
        </w:tabs>
        <w:spacing w:line="360" w:lineRule="auto"/>
        <w:rPr>
          <w:rFonts w:hint="eastAsia" w:ascii="宋体" w:hAnsi="宋体" w:cs="宋体"/>
          <w:sz w:val="24"/>
          <w:highlight w:val="none"/>
        </w:rPr>
      </w:pPr>
      <w:r>
        <w:rPr>
          <w:rFonts w:hint="eastAsia" w:ascii="宋体" w:hAnsi="宋体" w:cs="宋体"/>
          <w:sz w:val="24"/>
          <w:highlight w:val="none"/>
        </w:rPr>
        <w:t>10.《公立医院成本核算规范》（国卫财务发〔2021〕4号）；</w:t>
      </w:r>
    </w:p>
    <w:p w14:paraId="19DB2D49">
      <w:pPr>
        <w:tabs>
          <w:tab w:val="left" w:pos="0"/>
        </w:tabs>
        <w:spacing w:line="360" w:lineRule="auto"/>
        <w:rPr>
          <w:rFonts w:hint="eastAsia" w:ascii="宋体" w:hAnsi="宋体" w:cs="宋体"/>
          <w:sz w:val="24"/>
          <w:highlight w:val="none"/>
        </w:rPr>
      </w:pPr>
      <w:r>
        <w:rPr>
          <w:rFonts w:hint="eastAsia" w:ascii="宋体" w:hAnsi="宋体" w:cs="宋体"/>
          <w:sz w:val="24"/>
          <w:highlight w:val="none"/>
        </w:rPr>
        <w:t>11.《关于印发公立医院高质量发展评价指标（试行）的通知》（国卫办医发〔2022〕9号）；</w:t>
      </w:r>
    </w:p>
    <w:p w14:paraId="66605B19">
      <w:pPr>
        <w:tabs>
          <w:tab w:val="left" w:pos="0"/>
        </w:tabs>
        <w:spacing w:line="360" w:lineRule="auto"/>
        <w:rPr>
          <w:rFonts w:hint="eastAsia" w:ascii="宋体" w:hAnsi="宋体" w:cs="宋体"/>
          <w:sz w:val="24"/>
          <w:highlight w:val="none"/>
        </w:rPr>
      </w:pPr>
      <w:r>
        <w:rPr>
          <w:rFonts w:hint="eastAsia" w:ascii="宋体" w:hAnsi="宋体" w:cs="宋体"/>
          <w:sz w:val="24"/>
          <w:highlight w:val="none"/>
        </w:rPr>
        <w:t>12.《关于印发医院智慧管理分级评估标准体系（试行）的通知》</w:t>
      </w:r>
      <w:r>
        <w:rPr>
          <w:rFonts w:hint="eastAsia" w:ascii="宋体" w:hAnsi="宋体" w:cs="宋体"/>
          <w:sz w:val="24"/>
          <w:highlight w:val="none"/>
          <w:lang w:eastAsia="zh-CN"/>
        </w:rPr>
        <w:t>（</w:t>
      </w:r>
      <w:r>
        <w:rPr>
          <w:rFonts w:hint="eastAsia" w:ascii="宋体" w:hAnsi="宋体" w:cs="宋体"/>
          <w:sz w:val="24"/>
          <w:highlight w:val="none"/>
        </w:rPr>
        <w:t>国卫办医函〔2021〕86号)；</w:t>
      </w:r>
    </w:p>
    <w:p w14:paraId="2DC45868">
      <w:pPr>
        <w:tabs>
          <w:tab w:val="left" w:pos="0"/>
        </w:tabs>
        <w:spacing w:line="360" w:lineRule="auto"/>
        <w:rPr>
          <w:rFonts w:hint="eastAsia" w:ascii="宋体" w:hAnsi="宋体" w:cs="宋体"/>
          <w:sz w:val="24"/>
          <w:highlight w:val="none"/>
        </w:rPr>
      </w:pPr>
      <w:r>
        <w:rPr>
          <w:rFonts w:hint="eastAsia" w:ascii="宋体" w:hAnsi="宋体" w:cs="宋体"/>
          <w:sz w:val="24"/>
          <w:highlight w:val="none"/>
        </w:rPr>
        <w:t>13.《关于建立现代医院管理制度的指导意见》（国办发〔2017〕67号）；</w:t>
      </w:r>
    </w:p>
    <w:p w14:paraId="1425E3E0">
      <w:pPr>
        <w:tabs>
          <w:tab w:val="left" w:pos="0"/>
        </w:tabs>
        <w:spacing w:line="360" w:lineRule="auto"/>
        <w:rPr>
          <w:rFonts w:hint="eastAsia" w:ascii="宋体" w:hAnsi="宋体" w:cs="宋体"/>
          <w:sz w:val="24"/>
          <w:highlight w:val="none"/>
        </w:rPr>
      </w:pPr>
      <w:r>
        <w:rPr>
          <w:rFonts w:hint="eastAsia" w:ascii="宋体" w:hAnsi="宋体" w:cs="宋体"/>
          <w:sz w:val="24"/>
          <w:highlight w:val="none"/>
        </w:rPr>
        <w:t>14.《浙江省人民政府办公厅关于推进浙江省卫生健康现代化建设的实施意见》（浙政办发〔2023〕25号）；</w:t>
      </w:r>
    </w:p>
    <w:p w14:paraId="7B6728E0">
      <w:pPr>
        <w:tabs>
          <w:tab w:val="left" w:pos="0"/>
        </w:tabs>
        <w:spacing w:line="360" w:lineRule="auto"/>
        <w:rPr>
          <w:rFonts w:hint="eastAsia" w:ascii="宋体" w:hAnsi="宋体" w:cs="宋体"/>
          <w:sz w:val="24"/>
          <w:highlight w:val="none"/>
        </w:rPr>
      </w:pPr>
      <w:r>
        <w:rPr>
          <w:rFonts w:hint="eastAsia" w:ascii="宋体" w:hAnsi="宋体" w:cs="宋体"/>
          <w:sz w:val="24"/>
          <w:highlight w:val="none"/>
        </w:rPr>
        <w:t>15.《浙江省人民政府办公厅关于印发浙江省推动公立医院高质量发展实施方案的通知》（浙政办发〔2021〕74号）；</w:t>
      </w:r>
    </w:p>
    <w:p w14:paraId="6FB3C99E">
      <w:pPr>
        <w:tabs>
          <w:tab w:val="left" w:pos="0"/>
        </w:tabs>
        <w:spacing w:line="360" w:lineRule="auto"/>
        <w:rPr>
          <w:rFonts w:hint="eastAsia" w:ascii="宋体" w:hAnsi="宋体" w:cs="宋体"/>
          <w:sz w:val="24"/>
          <w:highlight w:val="none"/>
        </w:rPr>
      </w:pPr>
      <w:r>
        <w:rPr>
          <w:rFonts w:hint="eastAsia" w:ascii="宋体" w:hAnsi="宋体" w:cs="宋体"/>
          <w:sz w:val="24"/>
          <w:highlight w:val="none"/>
        </w:rPr>
        <w:t>16.《浙江省卫生健康事业发展“十四五”规划》；</w:t>
      </w:r>
    </w:p>
    <w:p w14:paraId="3C2B60F9">
      <w:pPr>
        <w:tabs>
          <w:tab w:val="left" w:pos="0"/>
        </w:tabs>
        <w:spacing w:line="360" w:lineRule="auto"/>
        <w:rPr>
          <w:rFonts w:hint="eastAsia" w:ascii="宋体" w:hAnsi="宋体" w:cs="宋体"/>
          <w:sz w:val="24"/>
          <w:highlight w:val="none"/>
        </w:rPr>
      </w:pPr>
      <w:r>
        <w:rPr>
          <w:rFonts w:hint="eastAsia" w:ascii="宋体" w:hAnsi="宋体" w:cs="宋体"/>
          <w:sz w:val="24"/>
          <w:highlight w:val="none"/>
        </w:rPr>
        <w:t>17.《湖州市卫生和发展改革委员会 湖州市卫生健康委员会印发&lt;湖州市卫生健康事业发展“十四五”规划&gt;的通知》（湖发改规划〔2021〕178）。</w:t>
      </w:r>
    </w:p>
    <w:p w14:paraId="65CC307E">
      <w:pPr>
        <w:tabs>
          <w:tab w:val="left" w:pos="0"/>
        </w:tabs>
        <w:spacing w:line="360" w:lineRule="auto"/>
        <w:rPr>
          <w:rFonts w:hint="eastAsia" w:ascii="宋体" w:hAnsi="宋体" w:cs="宋体"/>
          <w:b/>
          <w:bCs/>
          <w:sz w:val="24"/>
          <w:highlight w:val="none"/>
        </w:rPr>
      </w:pPr>
      <w:r>
        <w:rPr>
          <w:rFonts w:hint="eastAsia" w:ascii="宋体" w:hAnsi="宋体" w:cs="宋体"/>
          <w:b/>
          <w:bCs/>
          <w:sz w:val="24"/>
          <w:highlight w:val="none"/>
        </w:rPr>
        <w:t>4.2标准依据</w:t>
      </w:r>
    </w:p>
    <w:p w14:paraId="307E8D34">
      <w:pPr>
        <w:tabs>
          <w:tab w:val="left" w:pos="0"/>
        </w:tabs>
        <w:spacing w:line="360" w:lineRule="auto"/>
        <w:rPr>
          <w:rFonts w:hint="eastAsia" w:ascii="宋体" w:hAnsi="宋体" w:cs="宋体"/>
          <w:sz w:val="24"/>
          <w:highlight w:val="none"/>
        </w:rPr>
      </w:pPr>
      <w:r>
        <w:rPr>
          <w:rFonts w:hint="eastAsia" w:ascii="宋体" w:hAnsi="宋体" w:cs="宋体"/>
          <w:sz w:val="24"/>
          <w:highlight w:val="none"/>
        </w:rPr>
        <w:t>1.《公立医院运营管理信息化功能指引》（国卫办财务函〔2022〕126号）；</w:t>
      </w:r>
    </w:p>
    <w:p w14:paraId="0418AAD2">
      <w:pPr>
        <w:tabs>
          <w:tab w:val="left" w:pos="0"/>
        </w:tabs>
        <w:spacing w:line="360" w:lineRule="auto"/>
        <w:rPr>
          <w:rFonts w:hint="eastAsia" w:ascii="宋体" w:hAnsi="宋体" w:cs="宋体"/>
          <w:sz w:val="24"/>
          <w:highlight w:val="none"/>
        </w:rPr>
      </w:pPr>
      <w:r>
        <w:rPr>
          <w:rFonts w:hint="eastAsia" w:ascii="宋体" w:hAnsi="宋体" w:cs="宋体"/>
          <w:sz w:val="24"/>
          <w:highlight w:val="none"/>
        </w:rPr>
        <w:t>2.《医院信息互联互通标准化成熟度测评标准》;</w:t>
      </w:r>
    </w:p>
    <w:p w14:paraId="2F3138AD">
      <w:pPr>
        <w:tabs>
          <w:tab w:val="left" w:pos="0"/>
        </w:tabs>
        <w:spacing w:line="360" w:lineRule="auto"/>
        <w:rPr>
          <w:rFonts w:hint="eastAsia" w:ascii="宋体" w:hAnsi="宋体" w:cs="宋体"/>
          <w:sz w:val="24"/>
          <w:highlight w:val="none"/>
        </w:rPr>
      </w:pPr>
      <w:r>
        <w:rPr>
          <w:rFonts w:hint="eastAsia" w:ascii="宋体" w:hAnsi="宋体" w:cs="宋体"/>
          <w:sz w:val="24"/>
          <w:highlight w:val="none"/>
        </w:rPr>
        <w:t>3.《电子病历系统应用水平分级评价标准》；</w:t>
      </w:r>
    </w:p>
    <w:p w14:paraId="0863DBCB">
      <w:pPr>
        <w:tabs>
          <w:tab w:val="left" w:pos="0"/>
        </w:tabs>
        <w:spacing w:line="360" w:lineRule="auto"/>
        <w:rPr>
          <w:rFonts w:hint="eastAsia" w:ascii="宋体" w:hAnsi="宋体" w:cs="宋体"/>
          <w:sz w:val="24"/>
          <w:highlight w:val="none"/>
        </w:rPr>
      </w:pPr>
      <w:r>
        <w:rPr>
          <w:rFonts w:hint="eastAsia" w:ascii="宋体" w:hAnsi="宋体" w:cs="宋体"/>
          <w:sz w:val="24"/>
          <w:highlight w:val="none"/>
        </w:rPr>
        <w:t>4.《三级医院评审标准（2022年版）》；</w:t>
      </w:r>
    </w:p>
    <w:p w14:paraId="6C9F249F">
      <w:pPr>
        <w:tabs>
          <w:tab w:val="left" w:pos="0"/>
        </w:tabs>
        <w:spacing w:line="360" w:lineRule="auto"/>
        <w:rPr>
          <w:rFonts w:hint="eastAsia" w:ascii="宋体" w:hAnsi="宋体" w:cs="宋体"/>
          <w:sz w:val="24"/>
          <w:highlight w:val="none"/>
        </w:rPr>
      </w:pPr>
      <w:r>
        <w:rPr>
          <w:rFonts w:hint="eastAsia" w:ascii="宋体" w:hAnsi="宋体" w:cs="宋体"/>
          <w:sz w:val="24"/>
          <w:highlight w:val="none"/>
        </w:rPr>
        <w:t>5.《国家卫生健康委办公厅关于印发医院智慧管理分级评估标准体系（试行）的通知》国卫办医函〔2021〕86号；</w:t>
      </w:r>
    </w:p>
    <w:p w14:paraId="54A5FA12">
      <w:pPr>
        <w:tabs>
          <w:tab w:val="left" w:pos="0"/>
        </w:tabs>
        <w:spacing w:line="360" w:lineRule="auto"/>
        <w:rPr>
          <w:rFonts w:hint="eastAsia" w:ascii="宋体" w:hAnsi="宋体" w:cs="宋体"/>
          <w:sz w:val="24"/>
          <w:highlight w:val="none"/>
        </w:rPr>
      </w:pPr>
      <w:r>
        <w:rPr>
          <w:rFonts w:hint="eastAsia" w:ascii="宋体" w:hAnsi="宋体" w:cs="宋体"/>
          <w:sz w:val="24"/>
          <w:highlight w:val="none"/>
        </w:rPr>
        <w:t>6.《全国医院信息化建设标准与规范（试行）》（国卫办规划发〔2020〕21号）；</w:t>
      </w:r>
    </w:p>
    <w:p w14:paraId="7F4EAD37">
      <w:pPr>
        <w:tabs>
          <w:tab w:val="left" w:pos="0"/>
        </w:tabs>
        <w:spacing w:line="360" w:lineRule="auto"/>
        <w:rPr>
          <w:rFonts w:hint="eastAsia" w:ascii="宋体" w:hAnsi="宋体" w:cs="宋体"/>
          <w:sz w:val="24"/>
          <w:highlight w:val="none"/>
        </w:rPr>
      </w:pPr>
      <w:r>
        <w:rPr>
          <w:rFonts w:hint="eastAsia" w:ascii="宋体" w:hAnsi="宋体" w:cs="宋体"/>
          <w:sz w:val="24"/>
          <w:highlight w:val="none"/>
        </w:rPr>
        <w:t>7.《国家医疗健康信息医院信息互联互通标准化成熟度测评方案</w:t>
      </w:r>
      <w:r>
        <w:rPr>
          <w:rFonts w:hint="eastAsia" w:ascii="宋体" w:hAnsi="宋体" w:cs="宋体"/>
          <w:sz w:val="24"/>
          <w:highlight w:val="none"/>
          <w:lang w:eastAsia="zh-CN"/>
        </w:rPr>
        <w:t>（</w:t>
      </w:r>
      <w:r>
        <w:rPr>
          <w:rFonts w:hint="eastAsia" w:ascii="宋体" w:hAnsi="宋体" w:cs="宋体"/>
          <w:sz w:val="24"/>
          <w:highlight w:val="none"/>
        </w:rPr>
        <w:t>2020 年版)》；</w:t>
      </w:r>
    </w:p>
    <w:p w14:paraId="369B6329">
      <w:pPr>
        <w:tabs>
          <w:tab w:val="left" w:pos="0"/>
        </w:tabs>
        <w:spacing w:line="360" w:lineRule="auto"/>
        <w:rPr>
          <w:rFonts w:hint="eastAsia" w:ascii="宋体" w:hAnsi="宋体" w:cs="宋体"/>
          <w:sz w:val="24"/>
          <w:highlight w:val="none"/>
        </w:rPr>
      </w:pPr>
      <w:r>
        <w:rPr>
          <w:rFonts w:hint="eastAsia" w:ascii="宋体" w:hAnsi="宋体" w:cs="宋体"/>
          <w:sz w:val="24"/>
          <w:highlight w:val="none"/>
        </w:rPr>
        <w:t>8.《医院信息化建设应用技术指导（2017 年版）》；</w:t>
      </w:r>
    </w:p>
    <w:p w14:paraId="4BE07F16">
      <w:pPr>
        <w:tabs>
          <w:tab w:val="left" w:pos="0"/>
        </w:tabs>
        <w:spacing w:line="360" w:lineRule="auto"/>
        <w:rPr>
          <w:rFonts w:hint="eastAsia" w:ascii="宋体" w:hAnsi="宋体" w:cs="宋体"/>
          <w:sz w:val="24"/>
          <w:highlight w:val="none"/>
        </w:rPr>
      </w:pPr>
      <w:r>
        <w:rPr>
          <w:rFonts w:hint="eastAsia" w:ascii="宋体" w:hAnsi="宋体" w:cs="宋体"/>
          <w:sz w:val="24"/>
          <w:highlight w:val="none"/>
        </w:rPr>
        <w:t>9.《中国医院信息基本数据集标准》；</w:t>
      </w:r>
    </w:p>
    <w:p w14:paraId="6497FA32">
      <w:pPr>
        <w:tabs>
          <w:tab w:val="left" w:pos="0"/>
        </w:tabs>
        <w:spacing w:line="360" w:lineRule="auto"/>
        <w:rPr>
          <w:rFonts w:hint="eastAsia" w:ascii="宋体" w:hAnsi="宋体" w:cs="宋体"/>
          <w:sz w:val="24"/>
          <w:highlight w:val="none"/>
        </w:rPr>
      </w:pPr>
      <w:r>
        <w:rPr>
          <w:rFonts w:hint="eastAsia" w:ascii="宋体" w:hAnsi="宋体" w:cs="宋体"/>
          <w:sz w:val="24"/>
          <w:highlight w:val="none"/>
        </w:rPr>
        <w:t>10.《卫生信息数据模式描述指南》；</w:t>
      </w:r>
    </w:p>
    <w:p w14:paraId="16EE2820">
      <w:pPr>
        <w:tabs>
          <w:tab w:val="left" w:pos="0"/>
        </w:tabs>
        <w:spacing w:line="360" w:lineRule="auto"/>
        <w:rPr>
          <w:rFonts w:hint="eastAsia" w:ascii="宋体" w:hAnsi="宋体" w:cs="宋体"/>
          <w:sz w:val="24"/>
          <w:highlight w:val="none"/>
        </w:rPr>
      </w:pPr>
      <w:r>
        <w:rPr>
          <w:rFonts w:hint="eastAsia" w:ascii="宋体" w:hAnsi="宋体" w:cs="宋体"/>
          <w:sz w:val="24"/>
          <w:highlight w:val="none"/>
        </w:rPr>
        <w:t>11.《电子病历基本架构与数据标准》；</w:t>
      </w:r>
    </w:p>
    <w:p w14:paraId="2390EF43">
      <w:pPr>
        <w:tabs>
          <w:tab w:val="left" w:pos="0"/>
        </w:tabs>
        <w:spacing w:line="360" w:lineRule="auto"/>
        <w:rPr>
          <w:rFonts w:hint="eastAsia" w:ascii="宋体" w:hAnsi="宋体" w:cs="宋体"/>
          <w:sz w:val="24"/>
          <w:highlight w:val="none"/>
        </w:rPr>
      </w:pPr>
      <w:r>
        <w:rPr>
          <w:rFonts w:hint="eastAsia" w:ascii="宋体" w:hAnsi="宋体" w:cs="宋体"/>
          <w:sz w:val="24"/>
          <w:highlight w:val="none"/>
        </w:rPr>
        <w:t>12.《国际疾病分类》（ICD-9、ICD-10、ICD-11） ；</w:t>
      </w:r>
    </w:p>
    <w:p w14:paraId="15567A1C">
      <w:pPr>
        <w:tabs>
          <w:tab w:val="left" w:pos="0"/>
        </w:tabs>
        <w:spacing w:line="360" w:lineRule="auto"/>
        <w:rPr>
          <w:rFonts w:hint="eastAsia" w:ascii="宋体" w:hAnsi="宋体" w:cs="宋体"/>
          <w:sz w:val="24"/>
          <w:highlight w:val="none"/>
        </w:rPr>
      </w:pPr>
      <w:r>
        <w:rPr>
          <w:rFonts w:hint="eastAsia" w:ascii="宋体" w:hAnsi="宋体" w:cs="宋体"/>
          <w:sz w:val="24"/>
          <w:highlight w:val="none"/>
        </w:rPr>
        <w:t>13.《基于电子病历的医院信息平台建设技术解决方案》；</w:t>
      </w:r>
    </w:p>
    <w:p w14:paraId="1EB1FAE3">
      <w:pPr>
        <w:tabs>
          <w:tab w:val="left" w:pos="0"/>
        </w:tabs>
        <w:spacing w:line="360" w:lineRule="auto"/>
        <w:rPr>
          <w:rFonts w:hint="eastAsia" w:ascii="宋体" w:hAnsi="宋体" w:cs="宋体"/>
          <w:sz w:val="24"/>
          <w:highlight w:val="none"/>
        </w:rPr>
      </w:pPr>
      <w:r>
        <w:rPr>
          <w:rFonts w:hint="eastAsia" w:ascii="宋体" w:hAnsi="宋体" w:cs="宋体"/>
          <w:sz w:val="24"/>
          <w:highlight w:val="none"/>
        </w:rPr>
        <w:t>14.《医院智慧服务分级评估标准体系（试行）》；</w:t>
      </w:r>
    </w:p>
    <w:p w14:paraId="632D3E2B">
      <w:pPr>
        <w:tabs>
          <w:tab w:val="left" w:pos="0"/>
        </w:tabs>
        <w:spacing w:line="360" w:lineRule="auto"/>
        <w:rPr>
          <w:rFonts w:hint="eastAsia" w:ascii="宋体" w:hAnsi="宋体" w:cs="宋体"/>
          <w:sz w:val="24"/>
          <w:highlight w:val="none"/>
        </w:rPr>
      </w:pPr>
      <w:r>
        <w:rPr>
          <w:rFonts w:hint="eastAsia" w:ascii="宋体" w:hAnsi="宋体" w:cs="宋体"/>
          <w:sz w:val="24"/>
          <w:highlight w:val="none"/>
        </w:rPr>
        <w:t>15.《计算机信息系统安全保护等级划分准则》（GB17859-1999）；</w:t>
      </w:r>
    </w:p>
    <w:p w14:paraId="1F7E1678">
      <w:pPr>
        <w:tabs>
          <w:tab w:val="left" w:pos="0"/>
        </w:tabs>
        <w:spacing w:line="360" w:lineRule="auto"/>
        <w:rPr>
          <w:rFonts w:hint="eastAsia" w:ascii="宋体" w:hAnsi="宋体" w:cs="宋体"/>
          <w:sz w:val="24"/>
          <w:highlight w:val="none"/>
        </w:rPr>
      </w:pPr>
      <w:r>
        <w:rPr>
          <w:rFonts w:hint="eastAsia" w:ascii="宋体" w:hAnsi="宋体" w:cs="宋体"/>
          <w:sz w:val="24"/>
          <w:highlight w:val="none"/>
        </w:rPr>
        <w:t>16.《信息安全等级保护管理办法》（公通字[2007]43 号）；</w:t>
      </w:r>
    </w:p>
    <w:p w14:paraId="2B4B2563">
      <w:pPr>
        <w:tabs>
          <w:tab w:val="left" w:pos="0"/>
        </w:tabs>
        <w:spacing w:line="360" w:lineRule="auto"/>
        <w:rPr>
          <w:rFonts w:hint="eastAsia" w:ascii="宋体" w:hAnsi="宋体" w:cs="宋体"/>
          <w:sz w:val="24"/>
          <w:highlight w:val="none"/>
        </w:rPr>
      </w:pPr>
      <w:r>
        <w:rPr>
          <w:rFonts w:hint="eastAsia" w:ascii="宋体" w:hAnsi="宋体" w:cs="宋体"/>
          <w:sz w:val="24"/>
          <w:highlight w:val="none"/>
        </w:rPr>
        <w:t>17.《卫生行业信息安全等级保护工作的指导意见》（卫办发〔 2011〕 85 号）；</w:t>
      </w:r>
    </w:p>
    <w:p w14:paraId="599AFECE">
      <w:pPr>
        <w:tabs>
          <w:tab w:val="left" w:pos="0"/>
        </w:tabs>
        <w:spacing w:line="360" w:lineRule="auto"/>
        <w:rPr>
          <w:rFonts w:hint="eastAsia" w:ascii="宋体" w:hAnsi="宋体" w:cs="宋体"/>
          <w:sz w:val="24"/>
          <w:highlight w:val="none"/>
        </w:rPr>
      </w:pPr>
      <w:r>
        <w:rPr>
          <w:rFonts w:hint="eastAsia" w:ascii="宋体" w:hAnsi="宋体" w:cs="宋体"/>
          <w:sz w:val="24"/>
          <w:highlight w:val="none"/>
        </w:rPr>
        <w:t>18.《信息安全技术 信息系统安全等级保护实施指南》（GB/T 25058-2019）；</w:t>
      </w:r>
    </w:p>
    <w:p w14:paraId="38BD3AE0">
      <w:pPr>
        <w:tabs>
          <w:tab w:val="left" w:pos="0"/>
        </w:tabs>
        <w:spacing w:line="360" w:lineRule="auto"/>
        <w:rPr>
          <w:rFonts w:hint="eastAsia" w:ascii="宋体" w:hAnsi="宋体" w:cs="宋体"/>
          <w:sz w:val="24"/>
          <w:highlight w:val="none"/>
        </w:rPr>
      </w:pPr>
      <w:r>
        <w:rPr>
          <w:rFonts w:hint="eastAsia" w:ascii="宋体" w:hAnsi="宋体" w:cs="宋体"/>
          <w:sz w:val="24"/>
          <w:highlight w:val="none"/>
        </w:rPr>
        <w:t>19.《信息安全技术 网络安全等级保护基本要求》（GB/T 22239-2019）；</w:t>
      </w:r>
    </w:p>
    <w:p w14:paraId="7E9E854D">
      <w:pPr>
        <w:tabs>
          <w:tab w:val="left" w:pos="0"/>
        </w:tabs>
        <w:spacing w:line="360" w:lineRule="auto"/>
        <w:rPr>
          <w:rFonts w:hint="eastAsia" w:ascii="宋体" w:hAnsi="宋体" w:cs="宋体"/>
          <w:sz w:val="24"/>
          <w:highlight w:val="none"/>
        </w:rPr>
      </w:pPr>
      <w:r>
        <w:rPr>
          <w:rFonts w:hint="eastAsia" w:ascii="宋体" w:hAnsi="宋体" w:cs="宋体"/>
          <w:sz w:val="24"/>
          <w:highlight w:val="none"/>
        </w:rPr>
        <w:t>20.《信息安全技术 网络安全等级保护安全设计技术要求》（GB/T 25070-2019）；</w:t>
      </w:r>
    </w:p>
    <w:p w14:paraId="674AEEB6">
      <w:pPr>
        <w:tabs>
          <w:tab w:val="left" w:pos="0"/>
        </w:tabs>
        <w:spacing w:line="360" w:lineRule="auto"/>
        <w:rPr>
          <w:rFonts w:hint="eastAsia" w:ascii="宋体" w:hAnsi="宋体" w:cs="宋体"/>
          <w:sz w:val="24"/>
          <w:highlight w:val="none"/>
        </w:rPr>
      </w:pPr>
      <w:r>
        <w:rPr>
          <w:rFonts w:hint="eastAsia" w:ascii="宋体" w:hAnsi="宋体" w:cs="宋体"/>
          <w:sz w:val="24"/>
          <w:highlight w:val="none"/>
        </w:rPr>
        <w:t>21.《信息安全技术网络安全等级保护测评要求》（GB/T 28448-2019）；</w:t>
      </w:r>
    </w:p>
    <w:p w14:paraId="0ADF370A">
      <w:pPr>
        <w:tabs>
          <w:tab w:val="left" w:pos="0"/>
        </w:tabs>
        <w:spacing w:line="360" w:lineRule="auto"/>
        <w:rPr>
          <w:rFonts w:hint="eastAsia" w:ascii="宋体" w:hAnsi="宋体" w:cs="宋体"/>
          <w:sz w:val="24"/>
          <w:highlight w:val="none"/>
        </w:rPr>
      </w:pPr>
      <w:r>
        <w:rPr>
          <w:rFonts w:hint="eastAsia" w:ascii="宋体" w:hAnsi="宋体" w:cs="宋体"/>
          <w:sz w:val="24"/>
          <w:highlight w:val="none"/>
        </w:rPr>
        <w:t>22.《中华人民共和国计算机信息系统安全保护条例》（国务院令第 147 号）；</w:t>
      </w:r>
    </w:p>
    <w:p w14:paraId="20FF5051">
      <w:pPr>
        <w:tabs>
          <w:tab w:val="left" w:pos="0"/>
        </w:tabs>
        <w:spacing w:line="360" w:lineRule="auto"/>
        <w:rPr>
          <w:rFonts w:hint="eastAsia" w:ascii="宋体" w:hAnsi="宋体" w:cs="宋体"/>
          <w:sz w:val="24"/>
          <w:highlight w:val="none"/>
        </w:rPr>
      </w:pPr>
      <w:r>
        <w:rPr>
          <w:rFonts w:hint="eastAsia" w:ascii="宋体" w:hAnsi="宋体" w:cs="宋体"/>
          <w:sz w:val="24"/>
          <w:highlight w:val="none"/>
        </w:rPr>
        <w:t>23.《中华人民共和国数据安全法》（自2021年9月1日起施行）；</w:t>
      </w:r>
    </w:p>
    <w:p w14:paraId="4F9049A2">
      <w:pPr>
        <w:tabs>
          <w:tab w:val="left" w:pos="0"/>
        </w:tabs>
        <w:spacing w:line="360" w:lineRule="auto"/>
        <w:rPr>
          <w:rFonts w:hint="eastAsia" w:ascii="宋体" w:hAnsi="宋体" w:cs="宋体"/>
          <w:sz w:val="24"/>
          <w:highlight w:val="none"/>
        </w:rPr>
      </w:pPr>
      <w:r>
        <w:rPr>
          <w:rFonts w:hint="eastAsia" w:ascii="宋体" w:hAnsi="宋体" w:cs="宋体"/>
          <w:sz w:val="24"/>
          <w:highlight w:val="none"/>
        </w:rPr>
        <w:t>24.《中华人民共和国个人信息保护法》（自2021年11月1日起施行）。</w:t>
      </w:r>
    </w:p>
    <w:bookmarkEnd w:id="11"/>
    <w:p w14:paraId="3124DEAC">
      <w:pPr>
        <w:widowControl/>
        <w:spacing w:line="360" w:lineRule="auto"/>
        <w:ind w:firstLine="482" w:firstLineChars="200"/>
        <w:rPr>
          <w:rFonts w:hint="eastAsia" w:ascii="宋体" w:hAnsi="宋体"/>
          <w:b/>
          <w:sz w:val="24"/>
          <w:highlight w:val="none"/>
        </w:rPr>
      </w:pPr>
      <w:bookmarkStart w:id="12" w:name="_Toc174636903"/>
    </w:p>
    <w:p w14:paraId="24FA446F">
      <w:pPr>
        <w:widowControl/>
        <w:spacing w:line="360" w:lineRule="auto"/>
        <w:ind w:firstLine="482" w:firstLineChars="200"/>
        <w:rPr>
          <w:rFonts w:hint="eastAsia" w:ascii="宋体" w:hAnsi="宋体"/>
          <w:b/>
          <w:sz w:val="24"/>
          <w:highlight w:val="none"/>
        </w:rPr>
      </w:pPr>
      <w:r>
        <w:rPr>
          <w:rFonts w:hint="eastAsia" w:ascii="宋体" w:hAnsi="宋体"/>
          <w:b/>
          <w:sz w:val="24"/>
          <w:highlight w:val="none"/>
        </w:rPr>
        <w:t>（五）平台建设要求</w:t>
      </w:r>
      <w:bookmarkEnd w:id="12"/>
    </w:p>
    <w:p w14:paraId="71597600">
      <w:pPr>
        <w:widowControl/>
        <w:spacing w:line="360" w:lineRule="auto"/>
        <w:rPr>
          <w:rFonts w:hint="eastAsia" w:ascii="宋体" w:hAnsi="宋体"/>
          <w:b/>
          <w:sz w:val="24"/>
          <w:highlight w:val="none"/>
        </w:rPr>
      </w:pPr>
      <w:bookmarkStart w:id="13" w:name="_Toc174636904"/>
      <w:r>
        <w:rPr>
          <w:rFonts w:hint="eastAsia" w:ascii="宋体" w:hAnsi="宋体"/>
          <w:b/>
          <w:sz w:val="24"/>
          <w:highlight w:val="none"/>
        </w:rPr>
        <w:t>5.1技术规格</w:t>
      </w:r>
      <w:bookmarkEnd w:id="13"/>
    </w:p>
    <w:p w14:paraId="305E3F32">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系统基于国产成熟自主知识产权产品搭建；</w:t>
      </w:r>
    </w:p>
    <w:p w14:paraId="01551558">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系统支持Spring Cloud微服务框架；</w:t>
      </w:r>
    </w:p>
    <w:p w14:paraId="001AD17B">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系统支持服务注册、消息总线、负载均衡等；</w:t>
      </w:r>
    </w:p>
    <w:p w14:paraId="130E15AB">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系统支持Mybatis数据</w:t>
      </w:r>
      <w:r>
        <w:rPr>
          <w:rFonts w:hint="eastAsia"/>
          <w:highlight w:val="none"/>
        </w:rPr>
        <w:fldChar w:fldCharType="begin"/>
      </w:r>
      <w:r>
        <w:rPr>
          <w:highlight w:val="none"/>
        </w:rPr>
        <w:instrText xml:space="preserve"> HYPERLINK "https://baike.baidu.com/item/%E6%8C%81%E4%B9%85%E5%B1%82/3584971?fromModule=lemma_inlink" \t "_blank" </w:instrText>
      </w:r>
      <w:r>
        <w:rPr>
          <w:rFonts w:hint="eastAsia"/>
          <w:highlight w:val="none"/>
        </w:rPr>
        <w:fldChar w:fldCharType="separate"/>
      </w:r>
      <w:r>
        <w:rPr>
          <w:rFonts w:hint="eastAsia" w:ascii="宋体" w:hAnsi="宋体" w:cs="宋体"/>
          <w:sz w:val="24"/>
          <w:highlight w:val="none"/>
        </w:rPr>
        <w:t>持久层</w:t>
      </w:r>
      <w:r>
        <w:rPr>
          <w:rFonts w:hint="eastAsia" w:ascii="宋体" w:hAnsi="宋体" w:cs="宋体"/>
          <w:sz w:val="24"/>
          <w:highlight w:val="none"/>
        </w:rPr>
        <w:fldChar w:fldCharType="end"/>
      </w:r>
      <w:r>
        <w:rPr>
          <w:rFonts w:hint="eastAsia" w:ascii="宋体" w:hAnsi="宋体" w:cs="宋体"/>
          <w:sz w:val="24"/>
          <w:highlight w:val="none"/>
        </w:rPr>
        <w:t>框架；</w:t>
      </w:r>
    </w:p>
    <w:p w14:paraId="67C65D37">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前端支持VUE2框架进行界面功能实现；</w:t>
      </w:r>
    </w:p>
    <w:p w14:paraId="735465F3">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平台开发语言支持JDK8及以上版本；</w:t>
      </w:r>
    </w:p>
    <w:p w14:paraId="3A45B48E">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数据库平台支持MPP并行处理架构体系；</w:t>
      </w:r>
    </w:p>
    <w:p w14:paraId="0920D48D">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操作系统支持OpenEuler 20.03及以上版本。</w:t>
      </w:r>
    </w:p>
    <w:p w14:paraId="2C91A21E">
      <w:pPr>
        <w:pStyle w:val="57"/>
        <w:numPr>
          <w:ilvl w:val="0"/>
          <w:numId w:val="4"/>
        </w:numPr>
        <w:snapToGrid w:val="0"/>
        <w:spacing w:before="100" w:beforeAutospacing="1" w:after="100" w:afterAutospacing="1" w:line="360" w:lineRule="auto"/>
        <w:ind w:firstLineChars="0"/>
        <w:rPr>
          <w:rFonts w:hint="eastAsia" w:ascii="宋体" w:hAnsi="宋体" w:cs="宋体"/>
          <w:sz w:val="24"/>
          <w:highlight w:val="none"/>
        </w:rPr>
      </w:pPr>
      <w:r>
        <w:rPr>
          <w:rFonts w:hint="eastAsia" w:ascii="宋体" w:hAnsi="宋体" w:cs="宋体"/>
          <w:sz w:val="24"/>
          <w:highlight w:val="none"/>
        </w:rPr>
        <w:t>平台支持国家密码安全评测应用。</w:t>
      </w:r>
    </w:p>
    <w:p w14:paraId="283ABA50">
      <w:pPr>
        <w:widowControl/>
        <w:spacing w:line="360" w:lineRule="auto"/>
        <w:rPr>
          <w:rFonts w:hint="eastAsia" w:ascii="宋体" w:hAnsi="宋体"/>
          <w:b/>
          <w:sz w:val="24"/>
          <w:highlight w:val="none"/>
        </w:rPr>
      </w:pPr>
      <w:bookmarkStart w:id="14" w:name="_Toc174636905"/>
      <w:r>
        <w:rPr>
          <w:rFonts w:hint="eastAsia" w:ascii="宋体" w:hAnsi="宋体"/>
          <w:b/>
          <w:sz w:val="24"/>
          <w:highlight w:val="none"/>
        </w:rPr>
        <w:t>5.2软件平台技术参数</w:t>
      </w:r>
      <w:bookmarkEnd w:id="14"/>
    </w:p>
    <w:p w14:paraId="40755EAB">
      <w:pPr>
        <w:spacing w:line="360" w:lineRule="auto"/>
        <w:rPr>
          <w:rFonts w:hint="eastAsia" w:ascii="宋体" w:hAnsi="宋体" w:cs="宋体"/>
          <w:color w:val="000000"/>
          <w:kern w:val="0"/>
          <w:sz w:val="24"/>
          <w:highlight w:val="none"/>
        </w:rPr>
      </w:pPr>
      <w:r>
        <w:rPr>
          <w:rFonts w:hint="eastAsia" w:ascii="宋体" w:hAnsi="宋体" w:cs="仿宋"/>
          <w:bCs/>
          <w:kern w:val="0"/>
          <w:sz w:val="24"/>
          <w:highlight w:val="none"/>
          <w:lang w:val="zh-CN" w:bidi="zh-CN"/>
        </w:rPr>
        <w:t>★</w:t>
      </w:r>
      <w:r>
        <w:rPr>
          <w:rFonts w:hint="eastAsia" w:ascii="宋体" w:hAnsi="宋体" w:cs="宋体"/>
          <w:color w:val="000000"/>
          <w:kern w:val="0"/>
          <w:sz w:val="24"/>
          <w:highlight w:val="none"/>
        </w:rPr>
        <w:t>号项需求是项目建设需要满足的关键性技术参数，投标技术方案须提供相关系统运行截图。</w:t>
      </w:r>
    </w:p>
    <w:tbl>
      <w:tblPr>
        <w:tblStyle w:val="28"/>
        <w:tblW w:w="0" w:type="auto"/>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89"/>
        <w:gridCol w:w="1134"/>
        <w:gridCol w:w="1256"/>
        <w:gridCol w:w="6461"/>
      </w:tblGrid>
      <w:tr w14:paraId="7ABA2A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blHeader/>
        </w:trPr>
        <w:tc>
          <w:tcPr>
            <w:tcW w:w="689" w:type="dxa"/>
            <w:shd w:val="clear" w:color="auto" w:fill="E7E6E6" w:themeFill="background2"/>
            <w:vAlign w:val="center"/>
          </w:tcPr>
          <w:p w14:paraId="6532EFB5">
            <w:pPr>
              <w:spacing w:line="360" w:lineRule="auto"/>
              <w:rPr>
                <w:rFonts w:hint="eastAsia" w:ascii="宋体" w:hAnsi="宋体" w:cs="宋体"/>
                <w:sz w:val="24"/>
                <w:highlight w:val="none"/>
              </w:rPr>
            </w:pPr>
            <w:r>
              <w:rPr>
                <w:rFonts w:hint="eastAsia" w:ascii="宋体" w:hAnsi="宋体" w:cs="宋体"/>
                <w:sz w:val="24"/>
                <w:highlight w:val="none"/>
              </w:rPr>
              <w:t>序</w:t>
            </w:r>
          </w:p>
        </w:tc>
        <w:tc>
          <w:tcPr>
            <w:tcW w:w="1134" w:type="dxa"/>
            <w:shd w:val="clear" w:color="auto" w:fill="E7E6E6" w:themeFill="background2"/>
            <w:vAlign w:val="center"/>
          </w:tcPr>
          <w:p w14:paraId="6580553C">
            <w:pPr>
              <w:spacing w:line="360" w:lineRule="auto"/>
              <w:rPr>
                <w:rFonts w:hint="eastAsia" w:ascii="宋体" w:hAnsi="宋体" w:cs="宋体"/>
                <w:sz w:val="24"/>
                <w:highlight w:val="none"/>
              </w:rPr>
            </w:pPr>
            <w:r>
              <w:rPr>
                <w:rFonts w:hint="eastAsia" w:ascii="宋体" w:hAnsi="宋体" w:cs="宋体"/>
                <w:sz w:val="24"/>
                <w:highlight w:val="none"/>
              </w:rPr>
              <w:t>系统或服务</w:t>
            </w:r>
          </w:p>
        </w:tc>
        <w:tc>
          <w:tcPr>
            <w:tcW w:w="1256" w:type="dxa"/>
            <w:shd w:val="clear" w:color="auto" w:fill="E7E6E6" w:themeFill="background2"/>
            <w:vAlign w:val="center"/>
          </w:tcPr>
          <w:p w14:paraId="2AFCF4D9">
            <w:pPr>
              <w:spacing w:line="360" w:lineRule="auto"/>
              <w:rPr>
                <w:rFonts w:hint="eastAsia" w:ascii="宋体" w:hAnsi="宋体" w:cs="宋体"/>
                <w:sz w:val="24"/>
                <w:highlight w:val="none"/>
              </w:rPr>
            </w:pPr>
            <w:r>
              <w:rPr>
                <w:rFonts w:hint="eastAsia" w:ascii="宋体" w:hAnsi="宋体" w:cs="宋体"/>
                <w:sz w:val="24"/>
                <w:highlight w:val="none"/>
              </w:rPr>
              <w:t>模块</w:t>
            </w:r>
          </w:p>
        </w:tc>
        <w:tc>
          <w:tcPr>
            <w:tcW w:w="6461" w:type="dxa"/>
            <w:shd w:val="clear" w:color="auto" w:fill="E7E6E6" w:themeFill="background2"/>
            <w:vAlign w:val="center"/>
          </w:tcPr>
          <w:p w14:paraId="291A36D0">
            <w:pPr>
              <w:spacing w:line="360" w:lineRule="auto"/>
              <w:rPr>
                <w:rFonts w:hint="eastAsia" w:ascii="宋体" w:hAnsi="宋体" w:cs="宋体"/>
                <w:sz w:val="24"/>
                <w:highlight w:val="none"/>
              </w:rPr>
            </w:pPr>
            <w:r>
              <w:rPr>
                <w:rFonts w:hint="eastAsia" w:ascii="宋体" w:hAnsi="宋体" w:cs="宋体"/>
                <w:sz w:val="24"/>
                <w:highlight w:val="none"/>
              </w:rPr>
              <w:t>需求说明</w:t>
            </w:r>
          </w:p>
        </w:tc>
      </w:tr>
      <w:tr w14:paraId="5618A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89" w:type="dxa"/>
            <w:vAlign w:val="center"/>
          </w:tcPr>
          <w:p w14:paraId="6E3274B7">
            <w:pPr>
              <w:spacing w:line="360" w:lineRule="auto"/>
              <w:rPr>
                <w:rFonts w:hint="eastAsia" w:ascii="宋体" w:hAnsi="宋体" w:cs="宋体"/>
                <w:sz w:val="24"/>
                <w:highlight w:val="none"/>
              </w:rPr>
            </w:pPr>
            <w:r>
              <w:rPr>
                <w:rFonts w:hint="eastAsia" w:ascii="宋体" w:hAnsi="宋体" w:cs="宋体"/>
                <w:sz w:val="24"/>
                <w:highlight w:val="none"/>
              </w:rPr>
              <w:t>1</w:t>
            </w:r>
          </w:p>
        </w:tc>
        <w:tc>
          <w:tcPr>
            <w:tcW w:w="1134" w:type="dxa"/>
            <w:vMerge w:val="restart"/>
            <w:shd w:val="clear" w:color="auto" w:fill="auto"/>
            <w:vAlign w:val="center"/>
          </w:tcPr>
          <w:p w14:paraId="4DA02AF6">
            <w:pPr>
              <w:spacing w:line="360" w:lineRule="auto"/>
              <w:rPr>
                <w:rFonts w:hint="eastAsia" w:ascii="宋体" w:hAnsi="宋体" w:cs="宋体"/>
                <w:sz w:val="24"/>
                <w:highlight w:val="none"/>
              </w:rPr>
            </w:pPr>
            <w:r>
              <w:rPr>
                <w:rFonts w:hint="eastAsia" w:ascii="宋体" w:hAnsi="宋体" w:cs="宋体"/>
                <w:sz w:val="24"/>
                <w:highlight w:val="none"/>
              </w:rPr>
              <w:t>院级运营管理平台</w:t>
            </w:r>
          </w:p>
        </w:tc>
        <w:tc>
          <w:tcPr>
            <w:tcW w:w="1256" w:type="dxa"/>
            <w:shd w:val="clear" w:color="auto" w:fill="auto"/>
            <w:vAlign w:val="center"/>
          </w:tcPr>
          <w:p w14:paraId="01D13FF4">
            <w:pPr>
              <w:spacing w:line="360" w:lineRule="auto"/>
              <w:rPr>
                <w:rFonts w:hint="eastAsia" w:ascii="宋体" w:hAnsi="宋体" w:cs="宋体"/>
                <w:sz w:val="24"/>
                <w:highlight w:val="none"/>
              </w:rPr>
            </w:pPr>
            <w:r>
              <w:rPr>
                <w:rFonts w:hint="eastAsia" w:ascii="宋体" w:hAnsi="宋体" w:cs="宋体"/>
                <w:sz w:val="24"/>
                <w:highlight w:val="none"/>
              </w:rPr>
              <w:t>全院运营大屏</w:t>
            </w:r>
          </w:p>
        </w:tc>
        <w:tc>
          <w:tcPr>
            <w:tcW w:w="6461" w:type="dxa"/>
            <w:shd w:val="clear" w:color="auto" w:fill="auto"/>
            <w:vAlign w:val="center"/>
          </w:tcPr>
          <w:p w14:paraId="05A41BDC">
            <w:pPr>
              <w:spacing w:line="360" w:lineRule="auto"/>
              <w:rPr>
                <w:rFonts w:hint="eastAsia" w:ascii="宋体" w:hAnsi="宋体" w:cs="宋体"/>
                <w:sz w:val="24"/>
                <w:highlight w:val="none"/>
              </w:rPr>
            </w:pPr>
            <w:r>
              <w:rPr>
                <w:rFonts w:hint="eastAsia" w:ascii="宋体" w:hAnsi="宋体" w:cs="宋体"/>
                <w:sz w:val="24"/>
                <w:highlight w:val="none"/>
              </w:rPr>
              <w:t>全院各类重要运营指标的大屏监控展示（以现有报表为支撑）。</w:t>
            </w:r>
          </w:p>
        </w:tc>
      </w:tr>
      <w:tr w14:paraId="525004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89" w:type="dxa"/>
            <w:vAlign w:val="center"/>
          </w:tcPr>
          <w:p w14:paraId="48269B8B">
            <w:pPr>
              <w:spacing w:line="360" w:lineRule="auto"/>
              <w:rPr>
                <w:rFonts w:hint="eastAsia" w:ascii="宋体" w:hAnsi="宋体" w:cs="宋体"/>
                <w:sz w:val="24"/>
                <w:highlight w:val="none"/>
              </w:rPr>
            </w:pPr>
            <w:bookmarkStart w:id="15" w:name="_Hlk185231178"/>
            <w:r>
              <w:rPr>
                <w:rFonts w:hint="eastAsia" w:ascii="宋体" w:hAnsi="宋体" w:cs="宋体"/>
                <w:sz w:val="24"/>
                <w:highlight w:val="none"/>
              </w:rPr>
              <w:t>2</w:t>
            </w:r>
          </w:p>
        </w:tc>
        <w:tc>
          <w:tcPr>
            <w:tcW w:w="1134" w:type="dxa"/>
            <w:vMerge w:val="continue"/>
            <w:shd w:val="clear" w:color="auto" w:fill="auto"/>
            <w:vAlign w:val="center"/>
          </w:tcPr>
          <w:p w14:paraId="1D7AC26A">
            <w:pPr>
              <w:spacing w:line="360" w:lineRule="auto"/>
              <w:rPr>
                <w:rFonts w:hint="eastAsia" w:ascii="宋体" w:hAnsi="宋体" w:cs="宋体"/>
                <w:sz w:val="24"/>
                <w:highlight w:val="none"/>
              </w:rPr>
            </w:pPr>
          </w:p>
        </w:tc>
        <w:tc>
          <w:tcPr>
            <w:tcW w:w="1256" w:type="dxa"/>
            <w:shd w:val="clear" w:color="auto" w:fill="auto"/>
            <w:vAlign w:val="center"/>
          </w:tcPr>
          <w:p w14:paraId="164BF4FF">
            <w:pPr>
              <w:spacing w:line="360" w:lineRule="auto"/>
              <w:rPr>
                <w:rFonts w:hint="eastAsia" w:ascii="宋体" w:hAnsi="宋体" w:cs="宋体"/>
                <w:sz w:val="24"/>
                <w:highlight w:val="none"/>
              </w:rPr>
            </w:pPr>
            <w:r>
              <w:rPr>
                <w:rFonts w:hint="eastAsia" w:ascii="宋体" w:hAnsi="宋体" w:cs="宋体"/>
                <w:sz w:val="24"/>
                <w:highlight w:val="none"/>
              </w:rPr>
              <w:t>收支余分析</w:t>
            </w:r>
          </w:p>
        </w:tc>
        <w:tc>
          <w:tcPr>
            <w:tcW w:w="6461" w:type="dxa"/>
            <w:shd w:val="clear" w:color="auto" w:fill="auto"/>
            <w:vAlign w:val="center"/>
          </w:tcPr>
          <w:p w14:paraId="14195E75">
            <w:pPr>
              <w:spacing w:line="360" w:lineRule="auto"/>
              <w:rPr>
                <w:rFonts w:hint="eastAsia" w:ascii="宋体" w:hAnsi="宋体" w:cs="宋体"/>
                <w:b/>
                <w:bCs/>
                <w:color w:val="000000"/>
                <w:kern w:val="0"/>
                <w:sz w:val="24"/>
                <w:highlight w:val="none"/>
              </w:rPr>
            </w:pPr>
            <w:r>
              <w:rPr>
                <w:rFonts w:hint="eastAsia" w:ascii="宋体" w:hAnsi="宋体" w:cs="宋体"/>
                <w:sz w:val="24"/>
                <w:highlight w:val="none"/>
              </w:rPr>
              <w:t>提供全院门诊、住院及总医疗收入、成本及医疗盈余的异常探查及下钻到科室分析异常原因。</w:t>
            </w:r>
            <w:r>
              <w:rPr>
                <w:rFonts w:hint="eastAsia" w:ascii="宋体" w:hAnsi="宋体" w:cs="宋体"/>
                <w:b/>
                <w:bCs/>
                <w:color w:val="000000"/>
                <w:kern w:val="0"/>
                <w:sz w:val="24"/>
                <w:highlight w:val="none"/>
              </w:rPr>
              <w:t>提供如下异常探查工具</w:t>
            </w:r>
            <w:bookmarkStart w:id="16" w:name="OLE_LINK1"/>
            <w:r>
              <w:rPr>
                <w:rFonts w:hint="eastAsia" w:ascii="宋体" w:hAnsi="宋体" w:cs="宋体"/>
                <w:b/>
                <w:bCs/>
                <w:color w:val="000000"/>
                <w:kern w:val="0"/>
                <w:sz w:val="24"/>
                <w:highlight w:val="none"/>
              </w:rPr>
              <w:t>，并且探查结果须叠加四分位法分析</w:t>
            </w:r>
            <w:bookmarkEnd w:id="16"/>
            <w:r>
              <w:rPr>
                <w:rFonts w:hint="eastAsia" w:ascii="宋体" w:hAnsi="宋体" w:cs="宋体"/>
                <w:b/>
                <w:bCs/>
                <w:color w:val="000000"/>
                <w:kern w:val="0"/>
                <w:sz w:val="24"/>
                <w:highlight w:val="none"/>
              </w:rPr>
              <w:t>：</w:t>
            </w:r>
          </w:p>
          <w:p w14:paraId="7DF6E1C9">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r>
              <w:rPr>
                <w:rFonts w:hint="eastAsia" w:ascii="宋体" w:hAnsi="宋体" w:cs="宋体"/>
                <w:b/>
                <w:bCs/>
                <w:color w:val="000000"/>
                <w:kern w:val="0"/>
                <w:sz w:val="24"/>
                <w:highlight w:val="none"/>
              </w:rPr>
              <w:t>收入异常探查</w:t>
            </w:r>
          </w:p>
          <w:p w14:paraId="613D0DBB">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(2)</w:t>
            </w:r>
            <w:r>
              <w:rPr>
                <w:rFonts w:hint="eastAsia" w:ascii="宋体" w:hAnsi="宋体" w:cs="仿宋"/>
                <w:bCs/>
                <w:kern w:val="0"/>
                <w:sz w:val="24"/>
                <w:highlight w:val="none"/>
                <w:lang w:val="en-US" w:bidi="zh-CN"/>
              </w:rPr>
              <w:t>★</w:t>
            </w:r>
            <w:r>
              <w:rPr>
                <w:rFonts w:hint="eastAsia" w:ascii="宋体" w:hAnsi="宋体" w:cs="宋体"/>
                <w:b/>
                <w:bCs/>
                <w:color w:val="000000"/>
                <w:kern w:val="0"/>
                <w:sz w:val="24"/>
                <w:highlight w:val="none"/>
              </w:rPr>
              <w:t>盈余异常探查</w:t>
            </w:r>
          </w:p>
          <w:p w14:paraId="776C70D1">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(3)</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药占比异常探查</w:t>
            </w:r>
          </w:p>
          <w:p w14:paraId="7D2FC9ED">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(4)</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耗占比异常探查</w:t>
            </w:r>
          </w:p>
          <w:p w14:paraId="50D2C9F6">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(5)</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药耗占比异常探查</w:t>
            </w:r>
          </w:p>
          <w:p w14:paraId="73D0F0FD">
            <w:pPr>
              <w:pStyle w:val="57"/>
              <w:widowControl/>
              <w:spacing w:line="360" w:lineRule="auto"/>
              <w:ind w:left="360" w:hanging="360" w:firstLineChars="0"/>
              <w:jc w:val="left"/>
              <w:rPr>
                <w:rFonts w:hint="eastAsia" w:ascii="宋体" w:hAnsi="宋体" w:cs="宋体"/>
                <w:b w:val="0"/>
                <w:bCs w:val="0"/>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6)</w:t>
            </w:r>
            <w:r>
              <w:rPr>
                <w:rFonts w:hint="eastAsia" w:ascii="宋体" w:hAnsi="宋体" w:cs="宋体"/>
                <w:b w:val="0"/>
                <w:bCs w:val="0"/>
                <w:color w:val="000000"/>
                <w:kern w:val="0"/>
                <w:sz w:val="24"/>
                <w:highlight w:val="none"/>
              </w:rPr>
              <w:t>检查检验占比异常探查</w:t>
            </w:r>
          </w:p>
          <w:p w14:paraId="3C75F5AD">
            <w:pPr>
              <w:pStyle w:val="57"/>
              <w:widowControl/>
              <w:spacing w:line="360" w:lineRule="auto"/>
              <w:ind w:left="360" w:hanging="360" w:firstLineChars="0"/>
              <w:jc w:val="left"/>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7)</w:t>
            </w:r>
            <w:r>
              <w:rPr>
                <w:rFonts w:hint="eastAsia" w:ascii="宋体" w:hAnsi="宋体" w:cs="宋体"/>
                <w:b w:val="0"/>
                <w:bCs w:val="0"/>
                <w:color w:val="000000"/>
                <w:kern w:val="0"/>
                <w:sz w:val="24"/>
                <w:highlight w:val="none"/>
              </w:rPr>
              <w:t>门诊/住院次均费用增幅异常探查</w:t>
            </w:r>
          </w:p>
        </w:tc>
      </w:tr>
      <w:bookmarkEnd w:id="15"/>
      <w:tr w14:paraId="4B50E4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89" w:type="dxa"/>
            <w:vAlign w:val="center"/>
          </w:tcPr>
          <w:p w14:paraId="3EC1C47C">
            <w:pPr>
              <w:spacing w:line="360" w:lineRule="auto"/>
              <w:rPr>
                <w:rFonts w:hint="eastAsia" w:ascii="宋体" w:hAnsi="宋体" w:cs="宋体"/>
                <w:sz w:val="24"/>
                <w:highlight w:val="none"/>
              </w:rPr>
            </w:pPr>
            <w:bookmarkStart w:id="17" w:name="_Hlk185231188"/>
            <w:r>
              <w:rPr>
                <w:rFonts w:hint="eastAsia" w:ascii="宋体" w:hAnsi="宋体" w:cs="宋体"/>
                <w:sz w:val="24"/>
                <w:highlight w:val="none"/>
              </w:rPr>
              <w:t>3</w:t>
            </w:r>
          </w:p>
        </w:tc>
        <w:tc>
          <w:tcPr>
            <w:tcW w:w="1134" w:type="dxa"/>
            <w:vMerge w:val="continue"/>
            <w:shd w:val="clear" w:color="auto" w:fill="auto"/>
            <w:vAlign w:val="center"/>
          </w:tcPr>
          <w:p w14:paraId="231E365C">
            <w:pPr>
              <w:spacing w:line="360" w:lineRule="auto"/>
              <w:rPr>
                <w:rFonts w:hint="eastAsia" w:ascii="宋体" w:hAnsi="宋体" w:cs="宋体"/>
                <w:sz w:val="24"/>
                <w:highlight w:val="none"/>
              </w:rPr>
            </w:pPr>
          </w:p>
        </w:tc>
        <w:tc>
          <w:tcPr>
            <w:tcW w:w="1256" w:type="dxa"/>
            <w:shd w:val="clear" w:color="auto" w:fill="auto"/>
            <w:vAlign w:val="center"/>
          </w:tcPr>
          <w:p w14:paraId="081B63B2">
            <w:pPr>
              <w:spacing w:line="360" w:lineRule="auto"/>
              <w:rPr>
                <w:rFonts w:hint="eastAsia" w:ascii="宋体" w:hAnsi="宋体" w:cs="宋体"/>
                <w:sz w:val="24"/>
                <w:highlight w:val="none"/>
              </w:rPr>
            </w:pPr>
            <w:r>
              <w:rPr>
                <w:rFonts w:hint="eastAsia" w:ascii="宋体" w:hAnsi="宋体" w:cs="宋体"/>
                <w:sz w:val="24"/>
                <w:highlight w:val="none"/>
              </w:rPr>
              <w:t>工作量分析</w:t>
            </w:r>
          </w:p>
        </w:tc>
        <w:tc>
          <w:tcPr>
            <w:tcW w:w="6461" w:type="dxa"/>
            <w:shd w:val="clear" w:color="auto" w:fill="auto"/>
            <w:vAlign w:val="center"/>
          </w:tcPr>
          <w:p w14:paraId="58C3E28D">
            <w:pPr>
              <w:spacing w:line="360" w:lineRule="auto"/>
              <w:rPr>
                <w:rFonts w:hint="eastAsia" w:ascii="宋体" w:hAnsi="宋体" w:cs="宋体"/>
                <w:b/>
                <w:bCs/>
                <w:color w:val="000000"/>
                <w:kern w:val="0"/>
                <w:sz w:val="24"/>
                <w:highlight w:val="none"/>
              </w:rPr>
            </w:pPr>
            <w:r>
              <w:rPr>
                <w:rFonts w:hint="eastAsia" w:ascii="宋体" w:hAnsi="宋体" w:cs="宋体"/>
                <w:sz w:val="24"/>
                <w:highlight w:val="none"/>
              </w:rPr>
              <w:t>提供各类工作量效率、质量、结构维度的分析，从产出维度评价医院的资源投入，给出调整和优化的方向。</w:t>
            </w:r>
            <w:r>
              <w:rPr>
                <w:rFonts w:hint="eastAsia" w:ascii="宋体" w:hAnsi="宋体" w:cs="宋体"/>
                <w:b/>
                <w:bCs/>
                <w:color w:val="000000"/>
                <w:kern w:val="0"/>
                <w:sz w:val="24"/>
                <w:highlight w:val="none"/>
              </w:rPr>
              <w:t>提供如下异常探查工具，并且探查结果须叠加四分位法分析：</w:t>
            </w:r>
          </w:p>
          <w:p w14:paraId="173803D0">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r>
              <w:rPr>
                <w:rFonts w:hint="eastAsia" w:ascii="宋体" w:hAnsi="宋体" w:cs="宋体"/>
                <w:b/>
                <w:bCs/>
                <w:color w:val="000000"/>
                <w:kern w:val="0"/>
                <w:sz w:val="24"/>
                <w:highlight w:val="none"/>
              </w:rPr>
              <w:t>门诊异常探查</w:t>
            </w:r>
          </w:p>
          <w:p w14:paraId="23282784">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(2)</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出院异常探查</w:t>
            </w:r>
          </w:p>
          <w:p w14:paraId="76F4B311">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(3)</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手术异常探查（按省医政口径）</w:t>
            </w:r>
          </w:p>
          <w:p w14:paraId="12AF9B44">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(4)</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国考四级手术异常探查</w:t>
            </w:r>
          </w:p>
          <w:p w14:paraId="09D82DD3">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(5)</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日间手术异常探查</w:t>
            </w:r>
          </w:p>
          <w:p w14:paraId="4CCF7801">
            <w:pPr>
              <w:pStyle w:val="57"/>
              <w:widowControl/>
              <w:spacing w:line="360" w:lineRule="auto"/>
              <w:ind w:left="360" w:hanging="360" w:firstLineChars="0"/>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(6)</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微创手术异常探查</w:t>
            </w:r>
          </w:p>
          <w:p w14:paraId="220A8F73">
            <w:pPr>
              <w:pStyle w:val="57"/>
              <w:widowControl/>
              <w:spacing w:line="360" w:lineRule="auto"/>
              <w:ind w:left="360" w:hanging="360" w:firstLineChars="0"/>
              <w:jc w:val="left"/>
              <w:rPr>
                <w:rFonts w:hint="eastAsia" w:ascii="宋体" w:hAnsi="宋体" w:cs="宋体"/>
                <w:b w:val="0"/>
                <w:bCs w:val="0"/>
                <w:color w:val="000000"/>
                <w:kern w:val="0"/>
                <w:sz w:val="24"/>
                <w:highlight w:val="none"/>
              </w:rPr>
            </w:pPr>
            <w:r>
              <w:rPr>
                <w:rFonts w:hint="eastAsia" w:ascii="宋体" w:hAnsi="宋体" w:cs="宋体"/>
                <w:color w:val="000000"/>
                <w:kern w:val="0"/>
                <w:sz w:val="24"/>
                <w:highlight w:val="none"/>
              </w:rPr>
              <w:t>(7)</w:t>
            </w:r>
            <w:r>
              <w:rPr>
                <w:rFonts w:hint="eastAsia" w:ascii="宋体" w:hAnsi="宋体" w:cs="宋体"/>
                <w:b w:val="0"/>
                <w:bCs w:val="0"/>
                <w:color w:val="000000"/>
                <w:kern w:val="0"/>
                <w:sz w:val="24"/>
                <w:highlight w:val="none"/>
              </w:rPr>
              <w:t>CMI变动异常探查</w:t>
            </w:r>
          </w:p>
          <w:p w14:paraId="534C00C6">
            <w:pPr>
              <w:pStyle w:val="57"/>
              <w:widowControl/>
              <w:spacing w:line="360" w:lineRule="auto"/>
              <w:ind w:left="360" w:hanging="360" w:firstLineChars="0"/>
              <w:jc w:val="left"/>
              <w:rPr>
                <w:rFonts w:hint="eastAsia" w:ascii="宋体" w:hAnsi="宋体" w:cs="宋体"/>
                <w:b w:val="0"/>
                <w:bCs w:val="0"/>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b w:val="0"/>
                <w:bCs w:val="0"/>
                <w:color w:val="000000"/>
                <w:kern w:val="0"/>
                <w:sz w:val="24"/>
                <w:highlight w:val="none"/>
              </w:rPr>
              <w:t>RW≤0.5非手术例数变动异常探查</w:t>
            </w:r>
          </w:p>
          <w:p w14:paraId="2244B15B">
            <w:pPr>
              <w:pStyle w:val="57"/>
              <w:widowControl/>
              <w:spacing w:line="360" w:lineRule="auto"/>
              <w:ind w:left="360" w:hanging="360" w:firstLineChars="0"/>
              <w:jc w:val="left"/>
              <w:rPr>
                <w:rFonts w:hint="eastAsia" w:ascii="宋体" w:hAnsi="宋体" w:cs="宋体"/>
                <w:b w:val="0"/>
                <w:bCs w:val="0"/>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9)</w:t>
            </w:r>
            <w:r>
              <w:rPr>
                <w:rFonts w:hint="eastAsia" w:ascii="宋体" w:hAnsi="宋体" w:cs="宋体"/>
                <w:b w:val="0"/>
                <w:bCs w:val="0"/>
                <w:color w:val="000000"/>
                <w:kern w:val="0"/>
                <w:sz w:val="24"/>
                <w:highlight w:val="none"/>
              </w:rPr>
              <w:t>床位情况异常探查（空床数、空床率、床位使用率等）</w:t>
            </w:r>
          </w:p>
          <w:p w14:paraId="7B1BDADD">
            <w:pPr>
              <w:pStyle w:val="57"/>
              <w:widowControl/>
              <w:spacing w:line="360" w:lineRule="auto"/>
              <w:ind w:left="360" w:hanging="360" w:firstLineChars="0"/>
              <w:jc w:val="left"/>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10)</w:t>
            </w:r>
            <w:r>
              <w:rPr>
                <w:rFonts w:hint="eastAsia" w:ascii="宋体" w:hAnsi="宋体" w:cs="宋体"/>
                <w:b w:val="0"/>
                <w:bCs w:val="0"/>
                <w:color w:val="000000"/>
                <w:kern w:val="0"/>
                <w:sz w:val="24"/>
                <w:highlight w:val="none"/>
              </w:rPr>
              <w:t>体检收入（来源财务报表）、血透（医技系统）、内镜（医技系统/填报）、医技检查（医技系统）等各类岗位关键服务量产出异常探查</w:t>
            </w:r>
          </w:p>
        </w:tc>
      </w:tr>
      <w:bookmarkEnd w:id="17"/>
      <w:tr w14:paraId="4DFB7B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 w:hRule="atLeast"/>
        </w:trPr>
        <w:tc>
          <w:tcPr>
            <w:tcW w:w="689" w:type="dxa"/>
            <w:vAlign w:val="center"/>
          </w:tcPr>
          <w:p w14:paraId="6F03483D">
            <w:pPr>
              <w:spacing w:line="360" w:lineRule="auto"/>
              <w:rPr>
                <w:rFonts w:hint="eastAsia" w:ascii="宋体" w:hAnsi="宋体" w:cs="宋体"/>
                <w:sz w:val="24"/>
                <w:highlight w:val="none"/>
              </w:rPr>
            </w:pPr>
            <w:r>
              <w:rPr>
                <w:rFonts w:hint="eastAsia" w:ascii="宋体" w:hAnsi="宋体" w:cs="宋体"/>
                <w:sz w:val="24"/>
                <w:highlight w:val="none"/>
              </w:rPr>
              <w:t>4</w:t>
            </w:r>
          </w:p>
        </w:tc>
        <w:tc>
          <w:tcPr>
            <w:tcW w:w="1134" w:type="dxa"/>
            <w:vMerge w:val="continue"/>
            <w:shd w:val="clear" w:color="auto" w:fill="auto"/>
            <w:vAlign w:val="center"/>
          </w:tcPr>
          <w:p w14:paraId="58771482">
            <w:pPr>
              <w:spacing w:line="360" w:lineRule="auto"/>
              <w:rPr>
                <w:rFonts w:hint="eastAsia" w:ascii="宋体" w:hAnsi="宋体" w:cs="宋体"/>
                <w:sz w:val="24"/>
                <w:highlight w:val="none"/>
              </w:rPr>
            </w:pPr>
          </w:p>
        </w:tc>
        <w:tc>
          <w:tcPr>
            <w:tcW w:w="1256" w:type="dxa"/>
            <w:shd w:val="clear" w:color="auto" w:fill="auto"/>
            <w:vAlign w:val="center"/>
          </w:tcPr>
          <w:p w14:paraId="6DCCD301">
            <w:pPr>
              <w:spacing w:line="360" w:lineRule="auto"/>
              <w:rPr>
                <w:rFonts w:hint="eastAsia" w:ascii="宋体" w:hAnsi="宋体" w:cs="宋体"/>
                <w:sz w:val="24"/>
                <w:highlight w:val="none"/>
              </w:rPr>
            </w:pPr>
            <w:r>
              <w:rPr>
                <w:rFonts w:hint="eastAsia" w:ascii="宋体" w:hAnsi="宋体" w:cs="宋体"/>
                <w:sz w:val="24"/>
                <w:highlight w:val="none"/>
              </w:rPr>
              <w:t>绩效分析</w:t>
            </w:r>
          </w:p>
        </w:tc>
        <w:tc>
          <w:tcPr>
            <w:tcW w:w="6461" w:type="dxa"/>
            <w:shd w:val="clear" w:color="auto" w:fill="auto"/>
            <w:vAlign w:val="center"/>
          </w:tcPr>
          <w:p w14:paraId="3BC3ED48">
            <w:pPr>
              <w:spacing w:line="360" w:lineRule="auto"/>
              <w:rPr>
                <w:rFonts w:hint="eastAsia" w:ascii="宋体" w:hAnsi="宋体" w:cs="宋体"/>
                <w:sz w:val="24"/>
                <w:highlight w:val="none"/>
              </w:rPr>
            </w:pPr>
            <w:r>
              <w:rPr>
                <w:rFonts w:hint="eastAsia" w:ascii="宋体" w:hAnsi="宋体" w:cs="仿宋"/>
                <w:bCs/>
                <w:kern w:val="0"/>
                <w:sz w:val="24"/>
                <w:highlight w:val="none"/>
                <w:lang w:val="zh-CN" w:bidi="zh-CN"/>
              </w:rPr>
              <w:t>★</w:t>
            </w:r>
            <w:r>
              <w:rPr>
                <w:rFonts w:hint="eastAsia" w:ascii="宋体" w:hAnsi="宋体" w:cs="宋体"/>
                <w:sz w:val="24"/>
                <w:highlight w:val="none"/>
              </w:rPr>
              <w:t>分析投入产出的结果是否达到预期；分析科室的绩效异动，为管理部门提供资源投入、学科发展规划的决策支持；分析不同学科间的人均绩效和人均工作量水平，比较学科的绩效和工作量波动、收支波动的趋势是否合理。</w:t>
            </w:r>
          </w:p>
        </w:tc>
      </w:tr>
      <w:tr w14:paraId="5C62A0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89" w:type="dxa"/>
            <w:vAlign w:val="center"/>
          </w:tcPr>
          <w:p w14:paraId="48FF9177">
            <w:pPr>
              <w:spacing w:line="360" w:lineRule="auto"/>
              <w:rPr>
                <w:rFonts w:hint="eastAsia" w:ascii="宋体" w:hAnsi="宋体" w:cs="宋体"/>
                <w:sz w:val="24"/>
                <w:highlight w:val="none"/>
              </w:rPr>
            </w:pPr>
            <w:r>
              <w:rPr>
                <w:rFonts w:hint="eastAsia" w:ascii="宋体" w:hAnsi="宋体" w:cs="宋体"/>
                <w:sz w:val="24"/>
                <w:highlight w:val="none"/>
              </w:rPr>
              <w:t>5</w:t>
            </w:r>
          </w:p>
        </w:tc>
        <w:tc>
          <w:tcPr>
            <w:tcW w:w="1134" w:type="dxa"/>
            <w:vMerge w:val="continue"/>
            <w:shd w:val="clear" w:color="auto" w:fill="auto"/>
            <w:vAlign w:val="center"/>
          </w:tcPr>
          <w:p w14:paraId="01605C30">
            <w:pPr>
              <w:spacing w:line="360" w:lineRule="auto"/>
              <w:rPr>
                <w:rFonts w:hint="eastAsia" w:ascii="宋体" w:hAnsi="宋体" w:cs="宋体"/>
                <w:sz w:val="24"/>
                <w:highlight w:val="none"/>
              </w:rPr>
            </w:pPr>
          </w:p>
        </w:tc>
        <w:tc>
          <w:tcPr>
            <w:tcW w:w="1256" w:type="dxa"/>
            <w:shd w:val="clear" w:color="auto" w:fill="auto"/>
            <w:vAlign w:val="center"/>
          </w:tcPr>
          <w:p w14:paraId="6D4A5AD8">
            <w:pPr>
              <w:spacing w:line="360" w:lineRule="auto"/>
              <w:rPr>
                <w:rFonts w:hint="eastAsia" w:ascii="宋体" w:hAnsi="宋体" w:cs="宋体"/>
                <w:sz w:val="24"/>
                <w:highlight w:val="none"/>
              </w:rPr>
            </w:pPr>
            <w:r>
              <w:rPr>
                <w:rFonts w:hint="eastAsia" w:ascii="宋体" w:hAnsi="宋体" w:cs="宋体"/>
                <w:sz w:val="24"/>
                <w:highlight w:val="none"/>
              </w:rPr>
              <w:t>医院运营指标评价体系</w:t>
            </w:r>
          </w:p>
        </w:tc>
        <w:tc>
          <w:tcPr>
            <w:tcW w:w="6461" w:type="dxa"/>
            <w:shd w:val="clear" w:color="auto" w:fill="auto"/>
            <w:vAlign w:val="center"/>
          </w:tcPr>
          <w:p w14:paraId="3A1BA32D">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r>
              <w:rPr>
                <w:rFonts w:hint="eastAsia" w:ascii="宋体" w:hAnsi="宋体" w:cs="宋体"/>
                <w:sz w:val="24"/>
                <w:highlight w:val="none"/>
              </w:rPr>
              <w:t>国家三级公立医院绩效考核评价体系：可视化图表、下钻数据功能，展示关联指标群间的变化及指标间关联性、均衡性分析，以及责任科室部分数据在线填报、审核功能。</w:t>
            </w:r>
          </w:p>
          <w:p w14:paraId="4C09CE11">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2)</w:t>
            </w:r>
            <w:r>
              <w:rPr>
                <w:rFonts w:hint="eastAsia" w:ascii="宋体" w:hAnsi="宋体" w:cs="宋体"/>
                <w:sz w:val="24"/>
                <w:highlight w:val="none"/>
              </w:rPr>
              <w:t>省公立医院综合改革评价指标体系：可视化图表、下钻数据功能，展示关联指标群间的变化及分析，以及责任科室在线填报数据功能。</w:t>
            </w:r>
          </w:p>
          <w:p w14:paraId="0272391F">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3)</w:t>
            </w:r>
            <w:r>
              <w:rPr>
                <w:rFonts w:hint="eastAsia" w:ascii="宋体" w:hAnsi="宋体" w:cs="宋体"/>
                <w:sz w:val="24"/>
                <w:highlight w:val="none"/>
              </w:rPr>
              <w:t>三级综合医院评审：根据评审周期最新评审要求和指标体系，提供数据收集、资料上传等功能，以及责任科室在线填报数据、审核功能。</w:t>
            </w:r>
          </w:p>
          <w:p w14:paraId="1D57C72F">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4)</w:t>
            </w:r>
            <w:r>
              <w:rPr>
                <w:rFonts w:hint="eastAsia" w:ascii="宋体" w:hAnsi="宋体" w:cs="宋体"/>
                <w:sz w:val="24"/>
                <w:highlight w:val="none"/>
              </w:rPr>
              <w:t>公立医院高质量发展评价指标体系：根据国家指标体系，提供可视化图表、下钻数据功能，展示关联指标群间的变化及分析，以及责任科室填报功能。</w:t>
            </w:r>
          </w:p>
          <w:p w14:paraId="483B1F2B">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5)</w:t>
            </w:r>
            <w:r>
              <w:rPr>
                <w:rFonts w:hint="eastAsia" w:ascii="宋体" w:hAnsi="宋体" w:cs="宋体"/>
                <w:sz w:val="24"/>
                <w:highlight w:val="none"/>
              </w:rPr>
              <w:t>国家公立医院改革与高质量发展示范项目绩效评价指标体系：根据示范项目绩效指标体系，提供可视化图表、下钻数据功能，展示关联指标群间的变化及分析，以及责任科室填报数据功能。</w:t>
            </w:r>
          </w:p>
        </w:tc>
      </w:tr>
      <w:tr w14:paraId="752D68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6" w:hRule="atLeast"/>
        </w:trPr>
        <w:tc>
          <w:tcPr>
            <w:tcW w:w="689" w:type="dxa"/>
            <w:vAlign w:val="center"/>
          </w:tcPr>
          <w:p w14:paraId="37EC24A3">
            <w:pPr>
              <w:spacing w:line="360" w:lineRule="auto"/>
              <w:rPr>
                <w:rFonts w:hint="eastAsia" w:ascii="宋体" w:hAnsi="宋体" w:cs="宋体"/>
                <w:sz w:val="24"/>
                <w:highlight w:val="none"/>
              </w:rPr>
            </w:pPr>
            <w:r>
              <w:rPr>
                <w:rFonts w:hint="eastAsia" w:ascii="宋体" w:hAnsi="宋体" w:cs="宋体"/>
                <w:sz w:val="24"/>
                <w:highlight w:val="none"/>
              </w:rPr>
              <w:t>6</w:t>
            </w:r>
          </w:p>
        </w:tc>
        <w:tc>
          <w:tcPr>
            <w:tcW w:w="1134" w:type="dxa"/>
            <w:vMerge w:val="restart"/>
            <w:shd w:val="clear" w:color="auto" w:fill="auto"/>
            <w:vAlign w:val="center"/>
          </w:tcPr>
          <w:p w14:paraId="68B88586">
            <w:pPr>
              <w:spacing w:line="360" w:lineRule="auto"/>
              <w:rPr>
                <w:rFonts w:hint="eastAsia" w:ascii="宋体" w:hAnsi="宋体" w:cs="宋体"/>
                <w:sz w:val="24"/>
                <w:highlight w:val="none"/>
              </w:rPr>
            </w:pPr>
            <w:r>
              <w:rPr>
                <w:rFonts w:hint="eastAsia" w:ascii="宋体" w:hAnsi="宋体" w:cs="宋体"/>
                <w:sz w:val="24"/>
                <w:highlight w:val="none"/>
              </w:rPr>
              <w:t>科室运营管理平台</w:t>
            </w:r>
          </w:p>
        </w:tc>
        <w:tc>
          <w:tcPr>
            <w:tcW w:w="1256" w:type="dxa"/>
            <w:shd w:val="clear" w:color="auto" w:fill="auto"/>
            <w:vAlign w:val="center"/>
          </w:tcPr>
          <w:p w14:paraId="0180E816">
            <w:pPr>
              <w:spacing w:line="360" w:lineRule="auto"/>
              <w:rPr>
                <w:rFonts w:hint="eastAsia" w:ascii="宋体" w:hAnsi="宋体" w:cs="宋体"/>
                <w:sz w:val="24"/>
                <w:highlight w:val="none"/>
              </w:rPr>
            </w:pPr>
            <w:r>
              <w:rPr>
                <w:rFonts w:hint="eastAsia" w:ascii="宋体" w:hAnsi="宋体" w:cs="宋体"/>
                <w:sz w:val="24"/>
                <w:highlight w:val="none"/>
              </w:rPr>
              <w:t>科室运营概览/工作台/数据中心</w:t>
            </w:r>
          </w:p>
        </w:tc>
        <w:tc>
          <w:tcPr>
            <w:tcW w:w="6461" w:type="dxa"/>
            <w:shd w:val="clear" w:color="auto" w:fill="auto"/>
            <w:vAlign w:val="center"/>
          </w:tcPr>
          <w:p w14:paraId="6A8701BE">
            <w:pPr>
              <w:spacing w:line="360" w:lineRule="auto"/>
              <w:rPr>
                <w:rFonts w:hint="eastAsia" w:ascii="宋体" w:hAnsi="宋体" w:cs="宋体"/>
                <w:sz w:val="24"/>
                <w:highlight w:val="none"/>
              </w:rPr>
            </w:pPr>
            <w:r>
              <w:rPr>
                <w:rFonts w:hint="eastAsia" w:ascii="宋体" w:hAnsi="宋体" w:cs="宋体"/>
                <w:sz w:val="24"/>
                <w:highlight w:val="none"/>
              </w:rPr>
              <w:t>根据数据质量、提取情况，形成科室并下钻主诊组的运营日报/周报/月报数据展示，提供符合科室专科属性的运营相关指标的监测、重点病种的监测、学科病区医疗组床位情况（空床数、空床率、床位使用率等）及异常提醒功能等。基于科室工作台，提供基于大数据技术、因果引擎、异常引擎的问题识别等功能。</w:t>
            </w:r>
          </w:p>
        </w:tc>
      </w:tr>
      <w:tr w14:paraId="27894C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89" w:type="dxa"/>
            <w:vAlign w:val="center"/>
          </w:tcPr>
          <w:p w14:paraId="0B7367F8">
            <w:pPr>
              <w:spacing w:line="360" w:lineRule="auto"/>
              <w:rPr>
                <w:rFonts w:hint="eastAsia" w:ascii="宋体" w:hAnsi="宋体" w:cs="宋体"/>
                <w:sz w:val="24"/>
                <w:highlight w:val="none"/>
              </w:rPr>
            </w:pPr>
            <w:bookmarkStart w:id="18" w:name="_Hlk185231205"/>
            <w:r>
              <w:rPr>
                <w:rFonts w:hint="eastAsia" w:ascii="宋体" w:hAnsi="宋体" w:cs="宋体"/>
                <w:sz w:val="24"/>
                <w:highlight w:val="none"/>
              </w:rPr>
              <w:t>7</w:t>
            </w:r>
          </w:p>
        </w:tc>
        <w:tc>
          <w:tcPr>
            <w:tcW w:w="1134" w:type="dxa"/>
            <w:vMerge w:val="continue"/>
            <w:shd w:val="clear" w:color="auto" w:fill="auto"/>
            <w:vAlign w:val="center"/>
          </w:tcPr>
          <w:p w14:paraId="019E5E9F">
            <w:pPr>
              <w:spacing w:line="360" w:lineRule="auto"/>
              <w:rPr>
                <w:rFonts w:hint="eastAsia" w:ascii="宋体" w:hAnsi="宋体" w:cs="宋体"/>
                <w:sz w:val="24"/>
                <w:highlight w:val="none"/>
              </w:rPr>
            </w:pPr>
          </w:p>
        </w:tc>
        <w:tc>
          <w:tcPr>
            <w:tcW w:w="1256" w:type="dxa"/>
            <w:shd w:val="clear" w:color="auto" w:fill="auto"/>
            <w:vAlign w:val="center"/>
          </w:tcPr>
          <w:p w14:paraId="1BE91BD6">
            <w:pPr>
              <w:spacing w:line="360" w:lineRule="auto"/>
              <w:rPr>
                <w:rFonts w:hint="eastAsia" w:ascii="宋体" w:hAnsi="宋体" w:cs="宋体"/>
                <w:sz w:val="24"/>
                <w:highlight w:val="none"/>
              </w:rPr>
            </w:pPr>
            <w:r>
              <w:rPr>
                <w:rFonts w:hint="eastAsia" w:ascii="宋体" w:hAnsi="宋体" w:cs="宋体"/>
                <w:sz w:val="24"/>
                <w:highlight w:val="none"/>
              </w:rPr>
              <w:t>科室收支余分析</w:t>
            </w:r>
          </w:p>
        </w:tc>
        <w:tc>
          <w:tcPr>
            <w:tcW w:w="6461" w:type="dxa"/>
            <w:shd w:val="clear" w:color="auto" w:fill="auto"/>
            <w:vAlign w:val="center"/>
          </w:tcPr>
          <w:p w14:paraId="49DDE55C">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r>
              <w:rPr>
                <w:rFonts w:hint="eastAsia" w:ascii="宋体" w:hAnsi="宋体" w:cs="宋体"/>
                <w:sz w:val="24"/>
                <w:highlight w:val="none"/>
              </w:rPr>
              <w:t>提供科室/主诊组/病种的收入、成本以及盈余的分析，结合医保DRG结算预测数，形成</w:t>
            </w:r>
            <w:r>
              <w:rPr>
                <w:rFonts w:hint="eastAsia" w:ascii="宋体" w:hAnsi="宋体" w:cs="宋体"/>
                <w:sz w:val="24"/>
                <w:highlight w:val="none"/>
                <w:lang w:eastAsia="zh-CN"/>
              </w:rPr>
              <w:t>计费</w:t>
            </w:r>
            <w:r>
              <w:rPr>
                <w:rFonts w:hint="eastAsia" w:ascii="宋体" w:hAnsi="宋体" w:cs="宋体"/>
                <w:sz w:val="24"/>
                <w:highlight w:val="none"/>
              </w:rPr>
              <w:t>收入、实际成本、病种医保结算金额的比较分析及预警功能，并提供相应的下钻分析。</w:t>
            </w:r>
          </w:p>
          <w:p w14:paraId="1D1C7647">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2)</w:t>
            </w:r>
            <w:r>
              <w:rPr>
                <w:rFonts w:hint="eastAsia" w:ascii="宋体" w:hAnsi="宋体" w:cs="宋体"/>
                <w:sz w:val="24"/>
                <w:highlight w:val="none"/>
              </w:rPr>
              <w:t>提供按门诊、住院及关注的重点的分类分析。</w:t>
            </w:r>
          </w:p>
          <w:p w14:paraId="3926EAA9">
            <w:pPr>
              <w:spacing w:line="360" w:lineRule="auto"/>
              <w:rPr>
                <w:rFonts w:hint="eastAsia" w:ascii="宋体" w:hAnsi="宋体" w:cs="宋体"/>
                <w:b/>
                <w:bCs/>
                <w:color w:val="000000"/>
                <w:kern w:val="0"/>
                <w:sz w:val="24"/>
                <w:highlight w:val="none"/>
              </w:rPr>
            </w:pPr>
            <w:r>
              <w:rPr>
                <w:rFonts w:hint="eastAsia" w:ascii="宋体" w:hAnsi="宋体" w:cs="宋体"/>
                <w:color w:val="000000"/>
                <w:kern w:val="0"/>
                <w:sz w:val="24"/>
                <w:highlight w:val="none"/>
              </w:rPr>
              <w:t>(3)</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提供科室整体医疗盈余分析表，提供同一窗口表格下同比、环比、科系比、全院比等。</w:t>
            </w:r>
          </w:p>
          <w:p w14:paraId="6876B9AE">
            <w:pPr>
              <w:spacing w:line="360" w:lineRule="auto"/>
              <w:rPr>
                <w:rFonts w:ascii="宋体" w:hAnsi="宋体" w:cs="宋体"/>
                <w:b w:val="0"/>
                <w:bCs w:val="0"/>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4)</w:t>
            </w:r>
            <w:r>
              <w:rPr>
                <w:rFonts w:hint="eastAsia" w:ascii="宋体" w:hAnsi="宋体" w:cs="宋体"/>
                <w:b w:val="0"/>
                <w:bCs w:val="0"/>
                <w:color w:val="000000"/>
                <w:kern w:val="0"/>
                <w:sz w:val="24"/>
                <w:highlight w:val="none"/>
              </w:rPr>
              <w:t>提供科室门急诊医疗盈余分析表，提供同一窗口表格下同比、环比、科系比、全院比等。</w:t>
            </w:r>
          </w:p>
          <w:p w14:paraId="39FA7A96">
            <w:pPr>
              <w:spacing w:line="360" w:lineRule="auto"/>
              <w:rPr>
                <w:rFonts w:ascii="宋体" w:hAnsi="宋体" w:cs="宋体"/>
                <w:b w:val="0"/>
                <w:bCs w:val="0"/>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5)</w:t>
            </w:r>
            <w:r>
              <w:rPr>
                <w:rFonts w:hint="eastAsia" w:ascii="宋体" w:hAnsi="宋体" w:cs="宋体"/>
                <w:b w:val="0"/>
                <w:bCs w:val="0"/>
                <w:color w:val="000000"/>
                <w:kern w:val="0"/>
                <w:sz w:val="24"/>
                <w:highlight w:val="none"/>
              </w:rPr>
              <w:t>提供科室住院医疗盈余分析表，提供同一窗口表格下同比、环比、科系比、全院比等。</w:t>
            </w:r>
          </w:p>
          <w:p w14:paraId="06AA12CB">
            <w:pPr>
              <w:spacing w:line="360" w:lineRule="auto"/>
              <w:rPr>
                <w:rFonts w:hint="eastAsia" w:ascii="宋体" w:hAnsi="宋体" w:cs="宋体"/>
                <w:b/>
                <w:bCs/>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6)</w:t>
            </w:r>
            <w:r>
              <w:rPr>
                <w:rFonts w:hint="eastAsia" w:ascii="宋体" w:hAnsi="宋体" w:cs="宋体"/>
                <w:b w:val="0"/>
                <w:bCs w:val="0"/>
                <w:color w:val="000000"/>
                <w:kern w:val="0"/>
                <w:sz w:val="24"/>
                <w:highlight w:val="none"/>
              </w:rPr>
              <w:t>提供科出院手术病人医疗盈余分析表，提供同一窗口表格下同比、环比、科系比、全院比等。</w:t>
            </w:r>
          </w:p>
        </w:tc>
      </w:tr>
      <w:bookmarkEnd w:id="18"/>
      <w:tr w14:paraId="4F3D6E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689" w:type="dxa"/>
            <w:vAlign w:val="center"/>
          </w:tcPr>
          <w:p w14:paraId="3A963547">
            <w:pPr>
              <w:spacing w:line="360" w:lineRule="auto"/>
              <w:rPr>
                <w:rFonts w:hint="eastAsia" w:ascii="宋体" w:hAnsi="宋体" w:cs="宋体"/>
                <w:sz w:val="24"/>
                <w:highlight w:val="none"/>
              </w:rPr>
            </w:pPr>
            <w:bookmarkStart w:id="19" w:name="_Hlk185231219"/>
            <w:r>
              <w:rPr>
                <w:rFonts w:hint="eastAsia" w:ascii="宋体" w:hAnsi="宋体" w:cs="宋体"/>
                <w:sz w:val="24"/>
                <w:highlight w:val="none"/>
              </w:rPr>
              <w:t>8</w:t>
            </w:r>
          </w:p>
        </w:tc>
        <w:tc>
          <w:tcPr>
            <w:tcW w:w="1134" w:type="dxa"/>
            <w:vMerge w:val="continue"/>
            <w:shd w:val="clear" w:color="auto" w:fill="auto"/>
            <w:vAlign w:val="center"/>
          </w:tcPr>
          <w:p w14:paraId="6D5790C4">
            <w:pPr>
              <w:spacing w:line="360" w:lineRule="auto"/>
              <w:rPr>
                <w:rFonts w:hint="eastAsia" w:ascii="宋体" w:hAnsi="宋体" w:cs="宋体"/>
                <w:sz w:val="24"/>
                <w:highlight w:val="none"/>
              </w:rPr>
            </w:pPr>
          </w:p>
        </w:tc>
        <w:tc>
          <w:tcPr>
            <w:tcW w:w="1256" w:type="dxa"/>
            <w:shd w:val="clear" w:color="auto" w:fill="auto"/>
            <w:vAlign w:val="center"/>
          </w:tcPr>
          <w:p w14:paraId="53E898A3">
            <w:pPr>
              <w:spacing w:line="360" w:lineRule="auto"/>
              <w:rPr>
                <w:rFonts w:hint="eastAsia" w:ascii="宋体" w:hAnsi="宋体" w:cs="宋体"/>
                <w:sz w:val="24"/>
                <w:highlight w:val="none"/>
              </w:rPr>
            </w:pPr>
            <w:r>
              <w:rPr>
                <w:rFonts w:hint="eastAsia" w:ascii="宋体" w:hAnsi="宋体" w:cs="宋体"/>
                <w:sz w:val="24"/>
                <w:highlight w:val="none"/>
              </w:rPr>
              <w:t>科室工作量分析</w:t>
            </w:r>
          </w:p>
        </w:tc>
        <w:tc>
          <w:tcPr>
            <w:tcW w:w="6461" w:type="dxa"/>
            <w:shd w:val="clear" w:color="auto" w:fill="auto"/>
            <w:vAlign w:val="center"/>
          </w:tcPr>
          <w:p w14:paraId="0403E807">
            <w:pPr>
              <w:spacing w:line="360" w:lineRule="auto"/>
              <w:rPr>
                <w:rFonts w:hint="eastAsia" w:ascii="宋体" w:hAnsi="宋体" w:cs="宋体"/>
                <w:sz w:val="24"/>
                <w:highlight w:val="none"/>
              </w:rPr>
            </w:pPr>
            <w:bookmarkStart w:id="20" w:name="OLE_LINK4"/>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bookmarkEnd w:id="20"/>
            <w:r>
              <w:rPr>
                <w:rFonts w:hint="eastAsia" w:ascii="宋体" w:hAnsi="宋体" w:cs="宋体"/>
                <w:sz w:val="24"/>
                <w:highlight w:val="none"/>
              </w:rPr>
              <w:t>提供科室/主诊组/医生的各类工作效率、质量、结构维度等的分析。重点关注代表专科属性的工作量指标并分析异常原因，从产出维度评价产出与资源投入是否匹配，给出调整和优化的方向。</w:t>
            </w:r>
          </w:p>
          <w:p w14:paraId="1D859F4C">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(2)</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提供</w:t>
            </w:r>
            <w:r>
              <w:rPr>
                <w:rFonts w:hint="eastAsia" w:ascii="宋体" w:hAnsi="宋体" w:cs="宋体"/>
                <w:sz w:val="24"/>
                <w:highlight w:val="none"/>
              </w:rPr>
              <w:t>科室</w:t>
            </w:r>
            <w:bookmarkStart w:id="21" w:name="OLE_LINK2"/>
            <w:r>
              <w:rPr>
                <w:rFonts w:hint="eastAsia" w:ascii="宋体" w:hAnsi="宋体" w:cs="宋体"/>
                <w:b/>
                <w:bCs/>
                <w:color w:val="000000"/>
                <w:kern w:val="0"/>
                <w:sz w:val="24"/>
                <w:highlight w:val="none"/>
              </w:rPr>
              <w:t>工作量分析表，提供同一窗口表格下同比、环比、科系比、全院比等。</w:t>
            </w:r>
            <w:bookmarkEnd w:id="21"/>
          </w:p>
          <w:p w14:paraId="1A0AADED">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3)</w:t>
            </w:r>
            <w:r>
              <w:rPr>
                <w:rFonts w:hint="eastAsia" w:ascii="宋体" w:hAnsi="宋体" w:cs="宋体"/>
                <w:b/>
                <w:bCs/>
                <w:color w:val="000000"/>
                <w:kern w:val="0"/>
                <w:sz w:val="24"/>
                <w:highlight w:val="none"/>
              </w:rPr>
              <w:t>提供</w:t>
            </w:r>
            <w:r>
              <w:rPr>
                <w:rFonts w:hint="eastAsia" w:ascii="宋体" w:hAnsi="宋体" w:cs="宋体"/>
                <w:sz w:val="24"/>
                <w:highlight w:val="none"/>
              </w:rPr>
              <w:t>主诊组</w:t>
            </w:r>
            <w:r>
              <w:rPr>
                <w:rFonts w:hint="eastAsia" w:ascii="宋体" w:hAnsi="宋体" w:cs="宋体"/>
                <w:b/>
                <w:bCs/>
                <w:color w:val="000000"/>
                <w:kern w:val="0"/>
                <w:sz w:val="24"/>
                <w:highlight w:val="none"/>
              </w:rPr>
              <w:t>工作量分析表，提供同一窗口表格下同比、环比、科系比、全院比等。</w:t>
            </w:r>
          </w:p>
          <w:p w14:paraId="3550C26B">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(4)</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提供科室工作量仪表盘及图表分析，包括门诊人次、出院人次、门住比、出院患者手术人次及占比、四级手术人次及占比、日间手术人次及占比、微创手术人次及占比。支持同比、环比、预算完成比。同时配置指标趋势线。</w:t>
            </w:r>
          </w:p>
          <w:p w14:paraId="4E5948F7">
            <w:pPr>
              <w:widowControl/>
              <w:spacing w:line="360" w:lineRule="auto"/>
              <w:jc w:val="left"/>
              <w:rPr>
                <w:rFonts w:hint="eastAsia" w:ascii="宋体" w:hAnsi="宋体" w:cs="宋体"/>
                <w:b/>
                <w:bCs/>
                <w:color w:val="000000"/>
                <w:kern w:val="0"/>
                <w:sz w:val="24"/>
                <w:highlight w:val="none"/>
              </w:rPr>
            </w:pPr>
            <w:r>
              <w:rPr>
                <w:rFonts w:hint="eastAsia" w:ascii="宋体" w:hAnsi="宋体" w:cs="宋体"/>
                <w:color w:val="000000"/>
                <w:kern w:val="0"/>
                <w:sz w:val="24"/>
                <w:highlight w:val="none"/>
              </w:rPr>
              <w:t>(5)</w:t>
            </w:r>
            <w:r>
              <w:rPr>
                <w:rFonts w:hint="eastAsia" w:ascii="宋体" w:hAnsi="宋体" w:cs="仿宋"/>
                <w:bCs/>
                <w:kern w:val="0"/>
                <w:sz w:val="24"/>
                <w:highlight w:val="none"/>
                <w:lang w:val="zh-CN" w:bidi="zh-CN"/>
              </w:rPr>
              <w:t>★</w:t>
            </w:r>
            <w:r>
              <w:rPr>
                <w:rFonts w:hint="eastAsia" w:ascii="宋体" w:hAnsi="宋体" w:cs="宋体"/>
                <w:b/>
                <w:bCs/>
                <w:color w:val="000000"/>
                <w:kern w:val="0"/>
                <w:sz w:val="24"/>
                <w:highlight w:val="none"/>
              </w:rPr>
              <w:t>提供科室工作效能分析，包括出院患者RW≥2例数及占比、RW≤0.5非手术例数及占比、各RW区间例数及占比等，支持同比、环比、预算完成比，同时配置指标趋势线及目标值/同级医院平均值。</w:t>
            </w:r>
          </w:p>
          <w:p w14:paraId="1529387E">
            <w:pPr>
              <w:spacing w:line="360" w:lineRule="auto"/>
              <w:rPr>
                <w:rFonts w:hint="eastAsia" w:ascii="宋体" w:hAnsi="宋体" w:cs="宋体"/>
                <w:b w:val="0"/>
                <w:bCs w:val="0"/>
                <w:color w:val="000000"/>
                <w:kern w:val="0"/>
                <w:sz w:val="24"/>
                <w:highlight w:val="none"/>
              </w:rPr>
            </w:pPr>
            <w:bookmarkStart w:id="22" w:name="OLE_LINK3"/>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6)</w:t>
            </w:r>
            <w:bookmarkEnd w:id="22"/>
            <w:r>
              <w:rPr>
                <w:rFonts w:hint="eastAsia" w:ascii="宋体" w:hAnsi="宋体" w:cs="宋体"/>
                <w:b w:val="0"/>
                <w:bCs w:val="0"/>
                <w:color w:val="000000"/>
                <w:kern w:val="0"/>
                <w:sz w:val="24"/>
                <w:highlight w:val="none"/>
              </w:rPr>
              <w:t>提供科室医师/主诊组工作负荷水平分析，包括门诊人次、出院人次、门住比、出院患者手术人次及占比、四级手术人次及占比、日间手术人次及占比、微创手术人次及占比、出院患者RW≥2例数及占比、RW≤0.5非手术例数及占比、各RW区间例数及占比等，支持科室工作量和科系占比二维矩阵分析，支持同学科不同主诊组/医师的对比，支持数据下钻、指标智能解读功能。</w:t>
            </w:r>
          </w:p>
        </w:tc>
      </w:tr>
      <w:bookmarkEnd w:id="19"/>
      <w:tr w14:paraId="6344D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689" w:type="dxa"/>
            <w:vAlign w:val="center"/>
          </w:tcPr>
          <w:p w14:paraId="75236BB3">
            <w:pPr>
              <w:spacing w:line="360" w:lineRule="auto"/>
              <w:rPr>
                <w:rFonts w:hint="eastAsia" w:ascii="宋体" w:hAnsi="宋体" w:cs="宋体"/>
                <w:sz w:val="24"/>
                <w:highlight w:val="none"/>
              </w:rPr>
            </w:pPr>
            <w:r>
              <w:rPr>
                <w:rFonts w:hint="eastAsia" w:ascii="宋体" w:hAnsi="宋体" w:cs="宋体"/>
                <w:sz w:val="24"/>
                <w:highlight w:val="none"/>
              </w:rPr>
              <w:t>9</w:t>
            </w:r>
          </w:p>
        </w:tc>
        <w:tc>
          <w:tcPr>
            <w:tcW w:w="1134" w:type="dxa"/>
            <w:vMerge w:val="restart"/>
            <w:shd w:val="clear" w:color="auto" w:fill="auto"/>
            <w:vAlign w:val="center"/>
          </w:tcPr>
          <w:p w14:paraId="507B595C">
            <w:pPr>
              <w:spacing w:line="360" w:lineRule="auto"/>
              <w:rPr>
                <w:rFonts w:hint="eastAsia" w:ascii="宋体" w:hAnsi="宋体" w:cs="宋体"/>
                <w:sz w:val="24"/>
                <w:highlight w:val="none"/>
              </w:rPr>
            </w:pPr>
            <w:r>
              <w:rPr>
                <w:rFonts w:hint="eastAsia" w:ascii="宋体" w:hAnsi="宋体" w:cs="宋体"/>
                <w:sz w:val="24"/>
                <w:highlight w:val="none"/>
              </w:rPr>
              <w:t>运营管理大数据中心</w:t>
            </w:r>
          </w:p>
        </w:tc>
        <w:tc>
          <w:tcPr>
            <w:tcW w:w="1256" w:type="dxa"/>
            <w:shd w:val="clear" w:color="auto" w:fill="auto"/>
            <w:vAlign w:val="center"/>
          </w:tcPr>
          <w:p w14:paraId="4746D34C">
            <w:pPr>
              <w:spacing w:line="360" w:lineRule="auto"/>
              <w:rPr>
                <w:rFonts w:hint="eastAsia" w:ascii="宋体" w:hAnsi="宋体" w:cs="宋体"/>
                <w:sz w:val="24"/>
                <w:highlight w:val="none"/>
              </w:rPr>
            </w:pPr>
            <w:r>
              <w:rPr>
                <w:rFonts w:hint="eastAsia" w:ascii="宋体" w:hAnsi="宋体" w:cs="宋体"/>
                <w:sz w:val="24"/>
                <w:highlight w:val="none"/>
              </w:rPr>
              <w:t>数据采集与汇聚</w:t>
            </w:r>
          </w:p>
        </w:tc>
        <w:tc>
          <w:tcPr>
            <w:tcW w:w="6461" w:type="dxa"/>
            <w:shd w:val="clear" w:color="auto" w:fill="auto"/>
            <w:vAlign w:val="center"/>
          </w:tcPr>
          <w:p w14:paraId="003630A1">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w:t>
            </w:r>
            <w:r>
              <w:rPr>
                <w:rFonts w:hint="eastAsia" w:ascii="宋体" w:hAnsi="宋体" w:cs="宋体"/>
                <w:sz w:val="24"/>
                <w:highlight w:val="none"/>
              </w:rPr>
              <w:t>系统支持不同数据来源的数据：充分考虑数据源格式的多样性，比如各自不同的数据库格式、文本文件格式、XML格式、JSON格式等，支持结构化数据、半结构化或非结构化数据。</w:t>
            </w:r>
          </w:p>
          <w:p w14:paraId="160CA9D8">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2)</w:t>
            </w:r>
            <w:r>
              <w:rPr>
                <w:rFonts w:hint="eastAsia" w:ascii="宋体" w:hAnsi="宋体" w:cs="宋体"/>
                <w:sz w:val="24"/>
                <w:highlight w:val="none"/>
              </w:rPr>
              <w:t>支持医院业务源数据库的存量和增量采集接入，支持按指定频率进行增量数据采集和断点续传，支持数据同步、数据备份、集成接口等数据采集方式。</w:t>
            </w:r>
          </w:p>
          <w:p w14:paraId="3A17A92F">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3)</w:t>
            </w:r>
            <w:r>
              <w:rPr>
                <w:rFonts w:hint="eastAsia" w:ascii="宋体" w:hAnsi="宋体" w:cs="宋体"/>
                <w:sz w:val="24"/>
                <w:highlight w:val="none"/>
              </w:rPr>
              <w:t>根据医疗业务逻辑以及数据库处理方式，数据表之间以及数据表的字段之间存在着的相互关联关系，各业务系统提交的数据由平台进行整合、匹配来实现关联。</w:t>
            </w:r>
          </w:p>
          <w:p w14:paraId="425E7F48">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4)</w:t>
            </w:r>
            <w:r>
              <w:rPr>
                <w:rFonts w:hint="eastAsia" w:ascii="宋体" w:hAnsi="宋体" w:cs="宋体"/>
                <w:sz w:val="24"/>
                <w:highlight w:val="none"/>
              </w:rPr>
              <w:t>支持SQL语句、代码等方式进行表和字段转换、映射与加工。</w:t>
            </w:r>
          </w:p>
          <w:p w14:paraId="5E4BBAB3">
            <w:pPr>
              <w:spacing w:line="360" w:lineRule="auto"/>
              <w:rPr>
                <w:rFonts w:hint="eastAsia" w:ascii="宋体" w:hAnsi="宋体" w:cs="宋体"/>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5)</w:t>
            </w:r>
            <w:r>
              <w:rPr>
                <w:rFonts w:hint="eastAsia" w:ascii="宋体" w:hAnsi="宋体" w:cs="宋体"/>
                <w:sz w:val="24"/>
                <w:highlight w:val="none"/>
              </w:rPr>
              <w:t>支持MPP分布式并行计算数据库，提供基本数据类型、视图管理、表连接、分组查询、基本表管理、简单搜索条件等功能。</w:t>
            </w:r>
          </w:p>
        </w:tc>
      </w:tr>
      <w:tr w14:paraId="0E247A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689" w:type="dxa"/>
            <w:vAlign w:val="center"/>
          </w:tcPr>
          <w:p w14:paraId="0C2CB499">
            <w:pPr>
              <w:spacing w:line="360" w:lineRule="auto"/>
              <w:rPr>
                <w:rFonts w:hint="eastAsia" w:ascii="宋体" w:hAnsi="宋体" w:cs="宋体"/>
                <w:sz w:val="24"/>
                <w:highlight w:val="none"/>
              </w:rPr>
            </w:pPr>
            <w:r>
              <w:rPr>
                <w:rFonts w:hint="eastAsia" w:ascii="宋体" w:hAnsi="宋体" w:cs="宋体"/>
                <w:sz w:val="24"/>
                <w:highlight w:val="none"/>
              </w:rPr>
              <w:t>10</w:t>
            </w:r>
          </w:p>
        </w:tc>
        <w:tc>
          <w:tcPr>
            <w:tcW w:w="1134" w:type="dxa"/>
            <w:vMerge w:val="continue"/>
            <w:shd w:val="clear" w:color="auto" w:fill="auto"/>
            <w:vAlign w:val="center"/>
          </w:tcPr>
          <w:p w14:paraId="72B54117">
            <w:pPr>
              <w:spacing w:line="360" w:lineRule="auto"/>
              <w:rPr>
                <w:rFonts w:hint="eastAsia" w:ascii="宋体" w:hAnsi="宋体" w:cs="宋体"/>
                <w:sz w:val="24"/>
                <w:highlight w:val="none"/>
              </w:rPr>
            </w:pPr>
          </w:p>
        </w:tc>
        <w:tc>
          <w:tcPr>
            <w:tcW w:w="1256" w:type="dxa"/>
            <w:shd w:val="clear" w:color="auto" w:fill="auto"/>
            <w:vAlign w:val="center"/>
          </w:tcPr>
          <w:p w14:paraId="33ECE68F">
            <w:pPr>
              <w:spacing w:line="360" w:lineRule="auto"/>
              <w:rPr>
                <w:rFonts w:hint="eastAsia" w:ascii="宋体" w:hAnsi="宋体" w:cs="宋体"/>
                <w:sz w:val="24"/>
                <w:highlight w:val="none"/>
              </w:rPr>
            </w:pPr>
            <w:r>
              <w:rPr>
                <w:rFonts w:hint="eastAsia" w:ascii="宋体" w:hAnsi="宋体" w:cs="宋体"/>
                <w:sz w:val="24"/>
                <w:highlight w:val="none"/>
              </w:rPr>
              <w:t>数据清洗处理</w:t>
            </w:r>
          </w:p>
        </w:tc>
        <w:tc>
          <w:tcPr>
            <w:tcW w:w="6461" w:type="dxa"/>
            <w:shd w:val="clear" w:color="auto" w:fill="auto"/>
            <w:vAlign w:val="center"/>
          </w:tcPr>
          <w:p w14:paraId="5A1F1743">
            <w:pPr>
              <w:spacing w:line="360" w:lineRule="auto"/>
              <w:rPr>
                <w:rFonts w:hint="eastAsia" w:ascii="宋体" w:hAnsi="宋体" w:cs="宋体"/>
                <w:sz w:val="24"/>
                <w:highlight w:val="none"/>
              </w:rPr>
            </w:pPr>
            <w:r>
              <w:rPr>
                <w:rFonts w:hint="eastAsia" w:ascii="宋体" w:hAnsi="宋体" w:cs="宋体"/>
                <w:sz w:val="24"/>
                <w:highlight w:val="none"/>
              </w:rPr>
              <w:t>将医院数据因各种历史原因或不明原因导致的不规范、错误的字段信息进行清洗，避免因部分明显错误的信息导致上层应用服务的结论错误。包括：一致性检查；无效值和缺失值的处理；残缺数据处理；错误数据处理；重复数据处理</w:t>
            </w:r>
          </w:p>
        </w:tc>
      </w:tr>
      <w:tr w14:paraId="4C8065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689" w:type="dxa"/>
            <w:vAlign w:val="center"/>
          </w:tcPr>
          <w:p w14:paraId="79146EFE">
            <w:pPr>
              <w:spacing w:line="360" w:lineRule="auto"/>
              <w:rPr>
                <w:rFonts w:hint="eastAsia" w:ascii="宋体" w:hAnsi="宋体" w:cs="宋体"/>
                <w:sz w:val="24"/>
                <w:highlight w:val="none"/>
              </w:rPr>
            </w:pPr>
            <w:r>
              <w:rPr>
                <w:rFonts w:hint="eastAsia" w:ascii="宋体" w:hAnsi="宋体" w:cs="宋体"/>
                <w:sz w:val="24"/>
                <w:highlight w:val="none"/>
              </w:rPr>
              <w:t>11</w:t>
            </w:r>
          </w:p>
        </w:tc>
        <w:tc>
          <w:tcPr>
            <w:tcW w:w="1134" w:type="dxa"/>
            <w:vMerge w:val="continue"/>
            <w:shd w:val="clear" w:color="auto" w:fill="auto"/>
            <w:vAlign w:val="center"/>
          </w:tcPr>
          <w:p w14:paraId="75C1FCDA">
            <w:pPr>
              <w:spacing w:line="360" w:lineRule="auto"/>
              <w:rPr>
                <w:rFonts w:hint="eastAsia" w:ascii="宋体" w:hAnsi="宋体" w:cs="宋体"/>
                <w:sz w:val="24"/>
                <w:highlight w:val="none"/>
              </w:rPr>
            </w:pPr>
          </w:p>
        </w:tc>
        <w:tc>
          <w:tcPr>
            <w:tcW w:w="1256" w:type="dxa"/>
            <w:shd w:val="clear" w:color="auto" w:fill="auto"/>
            <w:vAlign w:val="center"/>
          </w:tcPr>
          <w:p w14:paraId="490A7C43">
            <w:pPr>
              <w:spacing w:line="360" w:lineRule="auto"/>
              <w:rPr>
                <w:rFonts w:hint="eastAsia" w:ascii="宋体" w:hAnsi="宋体" w:cs="宋体"/>
                <w:sz w:val="24"/>
                <w:highlight w:val="none"/>
              </w:rPr>
            </w:pPr>
            <w:r>
              <w:rPr>
                <w:rFonts w:hint="eastAsia" w:ascii="宋体" w:hAnsi="宋体" w:cs="宋体"/>
                <w:sz w:val="24"/>
                <w:highlight w:val="none"/>
              </w:rPr>
              <w:t>主索引管理</w:t>
            </w:r>
          </w:p>
        </w:tc>
        <w:tc>
          <w:tcPr>
            <w:tcW w:w="6461" w:type="dxa"/>
            <w:shd w:val="clear" w:color="auto" w:fill="auto"/>
            <w:vAlign w:val="center"/>
          </w:tcPr>
          <w:p w14:paraId="177FE6A2">
            <w:pPr>
              <w:spacing w:line="360" w:lineRule="auto"/>
              <w:rPr>
                <w:rFonts w:hint="eastAsia" w:ascii="宋体" w:hAnsi="宋体" w:cs="宋体"/>
                <w:sz w:val="24"/>
                <w:highlight w:val="none"/>
              </w:rPr>
            </w:pPr>
            <w:r>
              <w:rPr>
                <w:rFonts w:hint="eastAsia" w:ascii="宋体" w:hAnsi="宋体" w:cs="宋体"/>
                <w:sz w:val="24"/>
                <w:highlight w:val="none"/>
              </w:rPr>
              <w:t>提供组织结构、人员、DRG病种、手术操作、服务项目、床位、药品、高值耗材等主索引匹配策略管理，包括标识符管理及匹配规则配置等，支持所有信息字段参与主索引的匹配逻辑计算。</w:t>
            </w:r>
          </w:p>
        </w:tc>
      </w:tr>
      <w:tr w14:paraId="462FB2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72" w:hRule="atLeast"/>
        </w:trPr>
        <w:tc>
          <w:tcPr>
            <w:tcW w:w="689" w:type="dxa"/>
            <w:vAlign w:val="center"/>
          </w:tcPr>
          <w:p w14:paraId="630232B4">
            <w:pPr>
              <w:spacing w:line="360" w:lineRule="auto"/>
              <w:rPr>
                <w:rFonts w:hint="eastAsia" w:ascii="宋体" w:hAnsi="宋体" w:cs="宋体"/>
                <w:sz w:val="24"/>
                <w:highlight w:val="none"/>
              </w:rPr>
            </w:pPr>
            <w:r>
              <w:rPr>
                <w:rFonts w:hint="eastAsia" w:ascii="宋体" w:hAnsi="宋体" w:cs="宋体"/>
                <w:sz w:val="24"/>
                <w:highlight w:val="none"/>
              </w:rPr>
              <w:t>12</w:t>
            </w:r>
          </w:p>
        </w:tc>
        <w:tc>
          <w:tcPr>
            <w:tcW w:w="1134" w:type="dxa"/>
            <w:vMerge w:val="continue"/>
            <w:shd w:val="clear" w:color="auto" w:fill="auto"/>
            <w:vAlign w:val="center"/>
          </w:tcPr>
          <w:p w14:paraId="64E50DEF">
            <w:pPr>
              <w:spacing w:line="360" w:lineRule="auto"/>
              <w:rPr>
                <w:rFonts w:hint="eastAsia" w:ascii="宋体" w:hAnsi="宋体" w:cs="宋体"/>
                <w:sz w:val="24"/>
                <w:highlight w:val="none"/>
              </w:rPr>
            </w:pPr>
          </w:p>
        </w:tc>
        <w:tc>
          <w:tcPr>
            <w:tcW w:w="1256" w:type="dxa"/>
            <w:shd w:val="clear" w:color="auto" w:fill="auto"/>
            <w:vAlign w:val="center"/>
          </w:tcPr>
          <w:p w14:paraId="386E2DBA">
            <w:pPr>
              <w:spacing w:line="360" w:lineRule="auto"/>
              <w:rPr>
                <w:rFonts w:hint="eastAsia" w:ascii="宋体" w:hAnsi="宋体" w:cs="宋体"/>
                <w:sz w:val="24"/>
                <w:highlight w:val="none"/>
              </w:rPr>
            </w:pPr>
            <w:r>
              <w:rPr>
                <w:rFonts w:hint="eastAsia" w:ascii="宋体" w:hAnsi="宋体" w:cs="宋体"/>
                <w:sz w:val="24"/>
                <w:highlight w:val="none"/>
              </w:rPr>
              <w:t>主数据管理</w:t>
            </w:r>
          </w:p>
        </w:tc>
        <w:tc>
          <w:tcPr>
            <w:tcW w:w="6461" w:type="dxa"/>
            <w:shd w:val="clear" w:color="auto" w:fill="auto"/>
            <w:vAlign w:val="center"/>
          </w:tcPr>
          <w:p w14:paraId="44CF61F9">
            <w:pPr>
              <w:spacing w:line="360" w:lineRule="auto"/>
              <w:rPr>
                <w:rFonts w:hint="eastAsia" w:ascii="宋体" w:hAnsi="宋体" w:cs="宋体"/>
                <w:sz w:val="24"/>
                <w:highlight w:val="none"/>
              </w:rPr>
            </w:pPr>
            <w:r>
              <w:rPr>
                <w:rFonts w:hint="eastAsia" w:ascii="宋体" w:hAnsi="宋体" w:cs="宋体"/>
                <w:sz w:val="24"/>
                <w:highlight w:val="none"/>
              </w:rPr>
              <w:t>系统支持包括组织机构管理、位置信息管理、科室管理、应用系统管理在内的机构信息管理。系统提供包括人员管理、职称管理、人员类型管理、医疗组管理在内的人员信息管理。支持维护代码系统等信息。系统支持业务系统的数据字典。系统支持对变更的主数据进行查看、审核、发布。</w:t>
            </w:r>
          </w:p>
        </w:tc>
      </w:tr>
      <w:tr w14:paraId="363C1E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trPr>
        <w:tc>
          <w:tcPr>
            <w:tcW w:w="689" w:type="dxa"/>
            <w:vAlign w:val="center"/>
          </w:tcPr>
          <w:p w14:paraId="6CA5E3E8">
            <w:pPr>
              <w:spacing w:line="360" w:lineRule="auto"/>
              <w:rPr>
                <w:rFonts w:hint="eastAsia" w:ascii="宋体" w:hAnsi="宋体" w:cs="宋体"/>
                <w:sz w:val="24"/>
                <w:highlight w:val="none"/>
              </w:rPr>
            </w:pPr>
            <w:r>
              <w:rPr>
                <w:rFonts w:hint="eastAsia" w:ascii="宋体" w:hAnsi="宋体" w:cs="宋体"/>
                <w:sz w:val="24"/>
                <w:highlight w:val="none"/>
              </w:rPr>
              <w:t>13</w:t>
            </w:r>
          </w:p>
        </w:tc>
        <w:tc>
          <w:tcPr>
            <w:tcW w:w="1134" w:type="dxa"/>
            <w:vMerge w:val="continue"/>
            <w:shd w:val="clear" w:color="auto" w:fill="auto"/>
            <w:vAlign w:val="center"/>
          </w:tcPr>
          <w:p w14:paraId="37371015">
            <w:pPr>
              <w:spacing w:line="360" w:lineRule="auto"/>
              <w:rPr>
                <w:rFonts w:hint="eastAsia" w:ascii="宋体" w:hAnsi="宋体" w:cs="宋体"/>
                <w:sz w:val="24"/>
                <w:highlight w:val="none"/>
              </w:rPr>
            </w:pPr>
          </w:p>
        </w:tc>
        <w:tc>
          <w:tcPr>
            <w:tcW w:w="1256" w:type="dxa"/>
            <w:shd w:val="clear" w:color="auto" w:fill="auto"/>
            <w:vAlign w:val="center"/>
          </w:tcPr>
          <w:p w14:paraId="35D0B08A">
            <w:pPr>
              <w:spacing w:line="360" w:lineRule="auto"/>
              <w:rPr>
                <w:rFonts w:hint="eastAsia" w:ascii="宋体" w:hAnsi="宋体" w:cs="宋体"/>
                <w:sz w:val="24"/>
                <w:highlight w:val="none"/>
              </w:rPr>
            </w:pPr>
            <w:r>
              <w:rPr>
                <w:rFonts w:hint="eastAsia" w:ascii="宋体" w:hAnsi="宋体" w:cs="宋体"/>
                <w:sz w:val="24"/>
                <w:highlight w:val="none"/>
              </w:rPr>
              <w:t>元数据管理</w:t>
            </w:r>
          </w:p>
        </w:tc>
        <w:tc>
          <w:tcPr>
            <w:tcW w:w="6461" w:type="dxa"/>
            <w:shd w:val="clear" w:color="auto" w:fill="auto"/>
            <w:vAlign w:val="center"/>
          </w:tcPr>
          <w:p w14:paraId="2B26C928">
            <w:pPr>
              <w:spacing w:line="360" w:lineRule="auto"/>
              <w:rPr>
                <w:rFonts w:hint="eastAsia" w:ascii="宋体" w:hAnsi="宋体" w:cs="宋体"/>
                <w:sz w:val="24"/>
                <w:highlight w:val="none"/>
              </w:rPr>
            </w:pPr>
            <w:r>
              <w:rPr>
                <w:rFonts w:hint="eastAsia" w:ascii="宋体" w:hAnsi="宋体" w:cs="宋体"/>
                <w:sz w:val="24"/>
                <w:highlight w:val="none"/>
              </w:rPr>
              <w:t>包括</w:t>
            </w:r>
            <w:r>
              <w:rPr>
                <w:rFonts w:hint="eastAsia" w:ascii="宋体" w:hAnsi="宋体" w:cs="宋体"/>
                <w:sz w:val="24"/>
                <w:highlight w:val="none"/>
                <w:lang w:eastAsia="zh-CN"/>
              </w:rPr>
              <w:t>：</w:t>
            </w:r>
            <w:r>
              <w:rPr>
                <w:rFonts w:hint="eastAsia" w:ascii="宋体" w:hAnsi="宋体" w:cs="宋体"/>
                <w:sz w:val="24"/>
                <w:highlight w:val="none"/>
              </w:rPr>
              <w:t>数据模型构建及管理</w:t>
            </w:r>
            <w:r>
              <w:rPr>
                <w:rFonts w:hint="eastAsia" w:ascii="宋体" w:hAnsi="宋体" w:cs="宋体"/>
                <w:sz w:val="24"/>
                <w:highlight w:val="none"/>
                <w:lang w:eastAsia="zh-CN"/>
              </w:rPr>
              <w:t>；</w:t>
            </w:r>
            <w:r>
              <w:rPr>
                <w:rFonts w:hint="eastAsia" w:ascii="宋体" w:hAnsi="宋体" w:cs="宋体"/>
                <w:sz w:val="24"/>
                <w:highlight w:val="none"/>
              </w:rPr>
              <w:t>数据溯源分析</w:t>
            </w:r>
            <w:r>
              <w:rPr>
                <w:rFonts w:hint="eastAsia" w:ascii="宋体" w:hAnsi="宋体" w:cs="宋体"/>
                <w:sz w:val="24"/>
                <w:highlight w:val="none"/>
                <w:lang w:eastAsia="zh-CN"/>
              </w:rPr>
              <w:t>；</w:t>
            </w:r>
            <w:r>
              <w:rPr>
                <w:rFonts w:hint="eastAsia" w:ascii="宋体" w:hAnsi="宋体" w:cs="宋体"/>
                <w:sz w:val="24"/>
                <w:highlight w:val="none"/>
              </w:rPr>
              <w:t>数据元管理。</w:t>
            </w:r>
          </w:p>
        </w:tc>
      </w:tr>
      <w:tr w14:paraId="239058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689" w:type="dxa"/>
            <w:vAlign w:val="center"/>
          </w:tcPr>
          <w:p w14:paraId="451BBF84">
            <w:pPr>
              <w:spacing w:line="360" w:lineRule="auto"/>
              <w:rPr>
                <w:rFonts w:hint="eastAsia" w:ascii="宋体" w:hAnsi="宋体" w:cs="宋体"/>
                <w:sz w:val="24"/>
                <w:highlight w:val="none"/>
              </w:rPr>
            </w:pPr>
            <w:r>
              <w:rPr>
                <w:rFonts w:hint="eastAsia" w:ascii="宋体" w:hAnsi="宋体" w:cs="宋体"/>
                <w:sz w:val="24"/>
                <w:highlight w:val="none"/>
              </w:rPr>
              <w:t>14</w:t>
            </w:r>
          </w:p>
        </w:tc>
        <w:tc>
          <w:tcPr>
            <w:tcW w:w="1134" w:type="dxa"/>
            <w:vMerge w:val="continue"/>
            <w:shd w:val="clear" w:color="auto" w:fill="auto"/>
            <w:vAlign w:val="center"/>
          </w:tcPr>
          <w:p w14:paraId="43334837">
            <w:pPr>
              <w:spacing w:line="360" w:lineRule="auto"/>
              <w:rPr>
                <w:rFonts w:hint="eastAsia" w:ascii="宋体" w:hAnsi="宋体" w:cs="宋体"/>
                <w:sz w:val="24"/>
                <w:highlight w:val="none"/>
              </w:rPr>
            </w:pPr>
          </w:p>
        </w:tc>
        <w:tc>
          <w:tcPr>
            <w:tcW w:w="1256" w:type="dxa"/>
            <w:shd w:val="clear" w:color="auto" w:fill="auto"/>
            <w:vAlign w:val="center"/>
          </w:tcPr>
          <w:p w14:paraId="78A2CF8B">
            <w:pPr>
              <w:spacing w:line="360" w:lineRule="auto"/>
              <w:rPr>
                <w:rFonts w:hint="eastAsia" w:ascii="宋体" w:hAnsi="宋体" w:cs="宋体"/>
                <w:sz w:val="24"/>
                <w:highlight w:val="none"/>
              </w:rPr>
            </w:pPr>
            <w:r>
              <w:rPr>
                <w:rFonts w:hint="eastAsia" w:ascii="宋体" w:hAnsi="宋体" w:cs="宋体"/>
                <w:sz w:val="24"/>
                <w:highlight w:val="none"/>
              </w:rPr>
              <w:t>质量控制管理</w:t>
            </w:r>
          </w:p>
        </w:tc>
        <w:tc>
          <w:tcPr>
            <w:tcW w:w="6461" w:type="dxa"/>
            <w:shd w:val="clear" w:color="auto" w:fill="auto"/>
            <w:vAlign w:val="center"/>
          </w:tcPr>
          <w:p w14:paraId="5F0571B0">
            <w:pPr>
              <w:spacing w:line="360" w:lineRule="auto"/>
              <w:rPr>
                <w:rFonts w:hint="eastAsia" w:ascii="宋体" w:hAnsi="宋体" w:cs="宋体"/>
                <w:sz w:val="24"/>
                <w:highlight w:val="none"/>
              </w:rPr>
            </w:pPr>
            <w:r>
              <w:rPr>
                <w:rFonts w:hint="eastAsia" w:ascii="宋体" w:hAnsi="宋体" w:cs="宋体"/>
                <w:sz w:val="24"/>
                <w:highlight w:val="none"/>
              </w:rPr>
              <w:t>对治理的全流程进行数据质控，数据质控的环节包括数据入湖、数据入仓、数据仓库内的清洗转换以及数据应用分析等。包括规则库配置，质控方案管理，质检报告等。</w:t>
            </w:r>
          </w:p>
        </w:tc>
      </w:tr>
      <w:tr w14:paraId="03FC88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89" w:type="dxa"/>
            <w:vAlign w:val="center"/>
          </w:tcPr>
          <w:p w14:paraId="5B94483E">
            <w:pPr>
              <w:spacing w:line="360" w:lineRule="auto"/>
              <w:rPr>
                <w:rFonts w:hint="eastAsia" w:ascii="宋体" w:hAnsi="宋体" w:cs="宋体"/>
                <w:sz w:val="24"/>
                <w:highlight w:val="none"/>
              </w:rPr>
            </w:pPr>
            <w:r>
              <w:rPr>
                <w:rFonts w:hint="eastAsia" w:ascii="宋体" w:hAnsi="宋体" w:cs="宋体"/>
                <w:sz w:val="24"/>
                <w:highlight w:val="none"/>
              </w:rPr>
              <w:t>15</w:t>
            </w:r>
          </w:p>
        </w:tc>
        <w:tc>
          <w:tcPr>
            <w:tcW w:w="1134" w:type="dxa"/>
            <w:vMerge w:val="continue"/>
            <w:shd w:val="clear" w:color="auto" w:fill="auto"/>
            <w:vAlign w:val="center"/>
          </w:tcPr>
          <w:p w14:paraId="10AD5A66">
            <w:pPr>
              <w:spacing w:line="360" w:lineRule="auto"/>
              <w:rPr>
                <w:rFonts w:hint="eastAsia" w:ascii="宋体" w:hAnsi="宋体" w:cs="宋体"/>
                <w:sz w:val="24"/>
                <w:highlight w:val="none"/>
              </w:rPr>
            </w:pPr>
          </w:p>
        </w:tc>
        <w:tc>
          <w:tcPr>
            <w:tcW w:w="1256" w:type="dxa"/>
            <w:shd w:val="clear" w:color="auto" w:fill="auto"/>
            <w:vAlign w:val="center"/>
          </w:tcPr>
          <w:p w14:paraId="167EBC26">
            <w:pPr>
              <w:spacing w:line="360" w:lineRule="auto"/>
              <w:rPr>
                <w:rFonts w:hint="eastAsia" w:ascii="宋体" w:hAnsi="宋体" w:cs="宋体"/>
                <w:sz w:val="24"/>
                <w:highlight w:val="none"/>
              </w:rPr>
            </w:pPr>
            <w:r>
              <w:rPr>
                <w:rFonts w:hint="eastAsia" w:ascii="宋体" w:hAnsi="宋体" w:cs="宋体"/>
                <w:sz w:val="24"/>
                <w:highlight w:val="none"/>
              </w:rPr>
              <w:t>大数据中心管理</w:t>
            </w:r>
          </w:p>
        </w:tc>
        <w:tc>
          <w:tcPr>
            <w:tcW w:w="6461" w:type="dxa"/>
            <w:shd w:val="clear" w:color="auto" w:fill="auto"/>
            <w:vAlign w:val="center"/>
          </w:tcPr>
          <w:p w14:paraId="1D722A1E">
            <w:pPr>
              <w:spacing w:line="360" w:lineRule="auto"/>
              <w:rPr>
                <w:rFonts w:hint="eastAsia" w:ascii="宋体" w:hAnsi="宋体" w:cs="宋体"/>
                <w:sz w:val="24"/>
                <w:highlight w:val="none"/>
              </w:rPr>
            </w:pPr>
            <w:r>
              <w:rPr>
                <w:rFonts w:hint="eastAsia" w:ascii="宋体" w:hAnsi="宋体" w:cs="宋体"/>
                <w:sz w:val="24"/>
                <w:highlight w:val="none"/>
              </w:rPr>
              <w:t>包括管理首页、工作流项目管理、资源中心、数据源中心、监控中心、安全中心、权限管理等管理功能。</w:t>
            </w:r>
          </w:p>
        </w:tc>
      </w:tr>
      <w:tr w14:paraId="56DD92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689" w:type="dxa"/>
            <w:vAlign w:val="center"/>
          </w:tcPr>
          <w:p w14:paraId="23196150">
            <w:pPr>
              <w:spacing w:line="360" w:lineRule="auto"/>
              <w:rPr>
                <w:rFonts w:hint="eastAsia" w:ascii="宋体" w:hAnsi="宋体" w:cs="宋体"/>
                <w:sz w:val="24"/>
                <w:highlight w:val="none"/>
              </w:rPr>
            </w:pPr>
            <w:r>
              <w:rPr>
                <w:rFonts w:hint="eastAsia" w:ascii="宋体" w:hAnsi="宋体" w:cs="宋体"/>
                <w:sz w:val="24"/>
                <w:highlight w:val="none"/>
              </w:rPr>
              <w:t>16</w:t>
            </w:r>
          </w:p>
        </w:tc>
        <w:tc>
          <w:tcPr>
            <w:tcW w:w="1134" w:type="dxa"/>
            <w:vMerge w:val="restart"/>
            <w:shd w:val="clear" w:color="auto" w:fill="auto"/>
            <w:vAlign w:val="center"/>
          </w:tcPr>
          <w:p w14:paraId="5F0470E6">
            <w:pPr>
              <w:spacing w:line="360" w:lineRule="auto"/>
              <w:rPr>
                <w:rFonts w:hint="eastAsia" w:ascii="宋体" w:hAnsi="宋体" w:cs="宋体"/>
                <w:sz w:val="24"/>
                <w:highlight w:val="none"/>
              </w:rPr>
            </w:pPr>
            <w:r>
              <w:rPr>
                <w:rFonts w:hint="eastAsia" w:ascii="宋体" w:hAnsi="宋体" w:cs="宋体"/>
                <w:sz w:val="24"/>
                <w:highlight w:val="none"/>
              </w:rPr>
              <w:t>运营管理AI中台</w:t>
            </w:r>
          </w:p>
        </w:tc>
        <w:tc>
          <w:tcPr>
            <w:tcW w:w="1256" w:type="dxa"/>
            <w:shd w:val="clear" w:color="auto" w:fill="auto"/>
            <w:vAlign w:val="center"/>
          </w:tcPr>
          <w:p w14:paraId="714BAFB7">
            <w:pPr>
              <w:spacing w:line="360" w:lineRule="auto"/>
              <w:rPr>
                <w:rFonts w:hint="eastAsia" w:ascii="宋体" w:hAnsi="宋体" w:cs="宋体"/>
                <w:sz w:val="24"/>
                <w:highlight w:val="none"/>
              </w:rPr>
            </w:pPr>
            <w:r>
              <w:rPr>
                <w:rFonts w:hint="eastAsia" w:ascii="宋体" w:hAnsi="宋体" w:cs="宋体"/>
                <w:sz w:val="24"/>
                <w:highlight w:val="none"/>
              </w:rPr>
              <w:t>因果推理引擎</w:t>
            </w:r>
          </w:p>
        </w:tc>
        <w:tc>
          <w:tcPr>
            <w:tcW w:w="6461" w:type="dxa"/>
            <w:shd w:val="clear" w:color="auto" w:fill="auto"/>
            <w:vAlign w:val="center"/>
          </w:tcPr>
          <w:p w14:paraId="49FE0677">
            <w:pPr>
              <w:spacing w:line="360" w:lineRule="auto"/>
              <w:rPr>
                <w:rFonts w:hint="eastAsia" w:ascii="宋体" w:hAnsi="宋体" w:cs="宋体"/>
                <w:sz w:val="24"/>
                <w:highlight w:val="none"/>
              </w:rPr>
            </w:pPr>
            <w:r>
              <w:rPr>
                <w:rFonts w:hint="eastAsia" w:ascii="宋体" w:hAnsi="宋体" w:cs="宋体"/>
                <w:sz w:val="24"/>
                <w:highlight w:val="none"/>
              </w:rPr>
              <w:t>结合业务场景、管理逻辑及数据洞察，针对医院整体战略目标和具体考核指标，支持多因素因果分析及最佳策略规划。</w:t>
            </w:r>
          </w:p>
        </w:tc>
      </w:tr>
      <w:tr w14:paraId="45B309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689" w:type="dxa"/>
            <w:vAlign w:val="center"/>
          </w:tcPr>
          <w:p w14:paraId="66FE14FE">
            <w:pPr>
              <w:spacing w:line="360" w:lineRule="auto"/>
              <w:rPr>
                <w:rFonts w:hint="eastAsia" w:ascii="宋体" w:hAnsi="宋体" w:cs="宋体"/>
                <w:sz w:val="24"/>
                <w:highlight w:val="none"/>
              </w:rPr>
            </w:pPr>
            <w:r>
              <w:rPr>
                <w:rFonts w:hint="eastAsia" w:ascii="宋体" w:hAnsi="宋体" w:cs="宋体"/>
                <w:sz w:val="24"/>
                <w:highlight w:val="none"/>
              </w:rPr>
              <w:t>17</w:t>
            </w:r>
          </w:p>
        </w:tc>
        <w:tc>
          <w:tcPr>
            <w:tcW w:w="1134" w:type="dxa"/>
            <w:vMerge w:val="continue"/>
            <w:shd w:val="clear" w:color="auto" w:fill="auto"/>
            <w:vAlign w:val="center"/>
          </w:tcPr>
          <w:p w14:paraId="1339F8E4">
            <w:pPr>
              <w:spacing w:line="360" w:lineRule="auto"/>
              <w:rPr>
                <w:rFonts w:hint="eastAsia" w:ascii="宋体" w:hAnsi="宋体" w:cs="宋体"/>
                <w:sz w:val="24"/>
                <w:highlight w:val="none"/>
              </w:rPr>
            </w:pPr>
          </w:p>
        </w:tc>
        <w:tc>
          <w:tcPr>
            <w:tcW w:w="1256" w:type="dxa"/>
            <w:shd w:val="clear" w:color="auto" w:fill="auto"/>
            <w:vAlign w:val="center"/>
          </w:tcPr>
          <w:p w14:paraId="643D02CF">
            <w:pPr>
              <w:spacing w:line="360" w:lineRule="auto"/>
              <w:rPr>
                <w:rFonts w:hint="eastAsia" w:ascii="宋体" w:hAnsi="宋体" w:cs="宋体"/>
                <w:sz w:val="24"/>
                <w:highlight w:val="none"/>
              </w:rPr>
            </w:pPr>
            <w:r>
              <w:rPr>
                <w:rFonts w:hint="eastAsia" w:ascii="宋体" w:hAnsi="宋体" w:cs="宋体"/>
                <w:sz w:val="24"/>
                <w:highlight w:val="none"/>
              </w:rPr>
              <w:t>异常探查引擎</w:t>
            </w:r>
          </w:p>
        </w:tc>
        <w:tc>
          <w:tcPr>
            <w:tcW w:w="6461" w:type="dxa"/>
            <w:shd w:val="clear" w:color="auto" w:fill="auto"/>
            <w:vAlign w:val="center"/>
          </w:tcPr>
          <w:p w14:paraId="7C4CFEE3">
            <w:pPr>
              <w:spacing w:line="360" w:lineRule="auto"/>
              <w:rPr>
                <w:rFonts w:hint="eastAsia" w:ascii="宋体" w:hAnsi="宋体" w:cs="宋体"/>
                <w:sz w:val="24"/>
                <w:highlight w:val="none"/>
              </w:rPr>
            </w:pPr>
            <w:r>
              <w:rPr>
                <w:rFonts w:hint="eastAsia" w:ascii="宋体" w:hAnsi="宋体" w:cs="宋体"/>
                <w:sz w:val="24"/>
                <w:highlight w:val="none"/>
              </w:rPr>
              <w:t>通过精准实时的指标数据采集，利用多维统计检验、偏差平滑因子、自编码器等异常监测及指标变量时序集成分析方法，进行动态运营指标预测与监控，及时发现运营异常情况并进行预警。</w:t>
            </w:r>
          </w:p>
        </w:tc>
      </w:tr>
      <w:tr w14:paraId="53BE3E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689" w:type="dxa"/>
            <w:vAlign w:val="center"/>
          </w:tcPr>
          <w:p w14:paraId="3A33762E">
            <w:pPr>
              <w:spacing w:line="360" w:lineRule="auto"/>
              <w:rPr>
                <w:rFonts w:hint="eastAsia" w:ascii="宋体" w:hAnsi="宋体" w:cs="宋体"/>
                <w:sz w:val="24"/>
                <w:highlight w:val="none"/>
              </w:rPr>
            </w:pPr>
            <w:r>
              <w:rPr>
                <w:rFonts w:hint="eastAsia" w:ascii="宋体" w:hAnsi="宋体" w:cs="宋体"/>
                <w:sz w:val="24"/>
                <w:highlight w:val="none"/>
              </w:rPr>
              <w:t>18</w:t>
            </w:r>
          </w:p>
        </w:tc>
        <w:tc>
          <w:tcPr>
            <w:tcW w:w="1134" w:type="dxa"/>
            <w:vMerge w:val="continue"/>
            <w:shd w:val="clear" w:color="auto" w:fill="auto"/>
            <w:vAlign w:val="center"/>
          </w:tcPr>
          <w:p w14:paraId="1C3561FD">
            <w:pPr>
              <w:spacing w:line="360" w:lineRule="auto"/>
              <w:rPr>
                <w:rFonts w:hint="eastAsia" w:ascii="宋体" w:hAnsi="宋体" w:cs="宋体"/>
                <w:sz w:val="24"/>
                <w:highlight w:val="none"/>
              </w:rPr>
            </w:pPr>
          </w:p>
        </w:tc>
        <w:tc>
          <w:tcPr>
            <w:tcW w:w="1256" w:type="dxa"/>
            <w:shd w:val="clear" w:color="auto" w:fill="auto"/>
            <w:vAlign w:val="center"/>
          </w:tcPr>
          <w:p w14:paraId="4ADEDA8D">
            <w:pPr>
              <w:spacing w:line="360" w:lineRule="auto"/>
              <w:rPr>
                <w:rFonts w:hint="eastAsia" w:ascii="宋体" w:hAnsi="宋体" w:cs="宋体"/>
                <w:sz w:val="24"/>
                <w:highlight w:val="none"/>
              </w:rPr>
            </w:pPr>
            <w:r>
              <w:rPr>
                <w:rFonts w:hint="eastAsia" w:ascii="宋体" w:hAnsi="宋体" w:cs="宋体"/>
                <w:sz w:val="24"/>
                <w:highlight w:val="none"/>
              </w:rPr>
              <w:t>规则引擎</w:t>
            </w:r>
          </w:p>
        </w:tc>
        <w:tc>
          <w:tcPr>
            <w:tcW w:w="6461" w:type="dxa"/>
            <w:shd w:val="clear" w:color="auto" w:fill="auto"/>
            <w:vAlign w:val="center"/>
          </w:tcPr>
          <w:p w14:paraId="45283BA4">
            <w:pPr>
              <w:spacing w:line="360" w:lineRule="auto"/>
              <w:rPr>
                <w:rFonts w:hint="eastAsia" w:ascii="宋体" w:hAnsi="宋体" w:cs="宋体"/>
                <w:sz w:val="24"/>
                <w:highlight w:val="none"/>
              </w:rPr>
            </w:pPr>
            <w:r>
              <w:rPr>
                <w:rFonts w:hint="eastAsia" w:ascii="宋体" w:hAnsi="宋体" w:cs="宋体"/>
                <w:sz w:val="24"/>
                <w:highlight w:val="none"/>
              </w:rPr>
              <w:t>将复杂的业务规则从固化的业务分析和业务流程中剥离出来，以更加灵活敏捷的方式应对运营异常分析和资源配置业务的变化，降低复杂业务逻辑的运营管理平台程序组件的复杂性，降低维护难度和可扩展性成本。</w:t>
            </w:r>
          </w:p>
        </w:tc>
      </w:tr>
      <w:tr w14:paraId="54AF8A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689" w:type="dxa"/>
            <w:vAlign w:val="center"/>
          </w:tcPr>
          <w:p w14:paraId="43F1911A">
            <w:pPr>
              <w:spacing w:line="360" w:lineRule="auto"/>
              <w:rPr>
                <w:rFonts w:hint="eastAsia" w:ascii="宋体" w:hAnsi="宋体" w:cs="宋体"/>
                <w:sz w:val="24"/>
                <w:highlight w:val="none"/>
              </w:rPr>
            </w:pPr>
            <w:r>
              <w:rPr>
                <w:rFonts w:hint="eastAsia" w:ascii="宋体" w:hAnsi="宋体" w:cs="宋体"/>
                <w:sz w:val="24"/>
                <w:highlight w:val="none"/>
              </w:rPr>
              <w:t>19</w:t>
            </w:r>
          </w:p>
        </w:tc>
        <w:tc>
          <w:tcPr>
            <w:tcW w:w="1134" w:type="dxa"/>
            <w:vMerge w:val="continue"/>
            <w:shd w:val="clear" w:color="auto" w:fill="auto"/>
            <w:vAlign w:val="center"/>
          </w:tcPr>
          <w:p w14:paraId="56A137D4">
            <w:pPr>
              <w:spacing w:line="360" w:lineRule="auto"/>
              <w:rPr>
                <w:rFonts w:hint="eastAsia" w:ascii="宋体" w:hAnsi="宋体" w:cs="宋体"/>
                <w:sz w:val="24"/>
                <w:highlight w:val="none"/>
              </w:rPr>
            </w:pPr>
          </w:p>
        </w:tc>
        <w:tc>
          <w:tcPr>
            <w:tcW w:w="1256" w:type="dxa"/>
            <w:shd w:val="clear" w:color="auto" w:fill="auto"/>
            <w:vAlign w:val="center"/>
          </w:tcPr>
          <w:p w14:paraId="03386007">
            <w:pPr>
              <w:spacing w:line="360" w:lineRule="auto"/>
              <w:rPr>
                <w:rFonts w:hint="eastAsia" w:ascii="宋体" w:hAnsi="宋体" w:cs="宋体"/>
                <w:sz w:val="24"/>
                <w:highlight w:val="none"/>
              </w:rPr>
            </w:pPr>
            <w:r>
              <w:rPr>
                <w:rFonts w:hint="eastAsia" w:ascii="宋体" w:hAnsi="宋体" w:cs="宋体"/>
                <w:sz w:val="24"/>
                <w:highlight w:val="none"/>
              </w:rPr>
              <w:t>BI分析引擎</w:t>
            </w:r>
          </w:p>
        </w:tc>
        <w:tc>
          <w:tcPr>
            <w:tcW w:w="6461" w:type="dxa"/>
            <w:shd w:val="clear" w:color="auto" w:fill="auto"/>
            <w:vAlign w:val="center"/>
          </w:tcPr>
          <w:p w14:paraId="636006F5">
            <w:pPr>
              <w:spacing w:line="360" w:lineRule="auto"/>
              <w:rPr>
                <w:rFonts w:hint="eastAsia" w:ascii="宋体" w:hAnsi="宋体" w:cs="宋体"/>
                <w:sz w:val="24"/>
                <w:highlight w:val="none"/>
              </w:rPr>
            </w:pPr>
            <w:r>
              <w:rPr>
                <w:rFonts w:hint="eastAsia" w:ascii="宋体" w:hAnsi="宋体" w:cs="宋体"/>
                <w:sz w:val="24"/>
                <w:highlight w:val="none"/>
              </w:rPr>
              <w:t>支持指标维护。维护的属性有：指标分类、指标名称、指标口径说明、有无小数位数、比率类型、评价标准、指标单位、是否补录、配置方式等。支持公式配置、维度配置、sql配置等口径配置方式。支持指标规范管理，即指标出处和标准。支持指标预警规则设置。支持设置预警的提醒模式。</w:t>
            </w:r>
          </w:p>
        </w:tc>
      </w:tr>
      <w:tr w14:paraId="6C457E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6" w:hRule="atLeast"/>
        </w:trPr>
        <w:tc>
          <w:tcPr>
            <w:tcW w:w="689" w:type="dxa"/>
            <w:vAlign w:val="center"/>
          </w:tcPr>
          <w:p w14:paraId="10656E28">
            <w:pPr>
              <w:spacing w:line="360" w:lineRule="auto"/>
              <w:rPr>
                <w:rFonts w:hint="eastAsia" w:ascii="宋体" w:hAnsi="宋体" w:cs="宋体"/>
                <w:sz w:val="24"/>
                <w:highlight w:val="none"/>
              </w:rPr>
            </w:pPr>
            <w:r>
              <w:rPr>
                <w:rFonts w:hint="eastAsia" w:ascii="宋体" w:hAnsi="宋体" w:cs="宋体"/>
                <w:sz w:val="24"/>
                <w:highlight w:val="none"/>
              </w:rPr>
              <w:t>20</w:t>
            </w:r>
          </w:p>
        </w:tc>
        <w:tc>
          <w:tcPr>
            <w:tcW w:w="1134" w:type="dxa"/>
            <w:vMerge w:val="continue"/>
            <w:shd w:val="clear" w:color="auto" w:fill="auto"/>
            <w:vAlign w:val="center"/>
          </w:tcPr>
          <w:p w14:paraId="07F467EC">
            <w:pPr>
              <w:spacing w:line="360" w:lineRule="auto"/>
              <w:rPr>
                <w:rFonts w:hint="eastAsia" w:ascii="宋体" w:hAnsi="宋体" w:cs="宋体"/>
                <w:sz w:val="24"/>
                <w:highlight w:val="none"/>
              </w:rPr>
            </w:pPr>
          </w:p>
        </w:tc>
        <w:tc>
          <w:tcPr>
            <w:tcW w:w="1256" w:type="dxa"/>
            <w:shd w:val="clear" w:color="auto" w:fill="auto"/>
            <w:vAlign w:val="center"/>
          </w:tcPr>
          <w:p w14:paraId="3471A92F">
            <w:pPr>
              <w:spacing w:line="360" w:lineRule="auto"/>
              <w:rPr>
                <w:rFonts w:hint="eastAsia" w:ascii="宋体" w:hAnsi="宋体" w:cs="宋体"/>
                <w:sz w:val="24"/>
                <w:highlight w:val="none"/>
              </w:rPr>
            </w:pPr>
            <w:r>
              <w:rPr>
                <w:rFonts w:hint="eastAsia" w:ascii="宋体" w:hAnsi="宋体" w:cs="宋体"/>
                <w:sz w:val="24"/>
                <w:highlight w:val="none"/>
              </w:rPr>
              <w:t>运营知识库系统（知识图谱）</w:t>
            </w:r>
          </w:p>
        </w:tc>
        <w:tc>
          <w:tcPr>
            <w:tcW w:w="6461" w:type="dxa"/>
            <w:shd w:val="clear" w:color="auto" w:fill="auto"/>
            <w:vAlign w:val="center"/>
          </w:tcPr>
          <w:p w14:paraId="7A124653">
            <w:pPr>
              <w:spacing w:line="360" w:lineRule="auto"/>
              <w:rPr>
                <w:rFonts w:hint="eastAsia" w:ascii="宋体" w:hAnsi="宋体" w:cs="宋体"/>
                <w:sz w:val="24"/>
                <w:highlight w:val="none"/>
              </w:rPr>
            </w:pPr>
            <w:r>
              <w:rPr>
                <w:rFonts w:hint="eastAsia" w:ascii="宋体" w:hAnsi="宋体" w:cs="宋体"/>
                <w:sz w:val="24"/>
                <w:highlight w:val="none"/>
              </w:rPr>
              <w:t>运营知识库系统提供知识图谱本体设计工具，支持对实体类型及层级结构、属性、关系进行定义及管理，包括增加、删除、修改等。通过标注的方式，构建各类运营相关实体之间的关联关系，建立起多对多的实体映射结构，形成可视化的AI知识图谱。</w:t>
            </w:r>
          </w:p>
          <w:p w14:paraId="27BD38A7">
            <w:pPr>
              <w:spacing w:line="360" w:lineRule="auto"/>
              <w:rPr>
                <w:rFonts w:hint="eastAsia" w:ascii="宋体" w:hAnsi="宋体" w:cs="宋体"/>
                <w:sz w:val="24"/>
                <w:highlight w:val="none"/>
              </w:rPr>
            </w:pPr>
            <w:r>
              <w:rPr>
                <w:rFonts w:hint="eastAsia" w:ascii="宋体" w:hAnsi="宋体" w:cs="仿宋"/>
                <w:bCs/>
                <w:kern w:val="0"/>
                <w:sz w:val="24"/>
                <w:highlight w:val="none"/>
                <w:lang w:val="zh-CN" w:bidi="zh-CN"/>
              </w:rPr>
              <w:t>★</w:t>
            </w:r>
            <w:r>
              <w:rPr>
                <w:rFonts w:hint="eastAsia" w:ascii="宋体" w:hAnsi="宋体" w:cs="宋体"/>
                <w:color w:val="000000"/>
                <w:kern w:val="0"/>
                <w:sz w:val="24"/>
                <w:highlight w:val="none"/>
              </w:rPr>
              <w:t>(1)</w:t>
            </w:r>
            <w:r>
              <w:rPr>
                <w:rFonts w:hint="eastAsia" w:ascii="宋体" w:hAnsi="宋体" w:cs="宋体"/>
                <w:sz w:val="24"/>
                <w:highlight w:val="none"/>
              </w:rPr>
              <w:t>支持ICD编码，美国医学会CPT编码，不同版本的RVU字典值，医疗标准，疾病分析，临床能力，药品，材料，设备，成本，标杆等业务实体。</w:t>
            </w:r>
          </w:p>
          <w:p w14:paraId="0E36197A">
            <w:pPr>
              <w:spacing w:line="360" w:lineRule="auto"/>
              <w:rPr>
                <w:rFonts w:hint="eastAsia" w:ascii="宋体" w:hAnsi="宋体" w:cs="宋体"/>
                <w:sz w:val="24"/>
                <w:highlight w:val="none"/>
              </w:rPr>
            </w:pPr>
            <w:r>
              <w:rPr>
                <w:rFonts w:hint="eastAsia" w:ascii="宋体" w:hAnsi="宋体" w:cs="仿宋"/>
                <w:bCs/>
                <w:kern w:val="0"/>
                <w:sz w:val="24"/>
                <w:highlight w:val="none"/>
                <w:lang w:val="zh-CN" w:bidi="zh-CN"/>
              </w:rPr>
              <w:t>★</w:t>
            </w:r>
            <w:r>
              <w:rPr>
                <w:rFonts w:hint="eastAsia" w:ascii="宋体" w:hAnsi="宋体" w:cs="宋体"/>
                <w:color w:val="000000"/>
                <w:kern w:val="0"/>
                <w:sz w:val="24"/>
                <w:highlight w:val="none"/>
              </w:rPr>
              <w:t>(2)</w:t>
            </w:r>
            <w:r>
              <w:rPr>
                <w:rFonts w:hint="eastAsia" w:ascii="宋体" w:hAnsi="宋体" w:cs="宋体"/>
                <w:sz w:val="24"/>
                <w:highlight w:val="none"/>
              </w:rPr>
              <w:t>支持知识图谱的可视化展示</w:t>
            </w:r>
            <w:r>
              <w:rPr>
                <w:rFonts w:hint="eastAsia" w:ascii="宋体" w:hAnsi="宋体" w:cs="宋体"/>
                <w:sz w:val="24"/>
                <w:highlight w:val="none"/>
                <w:lang w:eastAsia="zh-CN"/>
              </w:rPr>
              <w:t>，</w:t>
            </w:r>
            <w:r>
              <w:rPr>
                <w:rFonts w:hint="eastAsia" w:ascii="宋体" w:hAnsi="宋体" w:cs="宋体"/>
                <w:sz w:val="24"/>
                <w:highlight w:val="none"/>
              </w:rPr>
              <w:t>支持查看业务实体的中位数、均值、低值、高值等参照数据。</w:t>
            </w:r>
          </w:p>
        </w:tc>
      </w:tr>
    </w:tbl>
    <w:p w14:paraId="0A204F93">
      <w:pPr>
        <w:spacing w:line="360" w:lineRule="auto"/>
        <w:rPr>
          <w:rFonts w:hint="eastAsia" w:ascii="宋体" w:hAnsi="宋体" w:cs="宋体"/>
          <w:color w:val="000000"/>
          <w:kern w:val="0"/>
          <w:sz w:val="24"/>
          <w:highlight w:val="none"/>
        </w:rPr>
      </w:pPr>
    </w:p>
    <w:p w14:paraId="00B43B69">
      <w:pPr>
        <w:widowControl/>
        <w:spacing w:line="360" w:lineRule="auto"/>
        <w:rPr>
          <w:rFonts w:hint="eastAsia" w:ascii="宋体" w:hAnsi="宋体"/>
          <w:b/>
          <w:sz w:val="24"/>
          <w:highlight w:val="none"/>
        </w:rPr>
      </w:pPr>
      <w:bookmarkStart w:id="23" w:name="_Toc174636906"/>
      <w:r>
        <w:rPr>
          <w:rFonts w:hint="eastAsia" w:ascii="宋体" w:hAnsi="宋体"/>
          <w:b/>
          <w:sz w:val="24"/>
          <w:highlight w:val="none"/>
        </w:rPr>
        <w:t>5.3运营管理咨询和辅导服务</w:t>
      </w:r>
      <w:bookmarkEnd w:id="23"/>
    </w:p>
    <w:p w14:paraId="73F8D80A">
      <w:pPr>
        <w:spacing w:line="360" w:lineRule="auto"/>
        <w:ind w:firstLine="480"/>
        <w:rPr>
          <w:rFonts w:hint="eastAsia" w:ascii="宋体" w:hAnsi="宋体" w:cs="宋体"/>
          <w:sz w:val="24"/>
          <w:highlight w:val="none"/>
        </w:rPr>
      </w:pPr>
      <w:bookmarkStart w:id="24" w:name="_Toc54518049"/>
      <w:r>
        <w:rPr>
          <w:rFonts w:hint="eastAsia" w:ascii="宋体" w:hAnsi="宋体" w:cs="宋体"/>
          <w:sz w:val="24"/>
          <w:highlight w:val="none"/>
        </w:rPr>
        <w:t>基于国家、主管部门对公立医院运营管理工作的政策和规范要求，按照本院高质量发展建设目标，并结合本院自身战略定位和专科建设目标要求</w:t>
      </w:r>
      <w:r>
        <w:rPr>
          <w:rFonts w:hint="eastAsia" w:ascii="宋体" w:hAnsi="宋体" w:cs="宋体"/>
          <w:sz w:val="24"/>
          <w:highlight w:val="none"/>
          <w:lang w:eastAsia="zh-CN"/>
        </w:rPr>
        <w:t>，</w:t>
      </w:r>
      <w:r>
        <w:rPr>
          <w:rFonts w:hint="eastAsia" w:ascii="宋体" w:hAnsi="宋体" w:cs="宋体"/>
          <w:sz w:val="24"/>
          <w:highlight w:val="none"/>
        </w:rPr>
        <w:t>通过提供必要的管理咨询，共同搭建院级、科室运营管理体系，并根据数据模型进行一定的数据测算，提供AI智能服务。</w:t>
      </w:r>
    </w:p>
    <w:p w14:paraId="1333FBA3">
      <w:pPr>
        <w:pStyle w:val="7"/>
        <w:spacing w:line="360" w:lineRule="auto"/>
        <w:rPr>
          <w:highlight w:val="none"/>
        </w:rPr>
      </w:pPr>
    </w:p>
    <w:p w14:paraId="58448F48">
      <w:pPr>
        <w:widowControl/>
        <w:spacing w:line="360" w:lineRule="auto"/>
        <w:rPr>
          <w:rFonts w:hint="eastAsia" w:ascii="宋体" w:hAnsi="宋体"/>
          <w:b/>
          <w:sz w:val="24"/>
          <w:highlight w:val="none"/>
        </w:rPr>
      </w:pPr>
      <w:bookmarkStart w:id="25" w:name="_Toc174636907"/>
      <w:r>
        <w:rPr>
          <w:rFonts w:hint="eastAsia" w:ascii="宋体" w:hAnsi="宋体"/>
          <w:b/>
          <w:sz w:val="24"/>
          <w:highlight w:val="none"/>
        </w:rPr>
        <w:t>（六)售后服务要求</w:t>
      </w:r>
      <w:bookmarkEnd w:id="24"/>
      <w:bookmarkEnd w:id="25"/>
    </w:p>
    <w:p w14:paraId="737CCD10">
      <w:pPr>
        <w:spacing w:line="360" w:lineRule="auto"/>
        <w:ind w:firstLine="480"/>
        <w:rPr>
          <w:rFonts w:hint="eastAsia" w:ascii="宋体" w:hAnsi="宋体" w:cs="宋体"/>
          <w:sz w:val="24"/>
          <w:highlight w:val="none"/>
        </w:rPr>
      </w:pPr>
      <w:r>
        <w:rPr>
          <w:rFonts w:hint="eastAsia" w:ascii="宋体" w:hAnsi="宋体" w:cs="宋体"/>
          <w:sz w:val="24"/>
          <w:highlight w:val="none"/>
        </w:rPr>
        <w:t>1、系统管理员培训</w:t>
      </w:r>
    </w:p>
    <w:p w14:paraId="304AFA87">
      <w:pPr>
        <w:spacing w:line="360" w:lineRule="auto"/>
        <w:ind w:firstLine="480"/>
        <w:rPr>
          <w:rFonts w:hint="eastAsia" w:ascii="宋体" w:hAnsi="宋体" w:cs="宋体"/>
          <w:sz w:val="24"/>
          <w:highlight w:val="none"/>
        </w:rPr>
      </w:pPr>
      <w:r>
        <w:rPr>
          <w:rFonts w:hint="eastAsia" w:ascii="宋体" w:hAnsi="宋体" w:cs="宋体"/>
          <w:sz w:val="24"/>
          <w:highlight w:val="none"/>
        </w:rPr>
        <w:t>系统试运行期间，中标方负责为院方免费培训1-2名系统维护人员，通过培训，使维护人员能熟练规范的进行操作，对一般故障能进行处理和日常维护。</w:t>
      </w:r>
    </w:p>
    <w:p w14:paraId="7FCA71E5">
      <w:pPr>
        <w:spacing w:line="360" w:lineRule="auto"/>
        <w:ind w:firstLine="480"/>
        <w:rPr>
          <w:rFonts w:hint="eastAsia" w:ascii="宋体" w:hAnsi="宋体" w:cs="宋体"/>
          <w:sz w:val="24"/>
          <w:highlight w:val="none"/>
        </w:rPr>
      </w:pPr>
      <w:r>
        <w:rPr>
          <w:rFonts w:hint="eastAsia" w:ascii="宋体" w:hAnsi="宋体" w:cs="宋体"/>
          <w:sz w:val="24"/>
          <w:highlight w:val="none"/>
        </w:rPr>
        <w:t>2、远程电话咨询支持</w:t>
      </w:r>
    </w:p>
    <w:p w14:paraId="4420F00D">
      <w:pPr>
        <w:spacing w:line="360" w:lineRule="auto"/>
        <w:ind w:firstLine="480"/>
        <w:rPr>
          <w:rFonts w:hint="eastAsia" w:ascii="宋体" w:hAnsi="宋体" w:cs="宋体"/>
          <w:sz w:val="24"/>
          <w:highlight w:val="none"/>
        </w:rPr>
      </w:pPr>
      <w:r>
        <w:rPr>
          <w:rFonts w:hint="eastAsia" w:ascii="宋体" w:hAnsi="宋体" w:cs="宋体"/>
          <w:sz w:val="24"/>
          <w:highlight w:val="none"/>
        </w:rPr>
        <w:t>免费提供全天24小时的电话支持服务，解答院方在系统使用、维护过程中遇到的问题，及时提出解决问题的建议和操作方法。</w:t>
      </w:r>
    </w:p>
    <w:p w14:paraId="653C3A18">
      <w:pPr>
        <w:spacing w:line="360" w:lineRule="auto"/>
        <w:ind w:firstLine="480"/>
        <w:rPr>
          <w:rFonts w:hint="eastAsia" w:ascii="宋体" w:hAnsi="宋体" w:cs="宋体"/>
          <w:sz w:val="24"/>
          <w:highlight w:val="none"/>
        </w:rPr>
      </w:pPr>
      <w:r>
        <w:rPr>
          <w:rFonts w:hint="eastAsia" w:ascii="宋体" w:hAnsi="宋体" w:cs="宋体"/>
          <w:sz w:val="24"/>
          <w:highlight w:val="none"/>
        </w:rPr>
        <w:t>3、远程在线诊断和故障排除</w:t>
      </w:r>
    </w:p>
    <w:p w14:paraId="497CB697">
      <w:pPr>
        <w:spacing w:line="360" w:lineRule="auto"/>
        <w:ind w:firstLine="480"/>
        <w:rPr>
          <w:rFonts w:hint="eastAsia" w:ascii="宋体" w:hAnsi="宋体" w:cs="宋体"/>
          <w:sz w:val="24"/>
          <w:highlight w:val="none"/>
        </w:rPr>
      </w:pPr>
      <w:r>
        <w:rPr>
          <w:rFonts w:hint="eastAsia" w:ascii="宋体" w:hAnsi="宋体" w:cs="宋体"/>
          <w:sz w:val="24"/>
          <w:highlight w:val="none"/>
        </w:rPr>
        <w:t>投标人能为采购方提供远程维护，对于电话咨询无法解决的问题，工程师经采购方授权通过电话线、宽带网等方式远程登录到院方网络系统进行在线接入处理。</w:t>
      </w:r>
    </w:p>
    <w:p w14:paraId="5D1D7BFC">
      <w:pPr>
        <w:spacing w:line="360" w:lineRule="auto"/>
        <w:ind w:firstLine="480"/>
        <w:rPr>
          <w:rFonts w:hint="eastAsia" w:ascii="宋体" w:hAnsi="宋体" w:cs="宋体"/>
          <w:sz w:val="24"/>
          <w:highlight w:val="none"/>
        </w:rPr>
      </w:pPr>
      <w:r>
        <w:rPr>
          <w:rFonts w:hint="eastAsia" w:ascii="宋体" w:hAnsi="宋体" w:cs="宋体"/>
          <w:sz w:val="24"/>
          <w:highlight w:val="none"/>
        </w:rPr>
        <w:t>4、应急响应机制</w:t>
      </w:r>
    </w:p>
    <w:p w14:paraId="3FD4F5A8">
      <w:pPr>
        <w:spacing w:line="360" w:lineRule="auto"/>
        <w:ind w:firstLine="480"/>
        <w:rPr>
          <w:rFonts w:hint="eastAsia" w:ascii="宋体" w:hAnsi="宋体" w:cs="宋体"/>
          <w:sz w:val="24"/>
          <w:highlight w:val="none"/>
        </w:rPr>
      </w:pPr>
      <w:r>
        <w:rPr>
          <w:rFonts w:hint="eastAsia" w:ascii="宋体" w:hAnsi="宋体" w:cs="宋体"/>
          <w:sz w:val="24"/>
          <w:highlight w:val="none"/>
        </w:rPr>
        <w:t>免费质保期及维保期内，如遇紧急故障，工作人员在得到通知后2小时内必须提供在线支持，如不能远程解决，投标人工作人员48小时内必须到达医院进行驻场工作，并设法排除故障。</w:t>
      </w:r>
    </w:p>
    <w:p w14:paraId="5A87565C">
      <w:pPr>
        <w:widowControl/>
        <w:spacing w:line="360" w:lineRule="auto"/>
        <w:rPr>
          <w:rFonts w:hint="eastAsia" w:ascii="宋体" w:hAnsi="宋体"/>
          <w:b/>
          <w:sz w:val="24"/>
          <w:highlight w:val="none"/>
        </w:rPr>
      </w:pPr>
      <w:bookmarkStart w:id="26" w:name="_Toc174636908"/>
    </w:p>
    <w:p w14:paraId="230B2352">
      <w:pPr>
        <w:widowControl/>
        <w:spacing w:line="360" w:lineRule="auto"/>
        <w:rPr>
          <w:rFonts w:hint="eastAsia" w:ascii="宋体" w:hAnsi="宋体"/>
          <w:b/>
          <w:sz w:val="24"/>
          <w:highlight w:val="none"/>
        </w:rPr>
      </w:pPr>
      <w:r>
        <w:rPr>
          <w:rFonts w:hint="eastAsia" w:ascii="宋体" w:hAnsi="宋体"/>
          <w:b/>
          <w:sz w:val="24"/>
          <w:highlight w:val="none"/>
          <w:lang w:eastAsia="zh-CN"/>
        </w:rPr>
        <w:t>（七）</w:t>
      </w:r>
      <w:r>
        <w:rPr>
          <w:rFonts w:hint="eastAsia" w:ascii="宋体" w:hAnsi="宋体"/>
          <w:b/>
          <w:sz w:val="24"/>
          <w:highlight w:val="none"/>
        </w:rPr>
        <w:t>项目实施要求</w:t>
      </w:r>
      <w:bookmarkEnd w:id="26"/>
    </w:p>
    <w:p w14:paraId="5944F1F0">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实施周期：2025年1</w:t>
      </w:r>
      <w:r>
        <w:rPr>
          <w:rFonts w:hint="eastAsia" w:ascii="宋体" w:hAnsi="宋体" w:cs="宋体"/>
          <w:sz w:val="24"/>
          <w:highlight w:val="none"/>
          <w:lang w:val="en-US" w:eastAsia="zh-CN"/>
        </w:rPr>
        <w:t>2</w:t>
      </w:r>
      <w:r>
        <w:rPr>
          <w:rFonts w:hint="eastAsia" w:ascii="宋体" w:hAnsi="宋体" w:cs="宋体"/>
          <w:sz w:val="24"/>
          <w:highlight w:val="none"/>
        </w:rPr>
        <w:t>月30日前完成项目建设。</w:t>
      </w:r>
    </w:p>
    <w:p w14:paraId="0EAB7D56">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供应商应提供项目建设实施方案，以及实施组织、管理办法和应急方案等。</w:t>
      </w:r>
    </w:p>
    <w:p w14:paraId="03A2FF53">
      <w:pPr>
        <w:widowControl/>
        <w:spacing w:line="360" w:lineRule="auto"/>
        <w:ind w:firstLine="480"/>
        <w:jc w:val="left"/>
        <w:textAlignment w:val="center"/>
        <w:rPr>
          <w:rFonts w:hint="eastAsia" w:ascii="宋体" w:hAnsi="宋体" w:cs="宋体"/>
          <w:sz w:val="24"/>
          <w:highlight w:val="none"/>
        </w:rPr>
      </w:pPr>
      <w:r>
        <w:rPr>
          <w:rFonts w:hint="eastAsia" w:ascii="宋体" w:hAnsi="宋体" w:cs="宋体"/>
          <w:sz w:val="24"/>
          <w:highlight w:val="none"/>
        </w:rPr>
        <w:t>本次报价包含本项目所涉及的所有与第三方系统的接口开发费用和信创的建设费用。</w:t>
      </w:r>
    </w:p>
    <w:p w14:paraId="1D8EEF2C">
      <w:pPr>
        <w:pStyle w:val="7"/>
        <w:spacing w:line="360" w:lineRule="auto"/>
        <w:rPr>
          <w:highlight w:val="none"/>
        </w:rPr>
      </w:pPr>
    </w:p>
    <w:p w14:paraId="531A1A59">
      <w:pPr>
        <w:widowControl/>
        <w:spacing w:line="360" w:lineRule="auto"/>
        <w:rPr>
          <w:rFonts w:hint="eastAsia" w:ascii="宋体" w:hAnsi="宋体"/>
          <w:b/>
          <w:sz w:val="24"/>
          <w:highlight w:val="none"/>
        </w:rPr>
      </w:pPr>
      <w:bookmarkStart w:id="27" w:name="_Toc174636909"/>
      <w:r>
        <w:rPr>
          <w:rFonts w:hint="eastAsia" w:ascii="宋体" w:hAnsi="宋体"/>
          <w:b/>
          <w:sz w:val="24"/>
          <w:highlight w:val="none"/>
        </w:rPr>
        <w:t>（八）团队人员的要求</w:t>
      </w:r>
      <w:bookmarkEnd w:id="27"/>
    </w:p>
    <w:p w14:paraId="6137F5E6">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（1）团队人员中项目经理需要有资深医院运营管理咨询经验（至少5年及以上）。</w:t>
      </w:r>
    </w:p>
    <w:p w14:paraId="442021B7">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（2）实施团队顾问人员需要有与本院同级别的医院运营管理咨询的服务经验的实施顾问两名</w:t>
      </w:r>
      <w:r>
        <w:rPr>
          <w:rFonts w:hint="eastAsia" w:ascii="宋体" w:hAnsi="宋体" w:cs="宋体"/>
          <w:sz w:val="24"/>
          <w:highlight w:val="none"/>
          <w:lang w:val="en-US" w:eastAsia="zh-CN"/>
        </w:rPr>
        <w:t>及</w:t>
      </w:r>
      <w:r>
        <w:rPr>
          <w:rFonts w:hint="eastAsia" w:ascii="宋体" w:hAnsi="宋体" w:cs="宋体"/>
          <w:sz w:val="24"/>
          <w:highlight w:val="none"/>
        </w:rPr>
        <w:t>以上。</w:t>
      </w:r>
    </w:p>
    <w:p w14:paraId="37C73042">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（3）实施顾问</w:t>
      </w:r>
      <w:r>
        <w:rPr>
          <w:rFonts w:hint="eastAsia" w:ascii="宋体" w:hAnsi="宋体" w:cs="宋体"/>
          <w:sz w:val="24"/>
          <w:highlight w:val="none"/>
          <w:lang w:val="en-US" w:eastAsia="zh-CN"/>
        </w:rPr>
        <w:t>要求</w:t>
      </w:r>
      <w:r>
        <w:rPr>
          <w:rFonts w:hint="eastAsia" w:ascii="宋体" w:hAnsi="宋体" w:cs="宋体"/>
          <w:sz w:val="24"/>
          <w:highlight w:val="none"/>
          <w:lang w:eastAsia="zh-CN"/>
        </w:rPr>
        <w:t>：</w:t>
      </w:r>
      <w:r>
        <w:rPr>
          <w:rFonts w:hint="eastAsia" w:ascii="宋体" w:hAnsi="宋体" w:cs="宋体"/>
          <w:sz w:val="24"/>
          <w:highlight w:val="none"/>
          <w:lang w:val="en-US" w:eastAsia="zh-CN"/>
        </w:rPr>
        <w:t>至少2名，</w:t>
      </w:r>
      <w:r>
        <w:rPr>
          <w:rFonts w:hint="eastAsia" w:ascii="宋体" w:hAnsi="宋体" w:cs="宋体"/>
          <w:sz w:val="24"/>
          <w:highlight w:val="none"/>
        </w:rPr>
        <w:t>一名</w:t>
      </w:r>
      <w:r>
        <w:rPr>
          <w:rFonts w:hint="eastAsia" w:ascii="宋体" w:hAnsi="宋体" w:cs="宋体"/>
          <w:sz w:val="24"/>
          <w:highlight w:val="none"/>
          <w:lang w:eastAsia="zh-CN"/>
        </w:rPr>
        <w:t>：</w:t>
      </w:r>
      <w:r>
        <w:rPr>
          <w:rFonts w:hint="eastAsia" w:ascii="宋体" w:hAnsi="宋体" w:cs="宋体"/>
          <w:sz w:val="24"/>
          <w:highlight w:val="none"/>
          <w:lang w:val="en-US" w:eastAsia="zh-CN"/>
        </w:rPr>
        <w:t>要求具</w:t>
      </w:r>
      <w:r>
        <w:rPr>
          <w:rFonts w:hint="eastAsia" w:ascii="宋体" w:hAnsi="宋体" w:cs="宋体"/>
          <w:sz w:val="24"/>
          <w:highlight w:val="none"/>
        </w:rPr>
        <w:t>有医学教育和工作背景，包括医学、药学、公卫、护理本科及以上</w:t>
      </w:r>
      <w:r>
        <w:rPr>
          <w:rFonts w:hint="eastAsia" w:ascii="宋体" w:hAnsi="宋体" w:cs="宋体"/>
          <w:sz w:val="24"/>
          <w:highlight w:val="none"/>
          <w:lang w:val="en-US" w:eastAsia="zh-CN"/>
        </w:rPr>
        <w:t>学历，且具有同类项目实施经验；另外</w:t>
      </w:r>
      <w:r>
        <w:rPr>
          <w:rFonts w:hint="eastAsia" w:ascii="宋体" w:hAnsi="宋体" w:cs="宋体"/>
          <w:sz w:val="24"/>
          <w:highlight w:val="none"/>
        </w:rPr>
        <w:t>一名</w:t>
      </w:r>
      <w:r>
        <w:rPr>
          <w:rFonts w:hint="eastAsia" w:ascii="宋体" w:hAnsi="宋体" w:cs="宋体"/>
          <w:sz w:val="24"/>
          <w:highlight w:val="none"/>
          <w:lang w:eastAsia="zh-CN"/>
        </w:rPr>
        <w:t>：</w:t>
      </w:r>
      <w:r>
        <w:rPr>
          <w:rFonts w:hint="eastAsia" w:ascii="宋体" w:hAnsi="宋体" w:cs="宋体"/>
          <w:sz w:val="24"/>
          <w:highlight w:val="none"/>
          <w:lang w:val="en-US" w:eastAsia="zh-CN"/>
        </w:rPr>
        <w:t>要求具有数学或者统计学相关专业，本科及以上学历，且具有同类项目实施经验</w:t>
      </w:r>
      <w:r>
        <w:rPr>
          <w:rFonts w:hint="eastAsia" w:ascii="宋体" w:hAnsi="宋体" w:cs="宋体"/>
          <w:sz w:val="24"/>
          <w:highlight w:val="none"/>
        </w:rPr>
        <w:t>。</w:t>
      </w:r>
    </w:p>
    <w:p w14:paraId="09D2E391">
      <w:pPr>
        <w:spacing w:line="360" w:lineRule="auto"/>
        <w:ind w:firstLine="480"/>
        <w:textAlignment w:val="center"/>
        <w:rPr>
          <w:rFonts w:hint="eastAsia" w:ascii="宋体" w:hAnsi="宋体" w:cs="宋体"/>
          <w:sz w:val="24"/>
          <w:highlight w:val="none"/>
        </w:rPr>
      </w:pPr>
      <w:r>
        <w:rPr>
          <w:rFonts w:hint="eastAsia" w:ascii="宋体" w:hAnsi="宋体" w:cs="宋体"/>
          <w:sz w:val="24"/>
          <w:highlight w:val="none"/>
        </w:rPr>
        <w:t>（4）实施团队人员中需有较强的数据治理能力。</w:t>
      </w:r>
    </w:p>
    <w:p w14:paraId="2DAA7646">
      <w:pPr>
        <w:pStyle w:val="7"/>
        <w:rPr>
          <w:highlight w:val="none"/>
        </w:rPr>
      </w:pPr>
    </w:p>
    <w:p w14:paraId="0473DBFD">
      <w:pPr>
        <w:pStyle w:val="13"/>
        <w:spacing w:beforeLines="0" w:afterLines="0" w:line="360" w:lineRule="auto"/>
        <w:ind w:firstLine="301" w:firstLineChars="100"/>
        <w:outlineLvl w:val="0"/>
        <w:rPr>
          <w:rFonts w:hint="eastAsia" w:hAnsi="宋体" w:cs="Times New Roman"/>
          <w:b/>
          <w:kern w:val="2"/>
          <w:sz w:val="24"/>
          <w:highlight w:val="none"/>
        </w:rPr>
      </w:pPr>
      <w:r>
        <w:rPr>
          <w:rFonts w:hint="eastAsia" w:hAnsi="宋体"/>
          <w:b/>
          <w:sz w:val="30"/>
          <w:szCs w:val="30"/>
          <w:highlight w:val="none"/>
        </w:rPr>
        <w:br w:type="page"/>
      </w:r>
      <w:r>
        <w:rPr>
          <w:rFonts w:hint="eastAsia" w:hAnsi="宋体" w:cs="Times New Roman"/>
          <w:b/>
          <w:kern w:val="2"/>
          <w:sz w:val="24"/>
          <w:highlight w:val="none"/>
        </w:rPr>
        <w:t>六、</w:t>
      </w:r>
      <w:r>
        <w:rPr>
          <w:rFonts w:hAnsi="宋体" w:cs="Times New Roman"/>
          <w:b/>
          <w:kern w:val="2"/>
          <w:sz w:val="24"/>
          <w:highlight w:val="none"/>
        </w:rPr>
        <w:t>商务要求</w:t>
      </w:r>
    </w:p>
    <w:tbl>
      <w:tblPr>
        <w:tblStyle w:val="28"/>
        <w:tblW w:w="92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255"/>
      </w:tblGrid>
      <w:tr w14:paraId="447BA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85" w:type="dxa"/>
            <w:tcBorders>
              <w:top w:val="single" w:color="auto" w:sz="4" w:space="0"/>
              <w:left w:val="single" w:color="auto" w:sz="4" w:space="0"/>
              <w:bottom w:val="single" w:color="auto" w:sz="4" w:space="0"/>
              <w:right w:val="single" w:color="auto" w:sz="4" w:space="0"/>
            </w:tcBorders>
            <w:vAlign w:val="center"/>
          </w:tcPr>
          <w:p w14:paraId="6F775764">
            <w:pPr>
              <w:snapToGrid w:val="0"/>
              <w:rPr>
                <w:rFonts w:hint="eastAsia" w:ascii="宋体" w:hAnsi="宋体" w:cs="宋体"/>
                <w:sz w:val="24"/>
                <w:highlight w:val="none"/>
              </w:rPr>
            </w:pPr>
            <w:r>
              <w:rPr>
                <w:rFonts w:hint="eastAsia" w:ascii="宋体" w:hAnsi="宋体" w:cs="宋体"/>
                <w:sz w:val="24"/>
                <w:highlight w:val="none"/>
              </w:rPr>
              <w:t>服务期及地点</w:t>
            </w:r>
          </w:p>
        </w:tc>
        <w:tc>
          <w:tcPr>
            <w:tcW w:w="7255" w:type="dxa"/>
            <w:tcBorders>
              <w:top w:val="single" w:color="auto" w:sz="4" w:space="0"/>
              <w:left w:val="single" w:color="auto" w:sz="4" w:space="0"/>
              <w:bottom w:val="single" w:color="auto" w:sz="4" w:space="0"/>
              <w:right w:val="single" w:color="auto" w:sz="4" w:space="0"/>
            </w:tcBorders>
          </w:tcPr>
          <w:p w14:paraId="4EBE95B8">
            <w:pPr>
              <w:spacing w:line="360" w:lineRule="auto"/>
              <w:textAlignment w:val="center"/>
              <w:rPr>
                <w:rFonts w:hint="eastAsia" w:ascii="宋体" w:hAnsi="宋体" w:cs="宋体"/>
                <w:sz w:val="24"/>
                <w:highlight w:val="none"/>
              </w:rPr>
            </w:pPr>
            <w:r>
              <w:rPr>
                <w:rFonts w:hint="eastAsia" w:ascii="宋体" w:hAnsi="宋体" w:cs="宋体"/>
                <w:sz w:val="24"/>
                <w:highlight w:val="none"/>
              </w:rPr>
              <w:t>▲服务期：2025年1</w:t>
            </w:r>
            <w:r>
              <w:rPr>
                <w:rFonts w:hint="eastAsia" w:ascii="宋体" w:hAnsi="宋体" w:cs="宋体"/>
                <w:sz w:val="24"/>
                <w:highlight w:val="none"/>
                <w:lang w:val="en-US" w:eastAsia="zh-CN"/>
              </w:rPr>
              <w:t>2</w:t>
            </w:r>
            <w:r>
              <w:rPr>
                <w:rFonts w:hint="eastAsia" w:ascii="宋体" w:hAnsi="宋体" w:cs="宋体"/>
                <w:sz w:val="24"/>
                <w:highlight w:val="none"/>
              </w:rPr>
              <w:t>月30日前完成项目建设</w:t>
            </w:r>
          </w:p>
          <w:p w14:paraId="41C2EDA1">
            <w:pPr>
              <w:snapToGrid w:val="0"/>
              <w:rPr>
                <w:rFonts w:hint="eastAsia" w:ascii="宋体" w:hAnsi="宋体" w:cs="宋体"/>
                <w:sz w:val="24"/>
                <w:highlight w:val="none"/>
              </w:rPr>
            </w:pPr>
            <w:r>
              <w:rPr>
                <w:rFonts w:hint="eastAsia" w:ascii="宋体" w:hAnsi="宋体" w:cs="宋体"/>
                <w:sz w:val="24"/>
                <w:highlight w:val="none"/>
              </w:rPr>
              <w:t>地点：采购人指定地点</w:t>
            </w:r>
          </w:p>
        </w:tc>
      </w:tr>
      <w:tr w14:paraId="2E84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85" w:type="dxa"/>
            <w:tcBorders>
              <w:top w:val="single" w:color="auto" w:sz="4" w:space="0"/>
              <w:left w:val="single" w:color="auto" w:sz="4" w:space="0"/>
              <w:bottom w:val="single" w:color="auto" w:sz="4" w:space="0"/>
              <w:right w:val="single" w:color="auto" w:sz="4" w:space="0"/>
            </w:tcBorders>
          </w:tcPr>
          <w:p w14:paraId="337DDF72">
            <w:pPr>
              <w:rPr>
                <w:rFonts w:hint="eastAsia" w:ascii="宋体" w:hAnsi="宋体" w:cs="宋体"/>
                <w:sz w:val="24"/>
                <w:highlight w:val="none"/>
              </w:rPr>
            </w:pPr>
            <w:r>
              <w:rPr>
                <w:rFonts w:hint="eastAsia" w:ascii="宋体" w:hAnsi="宋体" w:cs="宋体"/>
                <w:sz w:val="24"/>
                <w:highlight w:val="none"/>
              </w:rPr>
              <w:t>付款方式</w:t>
            </w:r>
          </w:p>
        </w:tc>
        <w:tc>
          <w:tcPr>
            <w:tcW w:w="7255" w:type="dxa"/>
            <w:tcBorders>
              <w:top w:val="single" w:color="auto" w:sz="4" w:space="0"/>
              <w:left w:val="single" w:color="auto" w:sz="4" w:space="0"/>
              <w:bottom w:val="single" w:color="auto" w:sz="4" w:space="0"/>
              <w:right w:val="single" w:color="auto" w:sz="4" w:space="0"/>
            </w:tcBorders>
          </w:tcPr>
          <w:p w14:paraId="09E4DF9B">
            <w:pPr>
              <w:rPr>
                <w:rFonts w:hint="eastAsia" w:ascii="宋体" w:hAnsi="宋体" w:cs="宋体"/>
                <w:color w:val="FF0000"/>
                <w:sz w:val="24"/>
                <w:highlight w:val="none"/>
              </w:rPr>
            </w:pPr>
            <w:r>
              <w:rPr>
                <w:rFonts w:hint="eastAsia" w:ascii="宋体" w:hAnsi="宋体" w:cs="宋体"/>
                <w:sz w:val="24"/>
                <w:highlight w:val="none"/>
              </w:rPr>
              <w:t>▲根据《保障中小企业款项支付条例》</w:t>
            </w:r>
            <w:r>
              <w:rPr>
                <w:rFonts w:ascii="宋体" w:hAnsi="宋体" w:cs="宋体"/>
                <w:sz w:val="24"/>
                <w:highlight w:val="none"/>
              </w:rPr>
              <w:t>、</w:t>
            </w:r>
            <w:r>
              <w:rPr>
                <w:rFonts w:hint="eastAsia" w:ascii="宋体" w:hAnsi="宋体" w:cs="宋体"/>
                <w:sz w:val="24"/>
                <w:highlight w:val="none"/>
              </w:rPr>
              <w:t>省财政厅《浙江省财政厅关于进一步发挥政府采购政策功能全力推动经济稳进提质的通知》（浙财采监【2022】3号）要求，制定如下付款方式：</w:t>
            </w:r>
          </w:p>
          <w:p w14:paraId="5A1C3763">
            <w:pPr>
              <w:snapToGrid w:val="0"/>
              <w:rPr>
                <w:rFonts w:hint="eastAsia" w:ascii="宋体" w:hAnsi="宋体" w:cs="宋体"/>
                <w:sz w:val="24"/>
                <w:highlight w:val="none"/>
              </w:rPr>
            </w:pPr>
            <w:r>
              <w:rPr>
                <w:rFonts w:hint="eastAsia" w:ascii="宋体" w:hAnsi="宋体" w:cs="宋体"/>
                <w:sz w:val="24"/>
                <w:highlight w:val="none"/>
              </w:rPr>
              <w:t>（1）预付款：合同生效及具备实施条件后7个工作日内采购人支付合同金额的40%作为预付款</w:t>
            </w:r>
          </w:p>
          <w:p w14:paraId="4C537135">
            <w:pPr>
              <w:snapToGrid w:val="0"/>
              <w:rPr>
                <w:rFonts w:hint="eastAsia" w:ascii="宋体" w:hAnsi="宋体" w:cs="宋体"/>
                <w:sz w:val="24"/>
                <w:highlight w:val="none"/>
              </w:rPr>
            </w:pPr>
            <w:r>
              <w:rPr>
                <w:rFonts w:hint="eastAsia" w:ascii="宋体" w:hAnsi="宋体" w:cs="宋体"/>
                <w:sz w:val="24"/>
                <w:highlight w:val="none"/>
              </w:rPr>
              <w:t>（2）剩余款项（可在预付款中扣回）：第一期付款：本项目合同签订后，支付合同总金额的10%；</w:t>
            </w:r>
          </w:p>
          <w:p w14:paraId="3EFDFB54">
            <w:pPr>
              <w:snapToGrid w:val="0"/>
              <w:rPr>
                <w:rFonts w:hint="eastAsia" w:ascii="宋体" w:hAnsi="宋体" w:cs="宋体"/>
                <w:sz w:val="24"/>
                <w:highlight w:val="none"/>
              </w:rPr>
            </w:pPr>
            <w:r>
              <w:rPr>
                <w:rFonts w:hint="eastAsia" w:ascii="宋体" w:hAnsi="宋体" w:cs="宋体"/>
                <w:sz w:val="24"/>
                <w:highlight w:val="none"/>
              </w:rPr>
              <w:t>第二期付款：项目组进场实施后支付合同总金额的20%；</w:t>
            </w:r>
          </w:p>
          <w:p w14:paraId="771315F6">
            <w:pPr>
              <w:snapToGrid w:val="0"/>
              <w:rPr>
                <w:rFonts w:hint="eastAsia" w:ascii="宋体" w:hAnsi="宋体" w:cs="宋体"/>
                <w:sz w:val="24"/>
                <w:highlight w:val="none"/>
              </w:rPr>
            </w:pPr>
            <w:r>
              <w:rPr>
                <w:rFonts w:hint="eastAsia" w:ascii="宋体" w:hAnsi="宋体" w:cs="宋体"/>
                <w:sz w:val="24"/>
                <w:highlight w:val="none"/>
              </w:rPr>
              <w:t>第三期付款：系统所有功能实施完成，系统上线后，支付合同总金额的30%；</w:t>
            </w:r>
          </w:p>
          <w:p w14:paraId="0F8F935D">
            <w:pPr>
              <w:snapToGrid w:val="0"/>
              <w:rPr>
                <w:rFonts w:hint="eastAsia" w:ascii="宋体" w:hAnsi="宋体" w:cs="宋体"/>
                <w:sz w:val="24"/>
                <w:highlight w:val="none"/>
              </w:rPr>
            </w:pPr>
            <w:r>
              <w:rPr>
                <w:rFonts w:hint="eastAsia" w:ascii="宋体" w:hAnsi="宋体" w:cs="宋体"/>
                <w:sz w:val="24"/>
                <w:highlight w:val="none"/>
              </w:rPr>
              <w:t>第四期付款：系统稳定运行一段时间后，双方组织验收并签订竣工验收报告后，支付合同总价款的30%。</w:t>
            </w:r>
          </w:p>
          <w:p w14:paraId="1B440931">
            <w:pPr>
              <w:snapToGrid w:val="0"/>
              <w:rPr>
                <w:rFonts w:hint="eastAsia" w:ascii="宋体" w:hAnsi="宋体" w:cs="宋体"/>
                <w:sz w:val="24"/>
                <w:highlight w:val="none"/>
              </w:rPr>
            </w:pPr>
            <w:r>
              <w:rPr>
                <w:rFonts w:hint="eastAsia" w:ascii="宋体" w:hAnsi="宋体" w:cs="宋体"/>
                <w:sz w:val="24"/>
                <w:highlight w:val="none"/>
              </w:rPr>
              <w:t>第五期付款：系统免费维保结束后，支付合同总价款的10%。</w:t>
            </w:r>
          </w:p>
          <w:p w14:paraId="731E54EB">
            <w:pPr>
              <w:snapToGrid w:val="0"/>
              <w:rPr>
                <w:rFonts w:hint="eastAsia" w:ascii="宋体" w:hAnsi="宋体" w:cs="宋体"/>
                <w:sz w:val="24"/>
                <w:highlight w:val="none"/>
              </w:rPr>
            </w:pPr>
            <w:r>
              <w:rPr>
                <w:rFonts w:hint="eastAsia" w:ascii="宋体" w:hAnsi="宋体" w:cs="宋体"/>
                <w:sz w:val="24"/>
                <w:highlight w:val="none"/>
              </w:rPr>
              <w:t>注：（1）签订合同时中标人明确表示无需预付款或者要求降低预付款比例的，采购人可在合同中另行约定。</w:t>
            </w:r>
          </w:p>
          <w:p w14:paraId="29E0060D">
            <w:pPr>
              <w:snapToGrid w:val="0"/>
              <w:rPr>
                <w:rFonts w:hint="eastAsia" w:ascii="宋体" w:hAnsi="宋体" w:cs="宋体"/>
                <w:sz w:val="24"/>
                <w:highlight w:val="none"/>
              </w:rPr>
            </w:pPr>
            <w:r>
              <w:rPr>
                <w:rFonts w:hint="eastAsia" w:ascii="宋体" w:hAnsi="宋体" w:cs="宋体"/>
                <w:sz w:val="24"/>
                <w:highlight w:val="none"/>
              </w:rPr>
              <w:t>注：若成交供应商明确表示无需预付款或者主动要求降低预付款比例的，采购人可不适用前述规定。</w:t>
            </w:r>
          </w:p>
        </w:tc>
      </w:tr>
    </w:tbl>
    <w:p w14:paraId="350CF076">
      <w:pPr>
        <w:spacing w:line="560" w:lineRule="exact"/>
        <w:jc w:val="left"/>
        <w:rPr>
          <w:rFonts w:hint="eastAsia" w:ascii="宋体" w:hAnsi="宋体" w:cs="宋体"/>
          <w:b/>
          <w:kern w:val="0"/>
          <w:sz w:val="24"/>
          <w:szCs w:val="22"/>
          <w:highlight w:val="none"/>
        </w:rPr>
      </w:pPr>
      <w:r>
        <w:rPr>
          <w:rFonts w:hint="eastAsia" w:ascii="宋体" w:hAnsi="宋体" w:cs="宋体"/>
          <w:b/>
          <w:kern w:val="0"/>
          <w:sz w:val="24"/>
          <w:szCs w:val="22"/>
          <w:highlight w:val="none"/>
        </w:rPr>
        <w:t>注：1、本项目</w:t>
      </w:r>
      <w:r>
        <w:rPr>
          <w:rFonts w:ascii="宋体" w:hAnsi="宋体" w:cs="宋体"/>
          <w:b/>
          <w:kern w:val="0"/>
          <w:sz w:val="24"/>
          <w:szCs w:val="22"/>
          <w:highlight w:val="none"/>
        </w:rPr>
        <w:t>采购标的对应的中小企业划分标准所属行业</w:t>
      </w:r>
      <w:r>
        <w:rPr>
          <w:rFonts w:hint="eastAsia" w:ascii="宋体" w:hAnsi="宋体" w:cs="宋体"/>
          <w:b/>
          <w:kern w:val="0"/>
          <w:sz w:val="24"/>
          <w:szCs w:val="22"/>
          <w:highlight w:val="none"/>
        </w:rPr>
        <w:t>为软件和信息技术服务业。</w:t>
      </w:r>
    </w:p>
    <w:p w14:paraId="4CFBAC53">
      <w:pPr>
        <w:spacing w:line="560" w:lineRule="exact"/>
        <w:jc w:val="left"/>
        <w:rPr>
          <w:rFonts w:hint="eastAsia" w:ascii="宋体" w:hAnsi="宋体" w:cs="宋体"/>
          <w:b/>
          <w:kern w:val="0"/>
          <w:sz w:val="24"/>
          <w:highlight w:val="none"/>
        </w:rPr>
      </w:pPr>
      <w:r>
        <w:rPr>
          <w:rFonts w:hint="eastAsia" w:ascii="宋体" w:hAnsi="宋体" w:cs="宋体"/>
          <w:b/>
          <w:kern w:val="0"/>
          <w:sz w:val="24"/>
          <w:highlight w:val="none"/>
        </w:rPr>
        <w:t>2.</w:t>
      </w:r>
      <w:r>
        <w:rPr>
          <w:rFonts w:ascii="宋体" w:hAnsi="宋体" w:cs="宋体"/>
          <w:b/>
          <w:kern w:val="0"/>
          <w:sz w:val="24"/>
          <w:highlight w:val="none"/>
        </w:rPr>
        <w:t>依据《</w:t>
      </w:r>
      <w:r>
        <w:rPr>
          <w:rFonts w:hint="eastAsia" w:ascii="宋体" w:hAnsi="宋体" w:cs="宋体"/>
          <w:b/>
          <w:kern w:val="0"/>
          <w:sz w:val="24"/>
          <w:highlight w:val="none"/>
        </w:rPr>
        <w:t>政府采购促进中小企业发展管理办法</w:t>
      </w:r>
      <w:r>
        <w:rPr>
          <w:rFonts w:ascii="宋体" w:hAnsi="宋体" w:cs="宋体"/>
          <w:b/>
          <w:kern w:val="0"/>
          <w:sz w:val="24"/>
          <w:highlight w:val="none"/>
        </w:rPr>
        <w:t>》</w:t>
      </w:r>
      <w:r>
        <w:rPr>
          <w:rFonts w:hint="eastAsia" w:ascii="宋体" w:hAnsi="宋体" w:cs="宋体"/>
          <w:b/>
          <w:kern w:val="0"/>
          <w:sz w:val="24"/>
          <w:highlight w:val="none"/>
        </w:rPr>
        <w:t>（财库【2020】46号）</w:t>
      </w:r>
      <w:r>
        <w:rPr>
          <w:rFonts w:ascii="宋体" w:hAnsi="宋体" w:cs="宋体"/>
          <w:b/>
          <w:kern w:val="0"/>
          <w:sz w:val="24"/>
          <w:highlight w:val="none"/>
        </w:rPr>
        <w:t xml:space="preserve">规定享受扶持政策获得政府采购合同的，小微企业不得将合同分包给大中型企业，中型企业不得将合同分包给大型企业。 </w:t>
      </w:r>
    </w:p>
    <w:p w14:paraId="5FC7D44B">
      <w:pPr>
        <w:rPr>
          <w:rFonts w:hint="eastAsia" w:ascii="宋体" w:hAnsi="宋体"/>
          <w:b/>
          <w:sz w:val="30"/>
          <w:szCs w:val="30"/>
          <w:highlight w:val="none"/>
        </w:rPr>
      </w:pPr>
    </w:p>
    <w:p w14:paraId="6997A2CF">
      <w:pPr>
        <w:rPr>
          <w:rFonts w:hint="eastAsia" w:hAnsi="宋体"/>
          <w:b/>
          <w:sz w:val="28"/>
          <w:szCs w:val="28"/>
          <w:highlight w:val="none"/>
        </w:rPr>
      </w:pPr>
      <w:r>
        <w:rPr>
          <w:rFonts w:hint="eastAsia" w:hAnsi="宋体"/>
          <w:b/>
          <w:sz w:val="28"/>
          <w:szCs w:val="28"/>
          <w:highlight w:val="none"/>
        </w:rPr>
        <w:br w:type="page"/>
      </w:r>
    </w:p>
    <w:p w14:paraId="007E4F8F">
      <w:pPr>
        <w:snapToGrid w:val="0"/>
        <w:spacing w:line="360" w:lineRule="auto"/>
        <w:ind w:left="238"/>
        <w:jc w:val="center"/>
        <w:outlineLvl w:val="1"/>
        <w:rPr>
          <w:rFonts w:hint="eastAsia" w:ascii="宋体" w:hAnsi="宋体"/>
          <w:b/>
          <w:sz w:val="30"/>
          <w:szCs w:val="30"/>
          <w:highlight w:val="none"/>
        </w:rPr>
      </w:pPr>
      <w:r>
        <w:rPr>
          <w:rFonts w:hint="eastAsia" w:ascii="宋体" w:hAnsi="宋体"/>
          <w:b/>
          <w:sz w:val="30"/>
          <w:szCs w:val="30"/>
          <w:highlight w:val="none"/>
        </w:rPr>
        <w:t>前附表</w:t>
      </w:r>
    </w:p>
    <w:tbl>
      <w:tblPr>
        <w:tblStyle w:val="28"/>
        <w:tblW w:w="10283"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383"/>
      </w:tblGrid>
      <w:tr w14:paraId="763BF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7C009C86">
            <w:pPr>
              <w:snapToGrid w:val="0"/>
              <w:spacing w:line="360" w:lineRule="auto"/>
              <w:jc w:val="center"/>
              <w:rPr>
                <w:rFonts w:hint="eastAsia" w:ascii="宋体" w:hAnsi="宋体"/>
                <w:sz w:val="24"/>
                <w:szCs w:val="20"/>
                <w:highlight w:val="none"/>
              </w:rPr>
            </w:pPr>
            <w:r>
              <w:rPr>
                <w:rFonts w:hint="eastAsia" w:ascii="宋体" w:hAnsi="宋体"/>
                <w:sz w:val="24"/>
                <w:highlight w:val="none"/>
              </w:rPr>
              <w:t>序号</w:t>
            </w:r>
          </w:p>
        </w:tc>
        <w:tc>
          <w:tcPr>
            <w:tcW w:w="9383" w:type="dxa"/>
            <w:tcBorders>
              <w:top w:val="single" w:color="auto" w:sz="4" w:space="0"/>
              <w:left w:val="single" w:color="auto" w:sz="4" w:space="0"/>
              <w:bottom w:val="single" w:color="auto" w:sz="4" w:space="0"/>
              <w:right w:val="single" w:color="auto" w:sz="4" w:space="0"/>
            </w:tcBorders>
            <w:vAlign w:val="center"/>
          </w:tcPr>
          <w:p w14:paraId="2EA22C8B">
            <w:pPr>
              <w:snapToGrid w:val="0"/>
              <w:spacing w:line="360" w:lineRule="auto"/>
              <w:jc w:val="center"/>
              <w:rPr>
                <w:rFonts w:hint="eastAsia" w:ascii="宋体" w:hAnsi="宋体"/>
                <w:sz w:val="24"/>
                <w:szCs w:val="20"/>
                <w:highlight w:val="none"/>
              </w:rPr>
            </w:pPr>
            <w:r>
              <w:rPr>
                <w:rFonts w:hint="eastAsia" w:ascii="宋体" w:hAnsi="宋体"/>
                <w:sz w:val="24"/>
                <w:highlight w:val="none"/>
              </w:rPr>
              <w:t>内容、要求</w:t>
            </w:r>
          </w:p>
        </w:tc>
      </w:tr>
      <w:tr w14:paraId="27216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55A478BA">
            <w:pPr>
              <w:snapToGrid w:val="0"/>
              <w:spacing w:line="360" w:lineRule="auto"/>
              <w:jc w:val="center"/>
              <w:rPr>
                <w:rFonts w:hint="eastAsia" w:ascii="宋体" w:hAnsi="宋体"/>
                <w:sz w:val="24"/>
                <w:szCs w:val="20"/>
                <w:highlight w:val="none"/>
              </w:rPr>
            </w:pPr>
            <w:r>
              <w:rPr>
                <w:rFonts w:ascii="宋体" w:hAnsi="宋体"/>
                <w:sz w:val="24"/>
                <w:highlight w:val="none"/>
              </w:rPr>
              <w:t>1</w:t>
            </w:r>
          </w:p>
        </w:tc>
        <w:tc>
          <w:tcPr>
            <w:tcW w:w="9383" w:type="dxa"/>
            <w:tcBorders>
              <w:top w:val="single" w:color="auto" w:sz="4" w:space="0"/>
              <w:left w:val="single" w:color="auto" w:sz="4" w:space="0"/>
              <w:bottom w:val="single" w:color="auto" w:sz="4" w:space="0"/>
              <w:right w:val="single" w:color="auto" w:sz="4" w:space="0"/>
            </w:tcBorders>
            <w:vAlign w:val="center"/>
          </w:tcPr>
          <w:p w14:paraId="75FFD204">
            <w:pPr>
              <w:widowControl/>
              <w:jc w:val="left"/>
              <w:rPr>
                <w:rFonts w:hint="eastAsia" w:ascii="宋体" w:hAnsi="宋体"/>
                <w:sz w:val="24"/>
                <w:highlight w:val="none"/>
              </w:rPr>
            </w:pPr>
            <w:r>
              <w:rPr>
                <w:rFonts w:hint="eastAsia" w:ascii="宋体" w:hAnsi="宋体"/>
                <w:sz w:val="24"/>
                <w:highlight w:val="none"/>
              </w:rPr>
              <w:t>项目名称：湖州市中心医院智慧运营管理平台项目</w:t>
            </w:r>
          </w:p>
        </w:tc>
      </w:tr>
      <w:tr w14:paraId="1E924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21B106BA">
            <w:pPr>
              <w:snapToGrid w:val="0"/>
              <w:spacing w:line="360" w:lineRule="auto"/>
              <w:jc w:val="center"/>
              <w:rPr>
                <w:rFonts w:hint="eastAsia" w:ascii="宋体" w:hAnsi="宋体"/>
                <w:sz w:val="24"/>
                <w:szCs w:val="20"/>
                <w:highlight w:val="none"/>
              </w:rPr>
            </w:pPr>
            <w:r>
              <w:rPr>
                <w:rFonts w:ascii="宋体" w:hAnsi="宋体"/>
                <w:sz w:val="24"/>
                <w:highlight w:val="none"/>
              </w:rPr>
              <w:t>2</w:t>
            </w:r>
          </w:p>
        </w:tc>
        <w:tc>
          <w:tcPr>
            <w:tcW w:w="9383" w:type="dxa"/>
            <w:tcBorders>
              <w:top w:val="single" w:color="auto" w:sz="4" w:space="0"/>
              <w:left w:val="single" w:color="auto" w:sz="4" w:space="0"/>
              <w:bottom w:val="single" w:color="auto" w:sz="4" w:space="0"/>
              <w:right w:val="single" w:color="auto" w:sz="4" w:space="0"/>
            </w:tcBorders>
            <w:vAlign w:val="center"/>
          </w:tcPr>
          <w:p w14:paraId="306A9B84">
            <w:pPr>
              <w:widowControl/>
              <w:jc w:val="left"/>
              <w:rPr>
                <w:rFonts w:hint="eastAsia" w:ascii="宋体" w:hAnsi="宋体"/>
                <w:sz w:val="24"/>
                <w:highlight w:val="none"/>
              </w:rPr>
            </w:pPr>
            <w:r>
              <w:rPr>
                <w:rFonts w:hint="eastAsia" w:ascii="宋体" w:hAnsi="宋体"/>
                <w:sz w:val="24"/>
                <w:highlight w:val="none"/>
              </w:rPr>
              <w:t>采购数量及单位：详见招标文件</w:t>
            </w:r>
          </w:p>
        </w:tc>
      </w:tr>
      <w:tr w14:paraId="2237A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46EFB073">
            <w:pPr>
              <w:snapToGrid w:val="0"/>
              <w:spacing w:line="360" w:lineRule="auto"/>
              <w:jc w:val="center"/>
              <w:rPr>
                <w:rFonts w:hint="eastAsia" w:ascii="宋体" w:hAnsi="宋体"/>
                <w:sz w:val="24"/>
                <w:highlight w:val="none"/>
              </w:rPr>
            </w:pPr>
            <w:r>
              <w:rPr>
                <w:rFonts w:hint="eastAsia" w:ascii="宋体" w:hAnsi="宋体"/>
                <w:sz w:val="24"/>
                <w:highlight w:val="none"/>
              </w:rPr>
              <w:t>3</w:t>
            </w:r>
          </w:p>
        </w:tc>
        <w:tc>
          <w:tcPr>
            <w:tcW w:w="9383" w:type="dxa"/>
            <w:tcBorders>
              <w:top w:val="single" w:color="auto" w:sz="4" w:space="0"/>
              <w:left w:val="single" w:color="auto" w:sz="4" w:space="0"/>
              <w:bottom w:val="single" w:color="auto" w:sz="4" w:space="0"/>
              <w:right w:val="single" w:color="auto" w:sz="4" w:space="0"/>
            </w:tcBorders>
            <w:vAlign w:val="center"/>
          </w:tcPr>
          <w:p w14:paraId="7FE0768D">
            <w:pPr>
              <w:widowControl/>
              <w:jc w:val="left"/>
              <w:rPr>
                <w:rFonts w:hint="eastAsia" w:ascii="宋体" w:hAnsi="宋体"/>
                <w:sz w:val="24"/>
                <w:highlight w:val="none"/>
              </w:rPr>
            </w:pPr>
            <w:r>
              <w:rPr>
                <w:rFonts w:hint="eastAsia" w:ascii="宋体" w:hAnsi="宋体"/>
                <w:sz w:val="24"/>
                <w:highlight w:val="none"/>
              </w:rPr>
              <w:t>投标报价及费用：1.本项目投标应以人民币报价；2.不论投标结果如何，投标人均应自行承担所有与投标有关的全部费用。3.本项目招标代理服务费人民币</w:t>
            </w:r>
            <w:r>
              <w:rPr>
                <w:rFonts w:hint="eastAsia" w:ascii="宋体" w:hAnsi="宋体"/>
                <w:sz w:val="24"/>
                <w:highlight w:val="none"/>
                <w:lang w:eastAsia="zh-CN"/>
              </w:rPr>
              <w:t>壹万陆仟陆佰壹拾陆</w:t>
            </w:r>
            <w:r>
              <w:rPr>
                <w:rFonts w:hint="eastAsia" w:ascii="宋体" w:hAnsi="宋体"/>
                <w:sz w:val="24"/>
                <w:highlight w:val="none"/>
              </w:rPr>
              <w:t>元整（￥16616.00），由中标人全额支付。在中标通知书发出后当日内一次性结清。</w:t>
            </w:r>
          </w:p>
        </w:tc>
      </w:tr>
      <w:tr w14:paraId="24102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6E7309FD">
            <w:pPr>
              <w:snapToGrid w:val="0"/>
              <w:spacing w:line="360" w:lineRule="auto"/>
              <w:jc w:val="center"/>
              <w:rPr>
                <w:rFonts w:hint="eastAsia" w:ascii="宋体" w:hAnsi="宋体"/>
                <w:sz w:val="24"/>
                <w:szCs w:val="20"/>
                <w:highlight w:val="none"/>
              </w:rPr>
            </w:pPr>
            <w:r>
              <w:rPr>
                <w:rFonts w:ascii="宋体" w:hAnsi="宋体"/>
                <w:sz w:val="24"/>
                <w:highlight w:val="none"/>
              </w:rPr>
              <w:t>4</w:t>
            </w:r>
          </w:p>
        </w:tc>
        <w:tc>
          <w:tcPr>
            <w:tcW w:w="9383" w:type="dxa"/>
            <w:tcBorders>
              <w:top w:val="single" w:color="auto" w:sz="4" w:space="0"/>
              <w:left w:val="single" w:color="auto" w:sz="4" w:space="0"/>
              <w:bottom w:val="single" w:color="auto" w:sz="4" w:space="0"/>
              <w:right w:val="single" w:color="auto" w:sz="4" w:space="0"/>
            </w:tcBorders>
            <w:vAlign w:val="center"/>
          </w:tcPr>
          <w:p w14:paraId="7DD5940B">
            <w:pPr>
              <w:widowControl/>
              <w:jc w:val="left"/>
              <w:rPr>
                <w:rFonts w:hint="eastAsia" w:ascii="宋体" w:hAnsi="宋体"/>
                <w:sz w:val="24"/>
                <w:highlight w:val="none"/>
              </w:rPr>
            </w:pPr>
            <w:r>
              <w:rPr>
                <w:rFonts w:hint="eastAsia" w:ascii="宋体" w:hAnsi="宋体"/>
                <w:sz w:val="24"/>
                <w:highlight w:val="none"/>
              </w:rPr>
              <w:t>投标保证金：不缴纳</w:t>
            </w:r>
          </w:p>
        </w:tc>
      </w:tr>
      <w:tr w14:paraId="1F5E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0612E5C2">
            <w:pPr>
              <w:snapToGrid w:val="0"/>
              <w:spacing w:line="360" w:lineRule="auto"/>
              <w:jc w:val="center"/>
              <w:rPr>
                <w:rFonts w:hint="eastAsia" w:ascii="宋体" w:hAnsi="宋体"/>
                <w:sz w:val="24"/>
                <w:szCs w:val="20"/>
                <w:highlight w:val="none"/>
              </w:rPr>
            </w:pPr>
            <w:r>
              <w:rPr>
                <w:rFonts w:ascii="宋体" w:hAnsi="宋体"/>
                <w:sz w:val="24"/>
                <w:highlight w:val="none"/>
              </w:rPr>
              <w:t>5</w:t>
            </w:r>
          </w:p>
        </w:tc>
        <w:tc>
          <w:tcPr>
            <w:tcW w:w="9383" w:type="dxa"/>
            <w:tcBorders>
              <w:top w:val="single" w:color="auto" w:sz="4" w:space="0"/>
              <w:left w:val="single" w:color="auto" w:sz="4" w:space="0"/>
              <w:bottom w:val="single" w:color="auto" w:sz="4" w:space="0"/>
              <w:right w:val="single" w:color="auto" w:sz="4" w:space="0"/>
            </w:tcBorders>
            <w:vAlign w:val="center"/>
          </w:tcPr>
          <w:p w14:paraId="46049D2E">
            <w:pPr>
              <w:widowControl/>
              <w:jc w:val="left"/>
              <w:rPr>
                <w:rFonts w:hint="eastAsia" w:ascii="宋体" w:hAnsi="宋体"/>
                <w:sz w:val="24"/>
                <w:highlight w:val="none"/>
              </w:rPr>
            </w:pPr>
            <w:r>
              <w:rPr>
                <w:rFonts w:hint="eastAsia" w:ascii="宋体" w:hAnsi="宋体"/>
                <w:sz w:val="24"/>
                <w:highlight w:val="none"/>
              </w:rPr>
              <w:t>现场踏勘：不组织</w:t>
            </w:r>
          </w:p>
        </w:tc>
      </w:tr>
      <w:tr w14:paraId="73E04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6344864F">
            <w:pPr>
              <w:snapToGrid w:val="0"/>
              <w:spacing w:line="360" w:lineRule="auto"/>
              <w:jc w:val="center"/>
              <w:rPr>
                <w:rFonts w:hint="eastAsia" w:ascii="宋体" w:hAnsi="宋体"/>
                <w:sz w:val="24"/>
                <w:szCs w:val="20"/>
                <w:highlight w:val="none"/>
              </w:rPr>
            </w:pPr>
            <w:r>
              <w:rPr>
                <w:rFonts w:hint="eastAsia" w:ascii="宋体" w:hAnsi="宋体"/>
                <w:sz w:val="24"/>
                <w:szCs w:val="20"/>
                <w:highlight w:val="none"/>
              </w:rPr>
              <w:t>6</w:t>
            </w:r>
          </w:p>
        </w:tc>
        <w:tc>
          <w:tcPr>
            <w:tcW w:w="9383" w:type="dxa"/>
            <w:tcBorders>
              <w:top w:val="single" w:color="auto" w:sz="4" w:space="0"/>
              <w:left w:val="single" w:color="auto" w:sz="4" w:space="0"/>
              <w:bottom w:val="single" w:color="auto" w:sz="4" w:space="0"/>
              <w:right w:val="single" w:color="auto" w:sz="4" w:space="0"/>
            </w:tcBorders>
            <w:vAlign w:val="center"/>
          </w:tcPr>
          <w:p w14:paraId="11F1C912">
            <w:pPr>
              <w:widowControl/>
              <w:jc w:val="left"/>
              <w:rPr>
                <w:rFonts w:hint="eastAsia" w:ascii="宋体" w:hAnsi="宋体"/>
                <w:sz w:val="24"/>
                <w:highlight w:val="none"/>
              </w:rPr>
            </w:pPr>
            <w:r>
              <w:rPr>
                <w:rFonts w:hint="eastAsia" w:ascii="宋体" w:hAnsi="宋体"/>
                <w:sz w:val="24"/>
                <w:highlight w:val="none"/>
              </w:rPr>
              <w:t>答疑与澄清：投标人如认为招标文件表述不清晰、存在歧视性、排他性或者其他违法内容的，应</w:t>
            </w:r>
            <w:r>
              <w:rPr>
                <w:rFonts w:hint="eastAsia" w:ascii="宋体" w:hAnsi="宋体"/>
                <w:color w:val="000000"/>
                <w:sz w:val="24"/>
                <w:highlight w:val="none"/>
              </w:rPr>
              <w:t>当于</w:t>
            </w:r>
            <w:r>
              <w:rPr>
                <w:rFonts w:hint="eastAsia" w:ascii="宋体" w:hAnsi="宋体"/>
                <w:color w:val="000000"/>
                <w:sz w:val="24"/>
                <w:highlight w:val="none"/>
                <w:lang w:eastAsia="zh-CN"/>
              </w:rPr>
              <w:t>2025年</w:t>
            </w:r>
            <w:r>
              <w:rPr>
                <w:rFonts w:hint="eastAsia" w:ascii="宋体" w:hAnsi="宋体"/>
                <w:color w:val="000000"/>
                <w:sz w:val="24"/>
                <w:highlight w:val="none"/>
              </w:rPr>
              <w:t xml:space="preserve"> 月 日17:00前，以书面形式要求招标采购单位作出书面解释、澄清或者向招标采购单位提出书面质疑；招标采购单位将于</w:t>
            </w:r>
            <w:r>
              <w:rPr>
                <w:rFonts w:hint="eastAsia" w:ascii="宋体" w:hAnsi="宋体"/>
                <w:color w:val="000000"/>
                <w:sz w:val="24"/>
                <w:highlight w:val="none"/>
                <w:lang w:eastAsia="zh-CN"/>
              </w:rPr>
              <w:t>2025年</w:t>
            </w:r>
            <w:r>
              <w:rPr>
                <w:rFonts w:hint="eastAsia" w:ascii="宋体" w:hAnsi="宋体"/>
                <w:color w:val="000000"/>
                <w:sz w:val="24"/>
                <w:highlight w:val="none"/>
              </w:rPr>
              <w:t xml:space="preserve"> 月 日前组织答疑；答疑内容是招标文件的组成部分，将在网上发布补充（答疑、澄清）文件，潜在投标人应自行关注网站公告，招标人不再</w:t>
            </w:r>
            <w:r>
              <w:rPr>
                <w:rFonts w:hint="eastAsia" w:ascii="宋体" w:hAnsi="宋体"/>
                <w:sz w:val="24"/>
                <w:highlight w:val="none"/>
              </w:rPr>
              <w:t>一一通知。投标人因自身贻误行为导致投标失败的，责任自负。</w:t>
            </w:r>
          </w:p>
        </w:tc>
      </w:tr>
      <w:tr w14:paraId="41C77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1C834C0">
            <w:pPr>
              <w:snapToGrid w:val="0"/>
              <w:spacing w:line="360" w:lineRule="auto"/>
              <w:jc w:val="center"/>
              <w:rPr>
                <w:rFonts w:hint="eastAsia" w:ascii="宋体" w:hAnsi="宋体"/>
                <w:sz w:val="24"/>
                <w:highlight w:val="none"/>
              </w:rPr>
            </w:pPr>
            <w:r>
              <w:rPr>
                <w:rFonts w:hint="eastAsia" w:ascii="宋体" w:hAnsi="宋体"/>
                <w:sz w:val="24"/>
                <w:highlight w:val="none"/>
              </w:rPr>
              <w:t>7</w:t>
            </w:r>
          </w:p>
        </w:tc>
        <w:tc>
          <w:tcPr>
            <w:tcW w:w="9383" w:type="dxa"/>
            <w:tcBorders>
              <w:top w:val="single" w:color="auto" w:sz="4" w:space="0"/>
              <w:left w:val="single" w:color="auto" w:sz="4" w:space="0"/>
              <w:bottom w:val="single" w:color="auto" w:sz="4" w:space="0"/>
              <w:right w:val="single" w:color="auto" w:sz="4" w:space="0"/>
            </w:tcBorders>
            <w:vAlign w:val="center"/>
          </w:tcPr>
          <w:p w14:paraId="16274624">
            <w:pPr>
              <w:widowControl/>
              <w:jc w:val="left"/>
              <w:rPr>
                <w:rFonts w:hint="eastAsia" w:ascii="宋体" w:hAnsi="宋体"/>
                <w:sz w:val="24"/>
                <w:highlight w:val="none"/>
              </w:rPr>
            </w:pPr>
            <w:r>
              <w:rPr>
                <w:rFonts w:hint="eastAsia" w:ascii="宋体" w:hAnsi="宋体"/>
                <w:sz w:val="24"/>
                <w:highlight w:val="none"/>
              </w:rPr>
              <w:t>投标文件组成：1、电子投标文件（包括“电子加密投标文件”和“备份投标文件”，在投标文件编制完成后同时生成）</w:t>
            </w:r>
          </w:p>
          <w:p w14:paraId="469172A5">
            <w:pPr>
              <w:widowControl/>
              <w:jc w:val="left"/>
              <w:rPr>
                <w:rFonts w:hint="eastAsia" w:ascii="宋体" w:hAnsi="宋体"/>
                <w:sz w:val="24"/>
                <w:highlight w:val="none"/>
              </w:rPr>
            </w:pPr>
            <w:r>
              <w:rPr>
                <w:rFonts w:hint="eastAsia" w:ascii="宋体" w:hAnsi="宋体"/>
                <w:sz w:val="24"/>
                <w:highlight w:val="none"/>
              </w:rPr>
              <w:t>（1）“电子加密投标文件”是指通过“政采云电子交易客户端”完成投标文件编制后生成并加密的数据电文形式的投标文件。</w:t>
            </w:r>
          </w:p>
          <w:p w14:paraId="329A5590">
            <w:pPr>
              <w:widowControl/>
              <w:jc w:val="left"/>
              <w:rPr>
                <w:rFonts w:hint="eastAsia" w:ascii="宋体" w:hAnsi="宋体"/>
                <w:sz w:val="24"/>
                <w:highlight w:val="none"/>
              </w:rPr>
            </w:pPr>
            <w:r>
              <w:rPr>
                <w:rFonts w:hint="eastAsia" w:ascii="宋体" w:hAnsi="宋体"/>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10F94550">
            <w:pPr>
              <w:widowControl/>
              <w:autoSpaceDE w:val="0"/>
              <w:autoSpaceDN w:val="0"/>
              <w:jc w:val="left"/>
              <w:textAlignment w:val="bottom"/>
              <w:rPr>
                <w:rFonts w:hint="eastAsia" w:ascii="宋体" w:hAnsi="宋体"/>
                <w:sz w:val="24"/>
                <w:highlight w:val="none"/>
              </w:rPr>
            </w:pPr>
            <w:r>
              <w:rPr>
                <w:rFonts w:hint="eastAsia" w:ascii="宋体" w:hAnsi="宋体"/>
                <w:sz w:val="24"/>
                <w:highlight w:val="none"/>
              </w:rPr>
              <w:t>2、中标后，中标单位需在领取中标通知书时，向招标代理机构提交与投标时电子投标文件一致的纸质版本一式三份（按照招标文件要求签字盖章）。</w:t>
            </w:r>
          </w:p>
        </w:tc>
      </w:tr>
      <w:tr w14:paraId="74C96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7052A5EB">
            <w:pPr>
              <w:snapToGrid w:val="0"/>
              <w:spacing w:line="360" w:lineRule="auto"/>
              <w:jc w:val="center"/>
              <w:rPr>
                <w:rFonts w:hint="eastAsia" w:ascii="宋体" w:hAnsi="宋体"/>
                <w:sz w:val="24"/>
                <w:highlight w:val="none"/>
              </w:rPr>
            </w:pPr>
            <w:r>
              <w:rPr>
                <w:rFonts w:hint="eastAsia" w:ascii="宋体" w:hAnsi="宋体"/>
                <w:sz w:val="24"/>
                <w:highlight w:val="none"/>
              </w:rPr>
              <w:t>8</w:t>
            </w:r>
          </w:p>
        </w:tc>
        <w:tc>
          <w:tcPr>
            <w:tcW w:w="9383" w:type="dxa"/>
            <w:tcBorders>
              <w:top w:val="single" w:color="auto" w:sz="4" w:space="0"/>
              <w:left w:val="single" w:color="auto" w:sz="4" w:space="0"/>
              <w:bottom w:val="single" w:color="auto" w:sz="4" w:space="0"/>
              <w:right w:val="single" w:color="auto" w:sz="4" w:space="0"/>
            </w:tcBorders>
            <w:vAlign w:val="center"/>
          </w:tcPr>
          <w:p w14:paraId="4EDA21B3">
            <w:pPr>
              <w:widowControl/>
              <w:jc w:val="left"/>
              <w:rPr>
                <w:rFonts w:hint="eastAsia" w:ascii="宋体" w:hAnsi="宋体"/>
                <w:sz w:val="24"/>
                <w:highlight w:val="none"/>
              </w:rPr>
            </w:pPr>
            <w:r>
              <w:rPr>
                <w:rFonts w:hint="eastAsia" w:ascii="宋体" w:hAnsi="宋体"/>
                <w:sz w:val="24"/>
                <w:highlight w:val="none"/>
              </w:rPr>
              <w:t>投标文件份数：1、“电子加密投标文件”：在线上传递交、一份。2、“备份投标文件”：一份。</w:t>
            </w:r>
            <w:r>
              <w:rPr>
                <w:rFonts w:ascii="宋体" w:hAnsi="宋体"/>
                <w:sz w:val="24"/>
                <w:highlight w:val="none"/>
              </w:rPr>
              <w:t>以介质存储的数据电文形式的备份</w:t>
            </w:r>
            <w:r>
              <w:rPr>
                <w:rFonts w:hint="eastAsia" w:ascii="宋体" w:hAnsi="宋体"/>
                <w:sz w:val="24"/>
                <w:highlight w:val="none"/>
              </w:rPr>
              <w:t>投标</w:t>
            </w:r>
            <w:r>
              <w:rPr>
                <w:rFonts w:ascii="宋体" w:hAnsi="宋体"/>
                <w:sz w:val="24"/>
                <w:highlight w:val="none"/>
              </w:rPr>
              <w:t>文件</w:t>
            </w:r>
            <w:r>
              <w:rPr>
                <w:rFonts w:hint="eastAsia" w:ascii="宋体" w:hAnsi="宋体"/>
                <w:sz w:val="24"/>
                <w:highlight w:val="none"/>
              </w:rPr>
              <w:t>（</w:t>
            </w:r>
            <w:r>
              <w:rPr>
                <w:rFonts w:ascii="宋体" w:hAnsi="宋体"/>
                <w:sz w:val="24"/>
                <w:highlight w:val="none"/>
              </w:rPr>
              <w:t>BFBS格式</w:t>
            </w:r>
            <w:r>
              <w:rPr>
                <w:rFonts w:hint="eastAsia" w:ascii="宋体" w:hAnsi="宋体"/>
                <w:sz w:val="24"/>
                <w:highlight w:val="none"/>
              </w:rPr>
              <w:t>）</w:t>
            </w:r>
            <w:r>
              <w:rPr>
                <w:rFonts w:ascii="宋体" w:hAnsi="宋体"/>
                <w:sz w:val="24"/>
                <w:highlight w:val="none"/>
              </w:rPr>
              <w:t>，按政采云平台项目采购-电子交易操作指南中上传的电子</w:t>
            </w:r>
            <w:r>
              <w:rPr>
                <w:rFonts w:hint="eastAsia" w:ascii="宋体" w:hAnsi="宋体"/>
                <w:sz w:val="24"/>
                <w:highlight w:val="none"/>
              </w:rPr>
              <w:t>投标</w:t>
            </w:r>
            <w:r>
              <w:rPr>
                <w:rFonts w:ascii="宋体" w:hAnsi="宋体"/>
                <w:sz w:val="24"/>
                <w:highlight w:val="none"/>
              </w:rPr>
              <w:t>文件格式，以U盘形式存储提供</w:t>
            </w:r>
            <w:r>
              <w:rPr>
                <w:rFonts w:hint="eastAsia" w:ascii="宋体" w:hAnsi="宋体"/>
                <w:sz w:val="24"/>
                <w:highlight w:val="none"/>
              </w:rPr>
              <w:t>）</w:t>
            </w:r>
            <w:r>
              <w:rPr>
                <w:rFonts w:ascii="宋体" w:hAnsi="宋体"/>
                <w:sz w:val="24"/>
                <w:highlight w:val="none"/>
              </w:rPr>
              <w:t>。U盘盘面上粘贴标签，标注单位名称，装入一个外包封袋中进行邮寄</w:t>
            </w:r>
            <w:r>
              <w:rPr>
                <w:rFonts w:hint="eastAsia" w:ascii="宋体" w:hAnsi="宋体"/>
                <w:sz w:val="24"/>
                <w:highlight w:val="none"/>
                <w:lang w:eastAsia="zh-CN"/>
              </w:rPr>
              <w:t>。</w:t>
            </w:r>
            <w:r>
              <w:rPr>
                <w:rFonts w:ascii="宋体" w:hAnsi="宋体"/>
                <w:sz w:val="24"/>
                <w:highlight w:val="none"/>
              </w:rPr>
              <w:t>邮寄时，总的外包封袋上可不注明单位名称，但应注明单位的联系人、联系电话及项目名称</w:t>
            </w:r>
            <w:r>
              <w:rPr>
                <w:rFonts w:hint="eastAsia" w:ascii="宋体" w:hAnsi="宋体"/>
                <w:sz w:val="24"/>
                <w:highlight w:val="none"/>
              </w:rPr>
              <w:t>。邮寄地址为：浙江华耀建设咨询有限公司（湖州市静江公寓1单元1101室），联系人：张治中，联系电话：0572-2198738</w:t>
            </w:r>
            <w:r>
              <w:rPr>
                <w:highlight w:val="none"/>
              </w:rPr>
              <w:fldChar w:fldCharType="begin"/>
            </w:r>
            <w:r>
              <w:rPr>
                <w:highlight w:val="none"/>
              </w:rPr>
              <w:instrText xml:space="preserve"> HYPERLINK "mailto:huayaohz@163.com。供应商应于2020年9月" </w:instrText>
            </w:r>
            <w:r>
              <w:rPr>
                <w:highlight w:val="none"/>
              </w:rPr>
              <w:fldChar w:fldCharType="separate"/>
            </w:r>
            <w:r>
              <w:rPr>
                <w:rFonts w:hint="eastAsia" w:ascii="宋体" w:hAnsi="宋体"/>
                <w:sz w:val="24"/>
                <w:highlight w:val="none"/>
              </w:rPr>
              <w:t>。供应商应于</w:t>
            </w:r>
            <w:r>
              <w:rPr>
                <w:rFonts w:hint="eastAsia" w:ascii="宋体" w:hAnsi="宋体"/>
                <w:sz w:val="24"/>
                <w:highlight w:val="none"/>
                <w:lang w:eastAsia="zh-CN"/>
              </w:rPr>
              <w:t>2025年</w:t>
            </w:r>
            <w:r>
              <w:rPr>
                <w:rFonts w:hint="eastAsia" w:ascii="宋体" w:hAnsi="宋体"/>
                <w:sz w:val="24"/>
                <w:highlight w:val="none"/>
              </w:rPr>
              <w:fldChar w:fldCharType="end"/>
            </w:r>
            <w:r>
              <w:rPr>
                <w:rFonts w:hint="eastAsia" w:ascii="宋体" w:hAnsi="宋体"/>
                <w:sz w:val="24"/>
                <w:highlight w:val="none"/>
              </w:rPr>
              <w:t xml:space="preserve"> 月 日17:00时前准时送达，拒绝到付。以收件人实际签收时间为准，逾期送达的将拒绝接收。</w:t>
            </w:r>
          </w:p>
        </w:tc>
      </w:tr>
      <w:tr w14:paraId="7FAEA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6906BFC0">
            <w:pPr>
              <w:snapToGrid w:val="0"/>
              <w:spacing w:line="360" w:lineRule="auto"/>
              <w:jc w:val="center"/>
              <w:rPr>
                <w:rFonts w:hint="eastAsia" w:ascii="宋体" w:hAnsi="宋体"/>
                <w:sz w:val="24"/>
                <w:szCs w:val="20"/>
                <w:highlight w:val="none"/>
              </w:rPr>
            </w:pPr>
            <w:r>
              <w:rPr>
                <w:rFonts w:hint="eastAsia" w:ascii="宋体" w:hAnsi="宋体"/>
                <w:sz w:val="24"/>
                <w:szCs w:val="20"/>
                <w:highlight w:val="none"/>
              </w:rPr>
              <w:t>9</w:t>
            </w:r>
          </w:p>
        </w:tc>
        <w:tc>
          <w:tcPr>
            <w:tcW w:w="9383" w:type="dxa"/>
            <w:tcBorders>
              <w:top w:val="single" w:color="auto" w:sz="4" w:space="0"/>
              <w:left w:val="single" w:color="auto" w:sz="4" w:space="0"/>
              <w:bottom w:val="single" w:color="auto" w:sz="4" w:space="0"/>
              <w:right w:val="single" w:color="auto" w:sz="4" w:space="0"/>
            </w:tcBorders>
            <w:vAlign w:val="center"/>
          </w:tcPr>
          <w:p w14:paraId="397F8CF7">
            <w:pPr>
              <w:widowControl/>
              <w:jc w:val="left"/>
              <w:rPr>
                <w:rFonts w:hint="eastAsia" w:ascii="宋体" w:hAnsi="宋体"/>
                <w:sz w:val="24"/>
                <w:highlight w:val="none"/>
              </w:rPr>
            </w:pPr>
            <w:r>
              <w:rPr>
                <w:rFonts w:hint="eastAsia" w:ascii="宋体" w:hAnsi="宋体"/>
                <w:sz w:val="24"/>
                <w:highlight w:val="none"/>
              </w:rPr>
              <w:t>电子加密投标文件的解密和异常情况处理：</w:t>
            </w:r>
          </w:p>
          <w:p w14:paraId="2F3DDC02">
            <w:pPr>
              <w:widowControl/>
              <w:jc w:val="left"/>
              <w:rPr>
                <w:rFonts w:hint="eastAsia" w:ascii="宋体" w:hAnsi="宋体"/>
                <w:sz w:val="24"/>
                <w:highlight w:val="none"/>
              </w:rPr>
            </w:pPr>
            <w:r>
              <w:rPr>
                <w:rFonts w:hint="eastAsia" w:ascii="宋体" w:hAnsi="宋体"/>
                <w:sz w:val="24"/>
                <w:highlight w:val="none"/>
              </w:rPr>
              <w:t>（1）开标后，采购组织机构将向各投标供应商发出“电子加密投标文件”的解密通知，各投标供应商代表应当在接到解密通知后30分钟内自行完成“电子加密投标文件”的在线解密。</w:t>
            </w:r>
          </w:p>
          <w:p w14:paraId="58941C35">
            <w:pPr>
              <w:widowControl/>
              <w:jc w:val="left"/>
              <w:rPr>
                <w:rFonts w:hint="eastAsia" w:ascii="宋体" w:hAnsi="宋体"/>
                <w:sz w:val="24"/>
                <w:highlight w:val="none"/>
              </w:rPr>
            </w:pPr>
            <w:r>
              <w:rPr>
                <w:rFonts w:hint="eastAsia" w:ascii="宋体" w:hAnsi="宋体"/>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835C06B">
            <w:pPr>
              <w:widowControl/>
              <w:jc w:val="left"/>
              <w:rPr>
                <w:rFonts w:hint="eastAsia" w:ascii="宋体" w:hAnsi="宋体"/>
                <w:sz w:val="24"/>
                <w:highlight w:val="none"/>
              </w:rPr>
            </w:pPr>
            <w:r>
              <w:rPr>
                <w:rFonts w:hint="eastAsia" w:ascii="宋体" w:hAnsi="宋体"/>
                <w:sz w:val="24"/>
                <w:highlight w:val="none"/>
              </w:rPr>
              <w:t>（3）投标截止时间前，投标供应商仅递交了“备份投标文件”而未将电子加密投标文件上传至“政府采购云平台”的，投标无效。</w:t>
            </w:r>
          </w:p>
        </w:tc>
      </w:tr>
      <w:tr w14:paraId="6CE6B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15B5A7E5">
            <w:pPr>
              <w:snapToGrid w:val="0"/>
              <w:spacing w:line="360" w:lineRule="auto"/>
              <w:jc w:val="center"/>
              <w:rPr>
                <w:rFonts w:hint="eastAsia" w:ascii="宋体" w:hAnsi="宋体"/>
                <w:sz w:val="24"/>
                <w:szCs w:val="20"/>
                <w:highlight w:val="none"/>
              </w:rPr>
            </w:pPr>
            <w:r>
              <w:rPr>
                <w:rFonts w:hint="eastAsia" w:ascii="宋体" w:hAnsi="宋体"/>
                <w:sz w:val="24"/>
                <w:highlight w:val="none"/>
              </w:rPr>
              <w:t>10</w:t>
            </w:r>
          </w:p>
        </w:tc>
        <w:tc>
          <w:tcPr>
            <w:tcW w:w="9383" w:type="dxa"/>
            <w:tcBorders>
              <w:top w:val="single" w:color="auto" w:sz="4" w:space="0"/>
              <w:left w:val="single" w:color="auto" w:sz="4" w:space="0"/>
              <w:bottom w:val="single" w:color="auto" w:sz="4" w:space="0"/>
              <w:right w:val="single" w:color="auto" w:sz="4" w:space="0"/>
            </w:tcBorders>
            <w:vAlign w:val="center"/>
          </w:tcPr>
          <w:p w14:paraId="3A9F7E31">
            <w:pPr>
              <w:widowControl/>
              <w:jc w:val="left"/>
              <w:rPr>
                <w:rFonts w:hint="eastAsia" w:ascii="宋体" w:hAnsi="宋体"/>
                <w:sz w:val="24"/>
                <w:highlight w:val="none"/>
              </w:rPr>
            </w:pPr>
            <w:r>
              <w:rPr>
                <w:rFonts w:hint="eastAsia" w:ascii="宋体" w:hAnsi="宋体"/>
                <w:sz w:val="24"/>
                <w:highlight w:val="none"/>
              </w:rPr>
              <w:t>开标时间及地点：</w:t>
            </w:r>
            <w:r>
              <w:rPr>
                <w:rFonts w:hint="eastAsia" w:ascii="宋体" w:hAnsi="宋体"/>
                <w:sz w:val="24"/>
                <w:highlight w:val="none"/>
                <w:lang w:eastAsia="zh-CN"/>
              </w:rPr>
              <w:t>2025年</w:t>
            </w:r>
            <w:r>
              <w:rPr>
                <w:rFonts w:hint="eastAsia" w:ascii="宋体" w:hAnsi="宋体"/>
                <w:sz w:val="24"/>
                <w:highlight w:val="none"/>
              </w:rPr>
              <w:t xml:space="preserve"> 月 日14：00时</w:t>
            </w:r>
          </w:p>
          <w:p w14:paraId="6F26B54A">
            <w:pPr>
              <w:widowControl/>
              <w:jc w:val="left"/>
              <w:rPr>
                <w:rFonts w:hint="eastAsia" w:ascii="宋体" w:hAnsi="宋体"/>
                <w:sz w:val="24"/>
                <w:highlight w:val="none"/>
              </w:rPr>
            </w:pPr>
            <w:r>
              <w:rPr>
                <w:rFonts w:hint="eastAsia" w:ascii="宋体" w:hAnsi="宋体"/>
                <w:sz w:val="24"/>
                <w:highlight w:val="none"/>
              </w:rPr>
              <w:t>浙江省湖州市公共资源交易中心二楼开标室（湖州市仁皇山片区金盖山路</w:t>
            </w:r>
            <w:r>
              <w:rPr>
                <w:rFonts w:ascii="宋体" w:hAnsi="宋体"/>
                <w:sz w:val="24"/>
                <w:highlight w:val="none"/>
              </w:rPr>
              <w:t>66</w:t>
            </w:r>
            <w:r>
              <w:rPr>
                <w:rFonts w:hint="eastAsia" w:ascii="宋体" w:hAnsi="宋体"/>
                <w:sz w:val="24"/>
                <w:highlight w:val="none"/>
              </w:rPr>
              <w:t>号</w:t>
            </w:r>
            <w:r>
              <w:rPr>
                <w:rFonts w:ascii="宋体" w:hAnsi="宋体"/>
                <w:sz w:val="24"/>
                <w:highlight w:val="none"/>
              </w:rPr>
              <w:t>2</w:t>
            </w:r>
            <w:r>
              <w:rPr>
                <w:rFonts w:hint="eastAsia" w:ascii="宋体" w:hAnsi="宋体"/>
                <w:sz w:val="24"/>
                <w:highlight w:val="none"/>
              </w:rPr>
              <w:t>号楼，具体详见二楼大厅公告栏），供应商应在投标截止时间前登入“政府采购云平台（www.zcygov.cn）”在线参与开标，并完成CA锁在线解密投标文件等相关工作。</w:t>
            </w:r>
          </w:p>
        </w:tc>
      </w:tr>
      <w:tr w14:paraId="3367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5DEFFC31">
            <w:pPr>
              <w:snapToGrid w:val="0"/>
              <w:spacing w:line="360" w:lineRule="auto"/>
              <w:jc w:val="center"/>
              <w:rPr>
                <w:rFonts w:hint="eastAsia" w:ascii="宋体" w:hAnsi="宋体"/>
                <w:sz w:val="24"/>
                <w:szCs w:val="20"/>
                <w:highlight w:val="none"/>
              </w:rPr>
            </w:pPr>
            <w:r>
              <w:rPr>
                <w:rFonts w:ascii="宋体" w:hAnsi="宋体"/>
                <w:sz w:val="24"/>
                <w:highlight w:val="none"/>
              </w:rPr>
              <w:t>10</w:t>
            </w:r>
          </w:p>
        </w:tc>
        <w:tc>
          <w:tcPr>
            <w:tcW w:w="9383" w:type="dxa"/>
            <w:tcBorders>
              <w:top w:val="single" w:color="auto" w:sz="4" w:space="0"/>
              <w:left w:val="single" w:color="auto" w:sz="4" w:space="0"/>
              <w:bottom w:val="single" w:color="auto" w:sz="4" w:space="0"/>
              <w:right w:val="single" w:color="auto" w:sz="4" w:space="0"/>
            </w:tcBorders>
            <w:vAlign w:val="center"/>
          </w:tcPr>
          <w:p w14:paraId="6AFE6A03">
            <w:pPr>
              <w:widowControl/>
              <w:jc w:val="left"/>
              <w:rPr>
                <w:rFonts w:hint="eastAsia" w:ascii="宋体" w:hAnsi="宋体"/>
                <w:sz w:val="24"/>
                <w:highlight w:val="none"/>
              </w:rPr>
            </w:pPr>
            <w:r>
              <w:rPr>
                <w:rFonts w:hint="eastAsia" w:ascii="宋体" w:hAnsi="宋体"/>
                <w:sz w:val="24"/>
                <w:highlight w:val="none"/>
              </w:rPr>
              <w:t>评标办法及评分标准：详见招标文件</w:t>
            </w:r>
          </w:p>
        </w:tc>
      </w:tr>
      <w:tr w14:paraId="4788F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49DEDD38">
            <w:pPr>
              <w:snapToGrid w:val="0"/>
              <w:spacing w:line="360" w:lineRule="auto"/>
              <w:jc w:val="center"/>
              <w:rPr>
                <w:rFonts w:hint="eastAsia" w:ascii="宋体" w:hAnsi="宋体"/>
                <w:sz w:val="24"/>
                <w:szCs w:val="20"/>
                <w:highlight w:val="none"/>
              </w:rPr>
            </w:pPr>
            <w:r>
              <w:rPr>
                <w:rFonts w:ascii="宋体" w:hAnsi="宋体"/>
                <w:sz w:val="24"/>
                <w:highlight w:val="none"/>
              </w:rPr>
              <w:t>11</w:t>
            </w:r>
          </w:p>
        </w:tc>
        <w:tc>
          <w:tcPr>
            <w:tcW w:w="9383" w:type="dxa"/>
            <w:tcBorders>
              <w:top w:val="single" w:color="auto" w:sz="4" w:space="0"/>
              <w:left w:val="single" w:color="auto" w:sz="4" w:space="0"/>
              <w:bottom w:val="single" w:color="auto" w:sz="4" w:space="0"/>
              <w:right w:val="single" w:color="auto" w:sz="4" w:space="0"/>
            </w:tcBorders>
            <w:vAlign w:val="center"/>
          </w:tcPr>
          <w:p w14:paraId="53851F07">
            <w:pPr>
              <w:widowControl/>
              <w:jc w:val="left"/>
              <w:rPr>
                <w:rFonts w:hint="eastAsia" w:ascii="宋体" w:hAnsi="宋体"/>
                <w:sz w:val="24"/>
                <w:highlight w:val="none"/>
              </w:rPr>
            </w:pPr>
            <w:r>
              <w:rPr>
                <w:rFonts w:hint="eastAsia" w:ascii="宋体" w:hAnsi="宋体"/>
                <w:sz w:val="24"/>
                <w:highlight w:val="none"/>
              </w:rPr>
              <w:t>中标公告：中标供应商确定后，中标公告于浙江省政府采购网：</w:t>
            </w:r>
            <w:r>
              <w:rPr>
                <w:rFonts w:hint="eastAsia" w:ascii="宋体" w:hAnsi="宋体"/>
                <w:sz w:val="24"/>
                <w:highlight w:val="none"/>
                <w:lang w:eastAsia="zh-CN"/>
              </w:rPr>
              <w:t>（</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sz w:val="24"/>
                <w:highlight w:val="none"/>
              </w:rPr>
              <w:t>http://www.zjzfcg.gov.cn</w:t>
            </w:r>
            <w:r>
              <w:rPr>
                <w:rFonts w:ascii="宋体" w:hAnsi="宋体"/>
                <w:sz w:val="24"/>
                <w:highlight w:val="none"/>
              </w:rPr>
              <w:fldChar w:fldCharType="end"/>
            </w:r>
            <w:r>
              <w:rPr>
                <w:rFonts w:ascii="宋体" w:hAnsi="宋体"/>
                <w:sz w:val="24"/>
                <w:highlight w:val="none"/>
              </w:rPr>
              <w:t>)</w:t>
            </w:r>
            <w:r>
              <w:rPr>
                <w:rFonts w:hint="eastAsia" w:ascii="宋体" w:hAnsi="宋体"/>
                <w:sz w:val="24"/>
                <w:highlight w:val="none"/>
              </w:rPr>
              <w:t>、</w:t>
            </w:r>
            <w:r>
              <w:rPr>
                <w:rFonts w:ascii="宋体" w:hAnsi="宋体"/>
                <w:sz w:val="24"/>
                <w:highlight w:val="none"/>
              </w:rPr>
              <w:t>湖州市公共资源交易信息网http://ggzy.huzhou.gov.cn</w:t>
            </w:r>
            <w:r>
              <w:rPr>
                <w:rFonts w:hint="eastAsia" w:ascii="宋体" w:hAnsi="宋体"/>
                <w:sz w:val="24"/>
                <w:highlight w:val="none"/>
              </w:rPr>
              <w:t>等网站。</w:t>
            </w:r>
          </w:p>
        </w:tc>
      </w:tr>
      <w:tr w14:paraId="2E091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6B93B677">
            <w:pPr>
              <w:snapToGrid w:val="0"/>
              <w:spacing w:line="360" w:lineRule="auto"/>
              <w:jc w:val="center"/>
              <w:rPr>
                <w:rFonts w:hint="eastAsia" w:ascii="宋体" w:hAnsi="宋体"/>
                <w:sz w:val="24"/>
                <w:szCs w:val="20"/>
                <w:highlight w:val="none"/>
              </w:rPr>
            </w:pPr>
            <w:r>
              <w:rPr>
                <w:rFonts w:ascii="宋体" w:hAnsi="宋体"/>
                <w:sz w:val="24"/>
                <w:highlight w:val="none"/>
              </w:rPr>
              <w:t>12</w:t>
            </w:r>
          </w:p>
        </w:tc>
        <w:tc>
          <w:tcPr>
            <w:tcW w:w="9383" w:type="dxa"/>
            <w:tcBorders>
              <w:top w:val="single" w:color="auto" w:sz="4" w:space="0"/>
              <w:left w:val="single" w:color="auto" w:sz="4" w:space="0"/>
              <w:bottom w:val="single" w:color="auto" w:sz="4" w:space="0"/>
              <w:right w:val="single" w:color="auto" w:sz="4" w:space="0"/>
            </w:tcBorders>
            <w:vAlign w:val="center"/>
          </w:tcPr>
          <w:p w14:paraId="43D7203E">
            <w:pPr>
              <w:widowControl/>
              <w:jc w:val="left"/>
              <w:rPr>
                <w:rFonts w:hint="eastAsia" w:ascii="宋体" w:hAnsi="宋体"/>
                <w:sz w:val="24"/>
                <w:highlight w:val="none"/>
              </w:rPr>
            </w:pPr>
            <w:r>
              <w:rPr>
                <w:rFonts w:hint="eastAsia" w:ascii="宋体" w:hAnsi="宋体"/>
                <w:sz w:val="24"/>
                <w:highlight w:val="none"/>
              </w:rPr>
              <w:t>签订合同时间：中标通知书发出后30日内。</w:t>
            </w:r>
          </w:p>
        </w:tc>
      </w:tr>
      <w:tr w14:paraId="7F734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4C541885">
            <w:pPr>
              <w:snapToGrid w:val="0"/>
              <w:spacing w:line="360" w:lineRule="auto"/>
              <w:jc w:val="center"/>
              <w:rPr>
                <w:rFonts w:hint="eastAsia" w:ascii="宋体" w:hAnsi="宋体"/>
                <w:sz w:val="24"/>
                <w:szCs w:val="20"/>
                <w:highlight w:val="none"/>
              </w:rPr>
            </w:pPr>
            <w:r>
              <w:rPr>
                <w:rFonts w:ascii="宋体" w:hAnsi="宋体"/>
                <w:sz w:val="24"/>
                <w:highlight w:val="none"/>
              </w:rPr>
              <w:t>13</w:t>
            </w:r>
          </w:p>
        </w:tc>
        <w:tc>
          <w:tcPr>
            <w:tcW w:w="9383" w:type="dxa"/>
            <w:tcBorders>
              <w:top w:val="single" w:color="auto" w:sz="4" w:space="0"/>
              <w:left w:val="single" w:color="auto" w:sz="4" w:space="0"/>
              <w:bottom w:val="single" w:color="auto" w:sz="4" w:space="0"/>
              <w:right w:val="single" w:color="auto" w:sz="4" w:space="0"/>
            </w:tcBorders>
            <w:vAlign w:val="center"/>
          </w:tcPr>
          <w:p w14:paraId="28C2F71C">
            <w:pPr>
              <w:widowControl/>
              <w:jc w:val="left"/>
              <w:rPr>
                <w:rFonts w:hint="eastAsia" w:ascii="宋体" w:hAnsi="宋体"/>
                <w:sz w:val="24"/>
                <w:highlight w:val="none"/>
              </w:rPr>
            </w:pPr>
            <w:r>
              <w:rPr>
                <w:rFonts w:hint="eastAsia" w:ascii="宋体" w:hAnsi="宋体"/>
                <w:sz w:val="24"/>
                <w:highlight w:val="none"/>
              </w:rPr>
              <w:t>本项目的履约保证金：</w:t>
            </w:r>
            <w:r>
              <w:rPr>
                <w:rFonts w:ascii="宋体" w:hAnsi="宋体" w:cs="宋体"/>
                <w:sz w:val="24"/>
                <w:highlight w:val="none"/>
              </w:rPr>
              <w:t>本项目的履约保证金为合同价的1%；履约保证金形式为：</w:t>
            </w:r>
            <w:r>
              <w:rPr>
                <w:rFonts w:hint="eastAsia" w:ascii="宋体" w:hAnsi="宋体" w:cs="宋体"/>
                <w:sz w:val="24"/>
                <w:highlight w:val="none"/>
              </w:rPr>
              <w:t>银行转账</w:t>
            </w:r>
            <w:r>
              <w:rPr>
                <w:rFonts w:ascii="宋体" w:hAnsi="宋体" w:cs="宋体"/>
                <w:sz w:val="24"/>
                <w:highlight w:val="none"/>
              </w:rPr>
              <w:t>或银行、保险公司出具的保函；中标人应根据采购人要求汇入采购人指定账号或提供保函。项目终验合格后，退还履约保证金。</w:t>
            </w:r>
          </w:p>
        </w:tc>
      </w:tr>
      <w:tr w14:paraId="0C98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3E2C9BA4">
            <w:pPr>
              <w:snapToGrid w:val="0"/>
              <w:spacing w:line="360" w:lineRule="auto"/>
              <w:jc w:val="center"/>
              <w:rPr>
                <w:rFonts w:hint="eastAsia" w:ascii="宋体" w:hAnsi="宋体"/>
                <w:sz w:val="24"/>
                <w:szCs w:val="20"/>
                <w:highlight w:val="none"/>
              </w:rPr>
            </w:pPr>
            <w:r>
              <w:rPr>
                <w:rFonts w:ascii="宋体" w:hAnsi="宋体"/>
                <w:sz w:val="24"/>
                <w:highlight w:val="none"/>
              </w:rPr>
              <w:t>14</w:t>
            </w:r>
          </w:p>
        </w:tc>
        <w:tc>
          <w:tcPr>
            <w:tcW w:w="9383" w:type="dxa"/>
            <w:tcBorders>
              <w:top w:val="single" w:color="auto" w:sz="4" w:space="0"/>
              <w:left w:val="single" w:color="auto" w:sz="4" w:space="0"/>
              <w:bottom w:val="single" w:color="auto" w:sz="4" w:space="0"/>
              <w:right w:val="single" w:color="auto" w:sz="4" w:space="0"/>
            </w:tcBorders>
            <w:vAlign w:val="center"/>
          </w:tcPr>
          <w:p w14:paraId="77B72329">
            <w:pPr>
              <w:widowControl/>
              <w:jc w:val="left"/>
              <w:rPr>
                <w:rFonts w:hint="eastAsia" w:ascii="宋体" w:hAnsi="宋体"/>
                <w:sz w:val="24"/>
                <w:highlight w:val="none"/>
              </w:rPr>
            </w:pPr>
            <w:r>
              <w:rPr>
                <w:rFonts w:hint="eastAsia" w:ascii="宋体" w:hAnsi="宋体"/>
                <w:sz w:val="24"/>
                <w:highlight w:val="none"/>
              </w:rPr>
              <w:t>采购资金来源：财政资金</w:t>
            </w:r>
          </w:p>
        </w:tc>
      </w:tr>
      <w:tr w14:paraId="6B0A6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0E03B5D9">
            <w:pPr>
              <w:snapToGrid w:val="0"/>
              <w:spacing w:line="360" w:lineRule="auto"/>
              <w:jc w:val="center"/>
              <w:rPr>
                <w:rFonts w:hint="eastAsia" w:ascii="宋体" w:hAnsi="宋体"/>
                <w:sz w:val="24"/>
                <w:szCs w:val="20"/>
                <w:highlight w:val="none"/>
              </w:rPr>
            </w:pPr>
            <w:r>
              <w:rPr>
                <w:rFonts w:ascii="宋体" w:hAnsi="宋体"/>
                <w:sz w:val="24"/>
                <w:highlight w:val="none"/>
              </w:rPr>
              <w:t>15</w:t>
            </w:r>
          </w:p>
        </w:tc>
        <w:tc>
          <w:tcPr>
            <w:tcW w:w="9383" w:type="dxa"/>
            <w:tcBorders>
              <w:top w:val="single" w:color="auto" w:sz="4" w:space="0"/>
              <w:left w:val="single" w:color="auto" w:sz="4" w:space="0"/>
              <w:bottom w:val="single" w:color="auto" w:sz="4" w:space="0"/>
              <w:right w:val="single" w:color="auto" w:sz="4" w:space="0"/>
            </w:tcBorders>
            <w:vAlign w:val="center"/>
          </w:tcPr>
          <w:p w14:paraId="7FB0A86D">
            <w:pPr>
              <w:widowControl/>
              <w:jc w:val="left"/>
              <w:rPr>
                <w:rFonts w:hint="eastAsia" w:ascii="宋体" w:hAnsi="宋体"/>
                <w:sz w:val="24"/>
                <w:highlight w:val="none"/>
              </w:rPr>
            </w:pPr>
            <w:r>
              <w:rPr>
                <w:rFonts w:hint="eastAsia" w:ascii="宋体" w:hAnsi="宋体"/>
                <w:sz w:val="24"/>
                <w:highlight w:val="none"/>
              </w:rPr>
              <w:t>付款方式：采购人自行支付</w:t>
            </w:r>
          </w:p>
        </w:tc>
      </w:tr>
      <w:tr w14:paraId="5400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32755E7C">
            <w:pPr>
              <w:snapToGrid w:val="0"/>
              <w:spacing w:line="360" w:lineRule="auto"/>
              <w:jc w:val="center"/>
              <w:rPr>
                <w:rFonts w:hint="eastAsia" w:ascii="宋体" w:hAnsi="宋体"/>
                <w:sz w:val="24"/>
                <w:highlight w:val="none"/>
              </w:rPr>
            </w:pPr>
            <w:r>
              <w:rPr>
                <w:rFonts w:ascii="宋体" w:hAnsi="宋体"/>
                <w:sz w:val="24"/>
                <w:highlight w:val="none"/>
              </w:rPr>
              <w:t>16</w:t>
            </w:r>
          </w:p>
        </w:tc>
        <w:tc>
          <w:tcPr>
            <w:tcW w:w="9383" w:type="dxa"/>
            <w:tcBorders>
              <w:top w:val="single" w:color="auto" w:sz="4" w:space="0"/>
              <w:left w:val="single" w:color="auto" w:sz="4" w:space="0"/>
              <w:bottom w:val="single" w:color="auto" w:sz="4" w:space="0"/>
              <w:right w:val="single" w:color="auto" w:sz="4" w:space="0"/>
            </w:tcBorders>
            <w:vAlign w:val="center"/>
          </w:tcPr>
          <w:p w14:paraId="69B1710E">
            <w:pPr>
              <w:widowControl/>
              <w:jc w:val="left"/>
              <w:rPr>
                <w:rFonts w:hint="eastAsia" w:ascii="宋体" w:hAnsi="宋体"/>
                <w:sz w:val="24"/>
                <w:highlight w:val="none"/>
              </w:rPr>
            </w:pPr>
            <w:r>
              <w:rPr>
                <w:rFonts w:hint="eastAsia" w:ascii="宋体" w:hAnsi="宋体"/>
                <w:sz w:val="24"/>
                <w:highlight w:val="none"/>
              </w:rPr>
              <w:t>投标文件有效期：120天</w:t>
            </w:r>
          </w:p>
        </w:tc>
      </w:tr>
      <w:tr w14:paraId="402FA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592168B6">
            <w:pPr>
              <w:snapToGrid w:val="0"/>
              <w:spacing w:line="360" w:lineRule="auto"/>
              <w:jc w:val="center"/>
              <w:rPr>
                <w:rFonts w:hint="eastAsia" w:ascii="宋体" w:hAnsi="宋体"/>
                <w:sz w:val="24"/>
                <w:szCs w:val="20"/>
                <w:highlight w:val="none"/>
              </w:rPr>
            </w:pPr>
            <w:r>
              <w:rPr>
                <w:rFonts w:hint="eastAsia" w:ascii="宋体" w:hAnsi="宋体"/>
                <w:sz w:val="24"/>
                <w:szCs w:val="20"/>
                <w:highlight w:val="none"/>
              </w:rPr>
              <w:t>17</w:t>
            </w:r>
          </w:p>
        </w:tc>
        <w:tc>
          <w:tcPr>
            <w:tcW w:w="9383" w:type="dxa"/>
            <w:tcBorders>
              <w:top w:val="single" w:color="auto" w:sz="4" w:space="0"/>
              <w:left w:val="single" w:color="auto" w:sz="4" w:space="0"/>
              <w:bottom w:val="single" w:color="auto" w:sz="4" w:space="0"/>
              <w:right w:val="single" w:color="auto" w:sz="4" w:space="0"/>
            </w:tcBorders>
            <w:vAlign w:val="center"/>
          </w:tcPr>
          <w:p w14:paraId="7B05249A">
            <w:pPr>
              <w:snapToGrid w:val="0"/>
              <w:spacing w:line="360" w:lineRule="auto"/>
              <w:rPr>
                <w:rFonts w:hint="eastAsia" w:ascii="宋体" w:hAnsi="宋体" w:cs="Arial"/>
                <w:sz w:val="24"/>
                <w:highlight w:val="none"/>
              </w:rPr>
            </w:pPr>
            <w:r>
              <w:rPr>
                <w:rFonts w:hint="eastAsia" w:ascii="宋体" w:hAnsi="宋体"/>
                <w:sz w:val="24"/>
                <w:highlight w:val="none"/>
              </w:rPr>
              <w:t>招标单位：湖州市中心医院</w:t>
            </w:r>
          </w:p>
        </w:tc>
      </w:tr>
      <w:tr w14:paraId="4C15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6725380C">
            <w:pPr>
              <w:snapToGrid w:val="0"/>
              <w:spacing w:line="360" w:lineRule="auto"/>
              <w:jc w:val="center"/>
              <w:rPr>
                <w:rFonts w:hint="eastAsia" w:ascii="宋体" w:hAnsi="宋体"/>
                <w:sz w:val="24"/>
                <w:szCs w:val="20"/>
                <w:highlight w:val="none"/>
              </w:rPr>
            </w:pPr>
            <w:r>
              <w:rPr>
                <w:rFonts w:hint="eastAsia" w:ascii="宋体" w:hAnsi="宋体"/>
                <w:sz w:val="24"/>
                <w:szCs w:val="20"/>
                <w:highlight w:val="none"/>
              </w:rPr>
              <w:t>18</w:t>
            </w:r>
          </w:p>
        </w:tc>
        <w:tc>
          <w:tcPr>
            <w:tcW w:w="9383" w:type="dxa"/>
            <w:tcBorders>
              <w:top w:val="single" w:color="auto" w:sz="4" w:space="0"/>
              <w:left w:val="single" w:color="auto" w:sz="4" w:space="0"/>
              <w:bottom w:val="single" w:color="auto" w:sz="4" w:space="0"/>
              <w:right w:val="single" w:color="auto" w:sz="4" w:space="0"/>
            </w:tcBorders>
            <w:vAlign w:val="center"/>
          </w:tcPr>
          <w:p w14:paraId="6B5C43A6">
            <w:pPr>
              <w:widowControl/>
              <w:jc w:val="left"/>
              <w:rPr>
                <w:rFonts w:hint="eastAsia" w:ascii="宋体" w:hAnsi="宋体"/>
                <w:sz w:val="24"/>
                <w:highlight w:val="none"/>
              </w:rPr>
            </w:pPr>
            <w:r>
              <w:rPr>
                <w:rFonts w:hint="eastAsia" w:ascii="宋体" w:hAnsi="宋体"/>
                <w:sz w:val="24"/>
                <w:highlight w:val="none"/>
              </w:rPr>
              <w:t>解释：本招标文件的解释权属于招标采购单位</w:t>
            </w:r>
          </w:p>
        </w:tc>
      </w:tr>
    </w:tbl>
    <w:p w14:paraId="12076BF1">
      <w:pPr>
        <w:snapToGrid w:val="0"/>
        <w:spacing w:line="360" w:lineRule="auto"/>
        <w:jc w:val="center"/>
        <w:rPr>
          <w:rFonts w:hint="eastAsia" w:ascii="黑体" w:hAnsi="宋体" w:eastAsia="黑体"/>
          <w:sz w:val="30"/>
          <w:szCs w:val="30"/>
          <w:highlight w:val="none"/>
        </w:rPr>
      </w:pPr>
    </w:p>
    <w:p w14:paraId="54D9CDA7">
      <w:pPr>
        <w:pStyle w:val="11"/>
        <w:rPr>
          <w:highlight w:val="none"/>
        </w:rPr>
      </w:pPr>
    </w:p>
    <w:p w14:paraId="3DE2806E">
      <w:pPr>
        <w:rPr>
          <w:rFonts w:hint="eastAsia" w:ascii="黑体" w:hAnsi="宋体" w:eastAsia="黑体"/>
          <w:sz w:val="30"/>
          <w:szCs w:val="30"/>
          <w:highlight w:val="none"/>
        </w:rPr>
      </w:pPr>
      <w:r>
        <w:rPr>
          <w:rFonts w:hint="eastAsia" w:ascii="黑体" w:hAnsi="宋体" w:eastAsia="黑体"/>
          <w:sz w:val="30"/>
          <w:szCs w:val="30"/>
          <w:highlight w:val="none"/>
        </w:rPr>
        <w:br w:type="page"/>
      </w:r>
    </w:p>
    <w:p w14:paraId="256348BA">
      <w:pPr>
        <w:snapToGrid w:val="0"/>
        <w:spacing w:line="360" w:lineRule="auto"/>
        <w:jc w:val="center"/>
        <w:rPr>
          <w:rFonts w:hint="eastAsia" w:ascii="黑体" w:hAnsi="宋体" w:eastAsia="黑体"/>
          <w:sz w:val="30"/>
          <w:szCs w:val="30"/>
          <w:highlight w:val="none"/>
        </w:rPr>
      </w:pPr>
      <w:r>
        <w:rPr>
          <w:rFonts w:hint="eastAsia" w:ascii="黑体" w:hAnsi="宋体" w:eastAsia="黑体"/>
          <w:sz w:val="30"/>
          <w:szCs w:val="30"/>
          <w:highlight w:val="none"/>
        </w:rPr>
        <w:t>第三章  投标人须知</w:t>
      </w:r>
    </w:p>
    <w:p w14:paraId="623D0C37">
      <w:pPr>
        <w:snapToGrid w:val="0"/>
        <w:spacing w:line="360" w:lineRule="auto"/>
        <w:ind w:firstLine="472" w:firstLineChars="196"/>
        <w:jc w:val="left"/>
        <w:outlineLvl w:val="1"/>
        <w:rPr>
          <w:rFonts w:hint="eastAsia" w:ascii="宋体" w:hAnsi="宋体"/>
          <w:b/>
          <w:sz w:val="24"/>
          <w:szCs w:val="20"/>
          <w:highlight w:val="none"/>
        </w:rPr>
      </w:pPr>
      <w:r>
        <w:rPr>
          <w:rFonts w:hint="eastAsia" w:ascii="宋体" w:hAnsi="宋体"/>
          <w:b/>
          <w:sz w:val="24"/>
          <w:highlight w:val="none"/>
        </w:rPr>
        <w:t>（一）</w:t>
      </w:r>
      <w:r>
        <w:rPr>
          <w:rFonts w:ascii="宋体" w:hAnsi="宋体"/>
          <w:b/>
          <w:sz w:val="24"/>
          <w:highlight w:val="none"/>
        </w:rPr>
        <w:t xml:space="preserve"> 适用范围</w:t>
      </w:r>
    </w:p>
    <w:p w14:paraId="612DE2BA">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本招标文件适用于湖州市中心医院智慧运营管理平台项目的招标、评标、定标、验收、合同履约、付款等（法律、法规另有规定的，从其规定）。</w:t>
      </w:r>
    </w:p>
    <w:p w14:paraId="07964FF8">
      <w:pPr>
        <w:snapToGrid w:val="0"/>
        <w:spacing w:line="360" w:lineRule="auto"/>
        <w:ind w:firstLine="354" w:firstLineChars="147"/>
        <w:jc w:val="left"/>
        <w:outlineLvl w:val="1"/>
        <w:rPr>
          <w:rFonts w:hint="eastAsia" w:ascii="宋体" w:hAnsi="宋体"/>
          <w:b/>
          <w:sz w:val="24"/>
          <w:szCs w:val="20"/>
          <w:highlight w:val="none"/>
        </w:rPr>
      </w:pPr>
      <w:r>
        <w:rPr>
          <w:rFonts w:hint="eastAsia" w:ascii="宋体" w:hAnsi="宋体"/>
          <w:b/>
          <w:sz w:val="24"/>
          <w:highlight w:val="none"/>
        </w:rPr>
        <w:t>（二）定义</w:t>
      </w:r>
    </w:p>
    <w:p w14:paraId="39764DB9">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招标采购单位系指组织本次招标的代理机构和采购单位</w:t>
      </w:r>
      <w:r>
        <w:rPr>
          <w:rFonts w:hint="eastAsia" w:ascii="宋体" w:hAnsi="宋体"/>
          <w:sz w:val="24"/>
          <w:highlight w:val="none"/>
        </w:rPr>
        <w:t>（湖州市中心医院）</w:t>
      </w:r>
      <w:r>
        <w:rPr>
          <w:rFonts w:ascii="宋体" w:hAnsi="宋体"/>
          <w:sz w:val="24"/>
          <w:highlight w:val="none"/>
        </w:rPr>
        <w:t>。</w:t>
      </w:r>
    </w:p>
    <w:p w14:paraId="2650F24A">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投标人”系指向招标方提交投标文件的单位或个人。</w:t>
      </w:r>
    </w:p>
    <w:p w14:paraId="031B11E4">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“产品”系指供方按招标文件规定，须向采购人提供的一切设备、保险、税金、备品备件、工具、手册</w:t>
      </w:r>
      <w:r>
        <w:rPr>
          <w:rFonts w:hint="eastAsia" w:ascii="宋体" w:hAnsi="宋体"/>
          <w:sz w:val="24"/>
          <w:highlight w:val="none"/>
        </w:rPr>
        <w:t>及其他有关</w:t>
      </w:r>
      <w:r>
        <w:rPr>
          <w:rFonts w:ascii="宋体" w:hAnsi="宋体"/>
          <w:sz w:val="24"/>
          <w:highlight w:val="none"/>
        </w:rPr>
        <w:t>技术资料和材料。</w:t>
      </w:r>
    </w:p>
    <w:p w14:paraId="13BB6618">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“服务”系指招标文件规定投标人须承担的安装、调试、技术协助、校准、培训、技术指导以及其他类似的义务。</w:t>
      </w:r>
    </w:p>
    <w:p w14:paraId="10FDEB66">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“项目”系指投标人按招标文件规定向采购人提供的产品和服务。</w:t>
      </w:r>
    </w:p>
    <w:p w14:paraId="1FC5F28D">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“书面形式”包括信函、传真、电报等。</w:t>
      </w:r>
    </w:p>
    <w:p w14:paraId="570E6380">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7</w:t>
      </w:r>
      <w:r>
        <w:rPr>
          <w:rFonts w:hint="eastAsia" w:ascii="宋体" w:hAnsi="宋体"/>
          <w:sz w:val="24"/>
          <w:highlight w:val="none"/>
        </w:rPr>
        <w:t>.</w:t>
      </w:r>
      <w:r>
        <w:rPr>
          <w:rFonts w:ascii="宋体" w:hAnsi="宋体"/>
          <w:sz w:val="24"/>
          <w:highlight w:val="none"/>
        </w:rPr>
        <w:t>“▲”系指实质性要求条款。</w:t>
      </w:r>
    </w:p>
    <w:p w14:paraId="4303DA67">
      <w:pPr>
        <w:snapToGrid w:val="0"/>
        <w:spacing w:line="360" w:lineRule="auto"/>
        <w:ind w:firstLine="472" w:firstLineChars="196"/>
        <w:jc w:val="left"/>
        <w:outlineLvl w:val="1"/>
        <w:rPr>
          <w:rFonts w:hint="eastAsia" w:ascii="宋体" w:hAnsi="宋体"/>
          <w:b/>
          <w:sz w:val="24"/>
          <w:szCs w:val="20"/>
          <w:highlight w:val="none"/>
        </w:rPr>
      </w:pPr>
      <w:r>
        <w:rPr>
          <w:rFonts w:hint="eastAsia" w:ascii="宋体" w:hAnsi="宋体"/>
          <w:b/>
          <w:sz w:val="24"/>
          <w:highlight w:val="none"/>
        </w:rPr>
        <w:t>（三）招标方式</w:t>
      </w:r>
    </w:p>
    <w:p w14:paraId="7071A13E">
      <w:pPr>
        <w:snapToGrid w:val="0"/>
        <w:spacing w:line="360" w:lineRule="auto"/>
        <w:ind w:firstLine="480" w:firstLineChars="200"/>
        <w:jc w:val="left"/>
        <w:rPr>
          <w:rFonts w:hint="eastAsia" w:ascii="宋体" w:hAnsi="宋体"/>
          <w:sz w:val="24"/>
          <w:szCs w:val="20"/>
          <w:highlight w:val="none"/>
        </w:rPr>
      </w:pPr>
      <w:r>
        <w:rPr>
          <w:rFonts w:ascii="宋体" w:hAnsi="宋体"/>
          <w:sz w:val="24"/>
          <w:highlight w:val="none"/>
        </w:rPr>
        <w:t>本次招标采用公开招标方式进行。</w:t>
      </w:r>
    </w:p>
    <w:p w14:paraId="1CB99ABE">
      <w:pPr>
        <w:snapToGrid w:val="0"/>
        <w:spacing w:line="360" w:lineRule="auto"/>
        <w:ind w:firstLine="472" w:firstLineChars="196"/>
        <w:jc w:val="left"/>
        <w:outlineLvl w:val="1"/>
        <w:rPr>
          <w:rFonts w:hint="eastAsia" w:ascii="宋体" w:hAnsi="宋体"/>
          <w:b/>
          <w:sz w:val="24"/>
          <w:szCs w:val="20"/>
          <w:highlight w:val="none"/>
        </w:rPr>
      </w:pPr>
      <w:r>
        <w:rPr>
          <w:rFonts w:hint="eastAsia" w:ascii="宋体" w:hAnsi="宋体"/>
          <w:b/>
          <w:sz w:val="24"/>
          <w:highlight w:val="none"/>
        </w:rPr>
        <w:t>（四）投标委托</w:t>
      </w:r>
    </w:p>
    <w:p w14:paraId="2F6BEF5B">
      <w:pPr>
        <w:pStyle w:val="12"/>
        <w:snapToGrid w:val="0"/>
        <w:spacing w:line="360" w:lineRule="auto"/>
        <w:ind w:left="0" w:leftChars="0" w:firstLine="480" w:firstLineChars="200"/>
        <w:jc w:val="left"/>
        <w:rPr>
          <w:rFonts w:hint="eastAsia" w:hAnsi="宋体"/>
          <w:sz w:val="24"/>
          <w:szCs w:val="24"/>
          <w:highlight w:val="none"/>
        </w:rPr>
      </w:pPr>
      <w:r>
        <w:rPr>
          <w:rFonts w:hAnsi="宋体"/>
          <w:sz w:val="24"/>
          <w:szCs w:val="24"/>
          <w:highlight w:val="none"/>
        </w:rPr>
        <w:t>投标人代表须携带</w:t>
      </w:r>
      <w:r>
        <w:rPr>
          <w:rFonts w:hint="eastAsia" w:hAnsi="宋体"/>
          <w:sz w:val="24"/>
          <w:szCs w:val="24"/>
          <w:highlight w:val="none"/>
        </w:rPr>
        <w:t>有效</w:t>
      </w:r>
      <w:r>
        <w:rPr>
          <w:rFonts w:hAnsi="宋体"/>
          <w:sz w:val="24"/>
          <w:szCs w:val="24"/>
          <w:highlight w:val="none"/>
        </w:rPr>
        <w:t>身份证</w:t>
      </w:r>
      <w:r>
        <w:rPr>
          <w:rFonts w:hint="eastAsia" w:hAnsi="宋体"/>
          <w:sz w:val="24"/>
          <w:szCs w:val="24"/>
          <w:highlight w:val="none"/>
        </w:rPr>
        <w:t>件</w:t>
      </w:r>
      <w:r>
        <w:rPr>
          <w:rFonts w:hAnsi="宋体"/>
          <w:sz w:val="24"/>
          <w:szCs w:val="24"/>
          <w:highlight w:val="none"/>
        </w:rPr>
        <w:t>。如投标人代表不是法定代表人，须有法定代表人出具的授权委托书</w:t>
      </w:r>
      <w:r>
        <w:rPr>
          <w:rFonts w:hint="eastAsia" w:hAnsi="宋体"/>
          <w:sz w:val="24"/>
          <w:szCs w:val="24"/>
          <w:highlight w:val="none"/>
        </w:rPr>
        <w:t>及近1个月的社保证明复印件加盖公章</w:t>
      </w:r>
      <w:r>
        <w:rPr>
          <w:rFonts w:hAnsi="宋体"/>
          <w:sz w:val="24"/>
          <w:szCs w:val="24"/>
          <w:highlight w:val="none"/>
        </w:rPr>
        <w:t>（格式见第四部分）。</w:t>
      </w:r>
    </w:p>
    <w:p w14:paraId="0DBF0F86">
      <w:pPr>
        <w:snapToGrid w:val="0"/>
        <w:spacing w:line="360" w:lineRule="auto"/>
        <w:ind w:firstLine="472" w:firstLineChars="196"/>
        <w:jc w:val="left"/>
        <w:outlineLvl w:val="1"/>
        <w:rPr>
          <w:rFonts w:hint="eastAsia" w:ascii="宋体" w:hAnsi="宋体"/>
          <w:b/>
          <w:sz w:val="24"/>
          <w:szCs w:val="20"/>
          <w:highlight w:val="none"/>
        </w:rPr>
      </w:pPr>
      <w:r>
        <w:rPr>
          <w:rFonts w:hint="eastAsia" w:ascii="宋体" w:hAnsi="宋体"/>
          <w:b/>
          <w:sz w:val="24"/>
          <w:highlight w:val="none"/>
        </w:rPr>
        <w:t>（五）投标费用</w:t>
      </w:r>
    </w:p>
    <w:p w14:paraId="28775B53">
      <w:pPr>
        <w:snapToGrid w:val="0"/>
        <w:spacing w:line="360" w:lineRule="auto"/>
        <w:ind w:firstLine="600" w:firstLineChars="250"/>
        <w:jc w:val="left"/>
        <w:rPr>
          <w:rFonts w:hint="eastAsia" w:ascii="宋体" w:hAnsi="宋体"/>
          <w:sz w:val="24"/>
          <w:highlight w:val="none"/>
        </w:rPr>
      </w:pPr>
      <w:r>
        <w:rPr>
          <w:rFonts w:hint="eastAsia" w:ascii="宋体" w:hAnsi="宋体"/>
          <w:sz w:val="24"/>
          <w:highlight w:val="none"/>
        </w:rPr>
        <w:t>1.不论投标结果如何，投标人均应自行承担所有与投标有关的全部费用（招标文件有相反规定除外）。</w:t>
      </w:r>
    </w:p>
    <w:p w14:paraId="27DD1FBD">
      <w:pPr>
        <w:snapToGrid w:val="0"/>
        <w:spacing w:line="360" w:lineRule="auto"/>
        <w:ind w:firstLine="600" w:firstLineChars="250"/>
        <w:jc w:val="left"/>
        <w:rPr>
          <w:rFonts w:hint="eastAsia" w:ascii="宋体" w:hAnsi="宋体"/>
          <w:sz w:val="24"/>
          <w:highlight w:val="none"/>
        </w:rPr>
      </w:pPr>
      <w:r>
        <w:rPr>
          <w:rFonts w:hint="eastAsia" w:ascii="宋体" w:hAnsi="宋体"/>
          <w:sz w:val="24"/>
          <w:highlight w:val="none"/>
        </w:rPr>
        <w:t>2.</w:t>
      </w:r>
      <w:r>
        <w:rPr>
          <w:rFonts w:hint="eastAsia" w:ascii="宋体" w:hAnsi="宋体"/>
          <w:color w:val="000000"/>
          <w:sz w:val="24"/>
          <w:highlight w:val="none"/>
        </w:rPr>
        <w:t>本项</w:t>
      </w:r>
      <w:r>
        <w:rPr>
          <w:rFonts w:hint="eastAsia" w:ascii="宋体" w:hAnsi="宋体"/>
          <w:sz w:val="24"/>
          <w:highlight w:val="none"/>
        </w:rPr>
        <w:t>目招标代理服务费人民币</w:t>
      </w:r>
      <w:r>
        <w:rPr>
          <w:rFonts w:hint="eastAsia" w:ascii="宋体" w:hAnsi="宋体"/>
          <w:sz w:val="24"/>
          <w:highlight w:val="none"/>
          <w:lang w:eastAsia="zh-CN"/>
        </w:rPr>
        <w:t>壹万陆仟陆佰壹拾陆</w:t>
      </w:r>
      <w:r>
        <w:rPr>
          <w:rFonts w:hint="eastAsia" w:ascii="宋体" w:hAnsi="宋体"/>
          <w:sz w:val="24"/>
          <w:highlight w:val="none"/>
        </w:rPr>
        <w:t>元整（￥16616.00），由中标人全额支付。在中标通知书发出后当日内一次性结清。</w:t>
      </w:r>
    </w:p>
    <w:p w14:paraId="1CDBE175">
      <w:pPr>
        <w:snapToGrid w:val="0"/>
        <w:spacing w:line="360" w:lineRule="auto"/>
        <w:ind w:firstLine="482" w:firstLineChars="200"/>
        <w:jc w:val="left"/>
        <w:rPr>
          <w:rFonts w:hint="eastAsia" w:ascii="宋体" w:hAnsi="宋体"/>
          <w:b/>
          <w:sz w:val="24"/>
          <w:szCs w:val="20"/>
          <w:highlight w:val="none"/>
        </w:rPr>
      </w:pPr>
      <w:r>
        <w:rPr>
          <w:rFonts w:hint="eastAsia" w:ascii="宋体" w:hAnsi="宋体"/>
          <w:b/>
          <w:sz w:val="24"/>
          <w:highlight w:val="none"/>
        </w:rPr>
        <w:t>（六）联合体投标</w:t>
      </w:r>
    </w:p>
    <w:p w14:paraId="2E00BB4D">
      <w:pPr>
        <w:snapToGrid w:val="0"/>
        <w:spacing w:line="360" w:lineRule="auto"/>
        <w:ind w:firstLine="720" w:firstLineChars="300"/>
        <w:jc w:val="left"/>
        <w:rPr>
          <w:rFonts w:hint="eastAsia" w:ascii="宋体" w:hAnsi="宋体" w:cs="Arial"/>
          <w:sz w:val="24"/>
          <w:highlight w:val="none"/>
        </w:rPr>
      </w:pPr>
      <w:r>
        <w:rPr>
          <w:rFonts w:hint="eastAsia" w:ascii="宋体" w:hAnsi="宋体" w:cs="Arial"/>
          <w:sz w:val="24"/>
          <w:highlight w:val="none"/>
        </w:rPr>
        <w:t>1.本项目接受联合体投标。</w:t>
      </w:r>
    </w:p>
    <w:p w14:paraId="7B8B4640">
      <w:pPr>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rPr>
        <w:t>2.由两个以上的投标人组成一个联合体以一个投标人身份共同投标时，应符合下列要求：</w:t>
      </w:r>
    </w:p>
    <w:p w14:paraId="2B0C5906">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1）投标人的投标文件及中标后签署的合同对联合体各方均具有法律约束力；</w:t>
      </w:r>
    </w:p>
    <w:p w14:paraId="3CE8E03F">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2）联合体各方应签订共同投标协议，明确约定各方拟承担的工作和责任，并将该共同投标协议随投标文件一并提交采购人；</w:t>
      </w:r>
    </w:p>
    <w:p w14:paraId="09ECF6BE">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3）联合体中标后，联合体各方应当共同与采购人签订合同，为履行合同向采购人承担连带责任；</w:t>
      </w:r>
    </w:p>
    <w:p w14:paraId="29B73786">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4）联合体的各方应共同推荐一名联合体主办人，由联合体各方各提交一份授权书，证明其主办人资格，该授权书作为投标文件的组成部分一并提交采购人；</w:t>
      </w:r>
    </w:p>
    <w:p w14:paraId="538E6838">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5）除非另有规定或说明，本须知中“投标人”一词亦指联合体各方。</w:t>
      </w:r>
    </w:p>
    <w:p w14:paraId="130C57AE">
      <w:pPr>
        <w:snapToGrid w:val="0"/>
        <w:spacing w:line="360" w:lineRule="auto"/>
        <w:ind w:firstLine="472" w:firstLineChars="196"/>
        <w:rPr>
          <w:rFonts w:hint="eastAsia" w:ascii="宋体" w:hAnsi="宋体" w:cs="宋体"/>
          <w:b/>
          <w:kern w:val="0"/>
          <w:sz w:val="24"/>
          <w:highlight w:val="none"/>
        </w:rPr>
      </w:pPr>
      <w:r>
        <w:rPr>
          <w:rFonts w:hint="eastAsia" w:ascii="宋体" w:hAnsi="宋体"/>
          <w:b/>
          <w:sz w:val="24"/>
          <w:highlight w:val="none"/>
        </w:rPr>
        <w:t>（七）</w:t>
      </w:r>
      <w:r>
        <w:rPr>
          <w:rFonts w:hint="eastAsia" w:ascii="宋体" w:hAnsi="宋体" w:cs="宋体"/>
          <w:b/>
          <w:kern w:val="0"/>
          <w:sz w:val="24"/>
          <w:highlight w:val="none"/>
        </w:rPr>
        <w:t>转包与分包</w:t>
      </w:r>
    </w:p>
    <w:p w14:paraId="598CA28D">
      <w:pPr>
        <w:snapToGrid w:val="0"/>
        <w:spacing w:line="360" w:lineRule="auto"/>
        <w:ind w:firstLine="480" w:firstLineChars="200"/>
        <w:rPr>
          <w:rFonts w:hint="eastAsia"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本项目不允许转包。</w:t>
      </w:r>
    </w:p>
    <w:p w14:paraId="0AB9AA3D">
      <w:pPr>
        <w:snapToGrid w:val="0"/>
        <w:spacing w:line="360" w:lineRule="auto"/>
        <w:ind w:firstLine="480" w:firstLineChars="200"/>
        <w:rPr>
          <w:rFonts w:hint="eastAsia" w:ascii="宋体" w:hAnsi="宋体"/>
          <w:sz w:val="24"/>
          <w:highlight w:val="none"/>
        </w:rPr>
      </w:pPr>
      <w:r>
        <w:rPr>
          <w:rFonts w:ascii="宋体" w:hAnsi="宋体" w:cs="宋体"/>
          <w:kern w:val="0"/>
          <w:sz w:val="24"/>
          <w:highlight w:val="none"/>
        </w:rPr>
        <w:t>2</w:t>
      </w:r>
      <w:r>
        <w:rPr>
          <w:rFonts w:hint="eastAsia" w:ascii="宋体" w:hAnsi="宋体" w:cs="宋体"/>
          <w:kern w:val="0"/>
          <w:sz w:val="24"/>
          <w:highlight w:val="none"/>
        </w:rPr>
        <w:t>.</w:t>
      </w:r>
      <w:r>
        <w:rPr>
          <w:rFonts w:ascii="宋体" w:hAnsi="宋体" w:cs="宋体"/>
          <w:kern w:val="0"/>
          <w:sz w:val="24"/>
          <w:highlight w:val="none"/>
        </w:rPr>
        <w:t>本项目不允许分包</w:t>
      </w:r>
      <w:r>
        <w:rPr>
          <w:rFonts w:hint="eastAsia" w:ascii="宋体" w:hAnsi="宋体"/>
          <w:sz w:val="24"/>
          <w:highlight w:val="none"/>
        </w:rPr>
        <w:t>。</w:t>
      </w:r>
    </w:p>
    <w:p w14:paraId="66CC6877">
      <w:pPr>
        <w:snapToGrid w:val="0"/>
        <w:spacing w:line="360" w:lineRule="auto"/>
        <w:ind w:firstLine="472" w:firstLineChars="196"/>
        <w:jc w:val="left"/>
        <w:outlineLvl w:val="1"/>
        <w:rPr>
          <w:rFonts w:hint="eastAsia" w:ascii="宋体" w:hAnsi="宋体"/>
          <w:b/>
          <w:sz w:val="24"/>
          <w:highlight w:val="none"/>
        </w:rPr>
      </w:pPr>
      <w:r>
        <w:rPr>
          <w:rFonts w:hint="eastAsia" w:ascii="宋体" w:hAnsi="宋体"/>
          <w:b/>
          <w:sz w:val="24"/>
          <w:highlight w:val="none"/>
        </w:rPr>
        <w:t>（八）特别说明：</w:t>
      </w:r>
    </w:p>
    <w:p w14:paraId="053B32EF">
      <w:pPr>
        <w:widowControl/>
        <w:spacing w:line="360" w:lineRule="auto"/>
        <w:ind w:firstLine="480" w:firstLineChars="200"/>
        <w:jc w:val="left"/>
        <w:rPr>
          <w:rFonts w:hint="eastAsia" w:ascii="宋体" w:hAnsi="宋体"/>
          <w:sz w:val="24"/>
          <w:highlight w:val="none"/>
        </w:rPr>
      </w:pPr>
      <w:r>
        <w:rPr>
          <w:rFonts w:ascii="宋体" w:hAnsi="宋体"/>
          <w:sz w:val="24"/>
          <w:highlight w:val="none"/>
        </w:rPr>
        <w:t>▲</w:t>
      </w:r>
      <w:r>
        <w:rPr>
          <w:rFonts w:hint="eastAsia" w:ascii="宋体" w:hAnsi="宋体"/>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399578A4">
      <w:pPr>
        <w:pStyle w:val="13"/>
        <w:snapToGrid w:val="0"/>
        <w:spacing w:beforeLines="0" w:afterLines="0" w:line="360" w:lineRule="auto"/>
        <w:ind w:left="2" w:leftChars="1" w:firstLine="480" w:firstLineChars="200"/>
        <w:rPr>
          <w:rFonts w:hint="eastAsia" w:hAnsi="宋体"/>
          <w:sz w:val="24"/>
          <w:highlight w:val="none"/>
        </w:rPr>
      </w:pPr>
      <w:r>
        <w:rPr>
          <w:rFonts w:hAnsi="宋体"/>
          <w:sz w:val="24"/>
          <w:highlight w:val="none"/>
        </w:rPr>
        <w:t>▲</w:t>
      </w:r>
      <w:r>
        <w:rPr>
          <w:rFonts w:hint="eastAsia" w:hAnsi="宋体"/>
          <w:sz w:val="24"/>
          <w:highlight w:val="none"/>
        </w:rPr>
        <w:t>2.</w:t>
      </w:r>
      <w:r>
        <w:rPr>
          <w:rFonts w:hAnsi="宋体"/>
          <w:sz w:val="24"/>
          <w:highlight w:val="none"/>
        </w:rPr>
        <w:t>投标人投标所使用的资格、信誉、荣誉、业绩与企业认证必须为本法人所拥有。投标人投标所使用的采购项目实施人员必须为本法人员工（或必须为本法人或控股公司正式员工）。</w:t>
      </w:r>
    </w:p>
    <w:p w14:paraId="3FAB2495">
      <w:pPr>
        <w:pStyle w:val="13"/>
        <w:snapToGrid w:val="0"/>
        <w:spacing w:beforeLines="0" w:afterLines="0" w:line="360" w:lineRule="auto"/>
        <w:ind w:left="2" w:leftChars="1" w:firstLine="480" w:firstLineChars="200"/>
        <w:rPr>
          <w:rFonts w:hint="eastAsia" w:hAnsi="宋体"/>
          <w:sz w:val="24"/>
          <w:highlight w:val="none"/>
        </w:rPr>
      </w:pPr>
      <w:r>
        <w:rPr>
          <w:rFonts w:hAnsi="宋体"/>
          <w:sz w:val="24"/>
          <w:highlight w:val="none"/>
        </w:rPr>
        <w:t>▲</w:t>
      </w:r>
      <w:r>
        <w:rPr>
          <w:rFonts w:hint="eastAsia" w:hAnsi="宋体"/>
          <w:sz w:val="24"/>
          <w:highlight w:val="none"/>
        </w:rPr>
        <w:t>3.</w:t>
      </w:r>
      <w:r>
        <w:rPr>
          <w:rFonts w:hAnsi="宋体"/>
          <w:sz w:val="24"/>
          <w:highlight w:val="none"/>
        </w:rPr>
        <w:t>投标人应仔细阅读招标文件的所有内容，按照招标文件的要求提交投标文件，并对所提供的全部资料的真实性承担法律责任。</w:t>
      </w:r>
    </w:p>
    <w:p w14:paraId="786799DF">
      <w:pPr>
        <w:pStyle w:val="13"/>
        <w:snapToGrid w:val="0"/>
        <w:spacing w:beforeLines="0" w:afterLines="0" w:line="360" w:lineRule="auto"/>
        <w:ind w:left="2" w:leftChars="1" w:firstLine="480" w:firstLineChars="200"/>
        <w:rPr>
          <w:rFonts w:hint="eastAsia" w:hAnsi="宋体"/>
          <w:b/>
          <w:sz w:val="24"/>
          <w:highlight w:val="none"/>
        </w:rPr>
      </w:pPr>
      <w:r>
        <w:rPr>
          <w:rFonts w:hAnsi="宋体"/>
          <w:sz w:val="24"/>
          <w:highlight w:val="none"/>
        </w:rPr>
        <w:t>▲</w:t>
      </w:r>
      <w:r>
        <w:rPr>
          <w:rFonts w:hint="eastAsia" w:hAnsi="宋体"/>
          <w:sz w:val="24"/>
          <w:highlight w:val="none"/>
        </w:rPr>
        <w:t>4.</w:t>
      </w:r>
      <w:r>
        <w:rPr>
          <w:rFonts w:hAnsi="宋体"/>
          <w:sz w:val="24"/>
          <w:highlight w:val="none"/>
        </w:rPr>
        <w:t>投标人在投标活动中提供任何虚假材料</w:t>
      </w:r>
      <w:r>
        <w:rPr>
          <w:rFonts w:hint="eastAsia" w:hAnsi="宋体"/>
          <w:sz w:val="24"/>
          <w:highlight w:val="none"/>
        </w:rPr>
        <w:t>，</w:t>
      </w:r>
      <w:r>
        <w:rPr>
          <w:rFonts w:hAnsi="宋体"/>
          <w:sz w:val="24"/>
          <w:highlight w:val="none"/>
        </w:rPr>
        <w:t>其投标无效，并报监管部门查处；中标后发现的</w:t>
      </w:r>
      <w:r>
        <w:rPr>
          <w:rFonts w:hint="eastAsia" w:hAnsi="宋体"/>
          <w:sz w:val="24"/>
          <w:highlight w:val="none"/>
        </w:rPr>
        <w:t>，</w:t>
      </w:r>
      <w:r>
        <w:rPr>
          <w:rFonts w:hAnsi="宋体"/>
          <w:sz w:val="24"/>
          <w:highlight w:val="none"/>
        </w:rPr>
        <w:t>中标人须依照《中华人民共和国消费者权益保护法》第49条之规定双倍赔偿采购人</w:t>
      </w:r>
      <w:r>
        <w:rPr>
          <w:rFonts w:hint="eastAsia" w:hAnsi="宋体"/>
          <w:sz w:val="24"/>
          <w:highlight w:val="none"/>
        </w:rPr>
        <w:t>，</w:t>
      </w:r>
      <w:r>
        <w:rPr>
          <w:rFonts w:hAnsi="宋体"/>
          <w:sz w:val="24"/>
          <w:highlight w:val="none"/>
        </w:rPr>
        <w:t>且民事赔偿并不免除违法投标人的行政与刑事责任。</w:t>
      </w:r>
    </w:p>
    <w:p w14:paraId="0075C132">
      <w:pPr>
        <w:pStyle w:val="13"/>
        <w:snapToGrid w:val="0"/>
        <w:spacing w:beforeLines="0" w:afterLines="0" w:line="360" w:lineRule="auto"/>
        <w:ind w:firstLine="472" w:firstLineChars="196"/>
        <w:outlineLvl w:val="1"/>
        <w:rPr>
          <w:rFonts w:hint="eastAsia" w:hAnsi="宋体"/>
          <w:b/>
          <w:bCs/>
          <w:sz w:val="24"/>
          <w:highlight w:val="none"/>
        </w:rPr>
      </w:pPr>
      <w:r>
        <w:rPr>
          <w:rFonts w:hAnsi="宋体"/>
          <w:b/>
          <w:bCs/>
          <w:sz w:val="24"/>
          <w:highlight w:val="none"/>
        </w:rPr>
        <w:t>（九）质疑和投诉</w:t>
      </w:r>
    </w:p>
    <w:p w14:paraId="724FE86C">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sz w:val="24"/>
          <w:highlight w:val="none"/>
        </w:rPr>
        <w:t>以书面形式向采购人、采购代理机构提出质疑</w:t>
      </w:r>
      <w:r>
        <w:rPr>
          <w:rFonts w:hint="eastAsia" w:hAnsi="宋体"/>
          <w:sz w:val="24"/>
          <w:highlight w:val="none"/>
        </w:rPr>
        <w:t>，并电话联系代理公司，由代理公司书面回复“已知悉”，否则代理公司有权不予认可该质疑</w:t>
      </w:r>
      <w:r>
        <w:rPr>
          <w:rFonts w:hAnsi="宋体"/>
          <w:sz w:val="24"/>
          <w:highlight w:val="none"/>
        </w:rPr>
        <w:t>。</w:t>
      </w:r>
    </w:p>
    <w:p w14:paraId="341EA0B9">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供应商在法定质疑期内一次性提出针对同一采购程序环节的质疑。</w:t>
      </w:r>
    </w:p>
    <w:p w14:paraId="6C8D6810">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0A7468A9">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2.供应商提出质疑应当提交质疑函和必要的证明材料。质疑函应当包括下列内容：</w:t>
      </w:r>
    </w:p>
    <w:p w14:paraId="5EE71E19">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1）供应商的姓名或者名称、地址、邮编、联系人及联系电话；</w:t>
      </w:r>
    </w:p>
    <w:p w14:paraId="141FE199">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2）质疑项目的名称、编号；</w:t>
      </w:r>
    </w:p>
    <w:p w14:paraId="1E68B221">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3）具体、明确的质疑事项和与质疑事项相关的请求；</w:t>
      </w:r>
    </w:p>
    <w:p w14:paraId="70D90D0C">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4）事实依据；</w:t>
      </w:r>
    </w:p>
    <w:p w14:paraId="181AE931">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5）必要的法律依据；</w:t>
      </w:r>
    </w:p>
    <w:p w14:paraId="103A86E4">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6）提出质疑的日期。</w:t>
      </w:r>
    </w:p>
    <w:p w14:paraId="4BBAA647">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3.投诉人提起投诉应当符合下列条件：</w:t>
      </w:r>
    </w:p>
    <w:p w14:paraId="19CAD51E">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1）提起投诉前已依法进行质疑；</w:t>
      </w:r>
    </w:p>
    <w:p w14:paraId="23C85FBF">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2）投诉书内容符合本办法的规定；</w:t>
      </w:r>
    </w:p>
    <w:p w14:paraId="12C95BEB">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3）在投诉有效期限内提起投诉；</w:t>
      </w:r>
    </w:p>
    <w:p w14:paraId="5B2DEAFB">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4）同一投诉事项未经财政部门投诉处理；</w:t>
      </w:r>
    </w:p>
    <w:p w14:paraId="2FCBE60E">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5）财政部规定的其他条件。</w:t>
      </w:r>
    </w:p>
    <w:p w14:paraId="74132794">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4.投诉人投诉时，应当提交投诉书和必要的证明材料，并按照被投诉采购人、采购代理机构和与投诉事项有关的供应商数量提供投诉书的副本。投诉书应当包括下列内容：</w:t>
      </w:r>
    </w:p>
    <w:p w14:paraId="45CE5C76">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1）投诉人和被投诉人的姓名或者名称、通讯地址、邮编、联系人及联系电话；</w:t>
      </w:r>
    </w:p>
    <w:p w14:paraId="62B2F326">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2）质疑和质疑答复情况说明及相关证明材料；</w:t>
      </w:r>
    </w:p>
    <w:p w14:paraId="34BFA547">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3）具体、明确的投诉事项和与投诉事项相关的投诉请求；</w:t>
      </w:r>
    </w:p>
    <w:p w14:paraId="4FE6DF3D">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4）事实依据；</w:t>
      </w:r>
    </w:p>
    <w:p w14:paraId="49C88575">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5）法律依据；</w:t>
      </w:r>
    </w:p>
    <w:p w14:paraId="0A7C3E5A">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6）提起投诉的日期。</w:t>
      </w:r>
    </w:p>
    <w:p w14:paraId="7EA9CB99">
      <w:pPr>
        <w:pStyle w:val="13"/>
        <w:snapToGrid w:val="0"/>
        <w:spacing w:beforeLines="0" w:afterLines="0" w:line="360" w:lineRule="auto"/>
        <w:ind w:left="2" w:leftChars="1" w:firstLine="480" w:firstLineChars="200"/>
        <w:rPr>
          <w:rFonts w:hint="eastAsia" w:hAnsi="宋体"/>
          <w:sz w:val="24"/>
          <w:highlight w:val="none"/>
        </w:rPr>
      </w:pPr>
      <w:r>
        <w:rPr>
          <w:rFonts w:hAnsi="宋体"/>
          <w:sz w:val="24"/>
          <w:highlight w:val="none"/>
        </w:rPr>
        <w:t>质疑供应商对采购人、采购代理机构的答复不满意，或者采购人、采购代理机构未在规定时间内作出答复的，可以在答复期满后15个工作日内向本办法第六条规定的财政部门提起投诉。</w:t>
      </w:r>
    </w:p>
    <w:p w14:paraId="02DAFE1B">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17F7A7FC">
      <w:pPr>
        <w:pStyle w:val="13"/>
        <w:snapToGrid w:val="0"/>
        <w:spacing w:beforeLines="0" w:afterLines="0" w:line="360" w:lineRule="auto"/>
        <w:ind w:left="2" w:leftChars="1" w:firstLine="480" w:firstLineChars="200"/>
        <w:rPr>
          <w:rFonts w:hint="eastAsia" w:hAnsi="宋体"/>
          <w:sz w:val="24"/>
          <w:highlight w:val="none"/>
        </w:rPr>
      </w:pPr>
      <w:r>
        <w:rPr>
          <w:rFonts w:hint="eastAsia" w:hAnsi="宋体"/>
          <w:sz w:val="24"/>
          <w:highlight w:val="none"/>
        </w:rPr>
        <w:t>5.质疑函须采用财政部发布的政府采购供应商质疑函范本（参考样式可从</w:t>
      </w:r>
      <w:r>
        <w:rPr>
          <w:rFonts w:hAnsi="宋体"/>
          <w:sz w:val="24"/>
          <w:highlight w:val="none"/>
        </w:rPr>
        <w:t>浙江政府采购网下载专区下载</w:t>
      </w:r>
      <w:r>
        <w:rPr>
          <w:rFonts w:hint="eastAsia" w:hAnsi="宋体"/>
          <w:sz w:val="24"/>
          <w:highlight w:val="none"/>
        </w:rPr>
        <w:t>），否则采购代理机构有权要求质疑供应商改正后重新提出。</w:t>
      </w:r>
    </w:p>
    <w:p w14:paraId="5689BE1A">
      <w:pPr>
        <w:pStyle w:val="13"/>
        <w:snapToGrid w:val="0"/>
        <w:spacing w:beforeLines="0" w:afterLines="0" w:line="360" w:lineRule="auto"/>
        <w:ind w:firstLine="472" w:firstLineChars="196"/>
        <w:outlineLvl w:val="0"/>
        <w:rPr>
          <w:rFonts w:hint="eastAsia" w:hAnsi="宋体"/>
          <w:b/>
          <w:sz w:val="24"/>
          <w:highlight w:val="none"/>
        </w:rPr>
      </w:pPr>
      <w:r>
        <w:rPr>
          <w:rFonts w:hAnsi="宋体"/>
          <w:b/>
          <w:sz w:val="24"/>
          <w:highlight w:val="none"/>
        </w:rPr>
        <w:t>二  招标文件</w:t>
      </w:r>
    </w:p>
    <w:p w14:paraId="4FA0194C">
      <w:pPr>
        <w:snapToGrid w:val="0"/>
        <w:spacing w:line="360" w:lineRule="auto"/>
        <w:ind w:firstLine="472" w:firstLineChars="196"/>
        <w:jc w:val="left"/>
        <w:rPr>
          <w:rFonts w:hint="eastAsia" w:ascii="宋体" w:hAnsi="宋体"/>
          <w:b/>
          <w:sz w:val="24"/>
          <w:highlight w:val="none"/>
        </w:rPr>
      </w:pPr>
      <w:r>
        <w:rPr>
          <w:rFonts w:hint="eastAsia" w:ascii="宋体" w:hAnsi="宋体"/>
          <w:b/>
          <w:sz w:val="24"/>
          <w:highlight w:val="none"/>
        </w:rPr>
        <w:t>（一）招标文件的构成。本招标文件由以下部分组成：</w:t>
      </w:r>
    </w:p>
    <w:p w14:paraId="35241E14">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招标公告</w:t>
      </w:r>
    </w:p>
    <w:p w14:paraId="7A08996A">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招标需求</w:t>
      </w:r>
    </w:p>
    <w:p w14:paraId="3392CFFA">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投标人须知</w:t>
      </w:r>
    </w:p>
    <w:p w14:paraId="613DB72A">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评标办法及标准</w:t>
      </w:r>
    </w:p>
    <w:p w14:paraId="19F0FDC5">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合同主要条款</w:t>
      </w:r>
    </w:p>
    <w:p w14:paraId="5424A634">
      <w:pPr>
        <w:snapToGrid w:val="0"/>
        <w:spacing w:line="360" w:lineRule="auto"/>
        <w:ind w:firstLine="480" w:firstLineChars="200"/>
        <w:jc w:val="left"/>
        <w:rPr>
          <w:rFonts w:hint="eastAsia"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投标文件格式</w:t>
      </w:r>
    </w:p>
    <w:p w14:paraId="73863F68">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7.本项目</w:t>
      </w:r>
      <w:r>
        <w:rPr>
          <w:rFonts w:ascii="宋体" w:hAnsi="宋体"/>
          <w:sz w:val="24"/>
          <w:highlight w:val="none"/>
        </w:rPr>
        <w:t>招标文件</w:t>
      </w:r>
      <w:r>
        <w:rPr>
          <w:rFonts w:hint="eastAsia" w:ascii="宋体" w:hAnsi="宋体"/>
          <w:sz w:val="24"/>
          <w:highlight w:val="none"/>
        </w:rPr>
        <w:t>的</w:t>
      </w:r>
      <w:r>
        <w:rPr>
          <w:rFonts w:ascii="宋体" w:hAnsi="宋体"/>
          <w:sz w:val="24"/>
          <w:highlight w:val="none"/>
        </w:rPr>
        <w:t>澄清、答复、修改、补充的内容</w:t>
      </w:r>
    </w:p>
    <w:p w14:paraId="60C62151">
      <w:pPr>
        <w:snapToGrid w:val="0"/>
        <w:spacing w:line="360" w:lineRule="auto"/>
        <w:ind w:firstLine="472" w:firstLineChars="196"/>
        <w:jc w:val="left"/>
        <w:rPr>
          <w:rFonts w:hint="eastAsia" w:ascii="宋体" w:hAnsi="宋体"/>
          <w:b/>
          <w:sz w:val="24"/>
          <w:highlight w:val="none"/>
        </w:rPr>
      </w:pPr>
      <w:r>
        <w:rPr>
          <w:rFonts w:hint="eastAsia" w:ascii="宋体" w:hAnsi="宋体"/>
          <w:b/>
          <w:sz w:val="24"/>
          <w:highlight w:val="none"/>
        </w:rPr>
        <w:t>（二）投标人的风险</w:t>
      </w:r>
    </w:p>
    <w:p w14:paraId="594099D7">
      <w:pPr>
        <w:pStyle w:val="22"/>
        <w:spacing w:line="360" w:lineRule="auto"/>
        <w:ind w:left="0" w:leftChars="0" w:firstLine="480" w:firstLineChars="200"/>
        <w:rPr>
          <w:rFonts w:ascii="宋体"/>
          <w:sz w:val="24"/>
          <w:szCs w:val="24"/>
          <w:highlight w:val="none"/>
        </w:rPr>
      </w:pPr>
      <w:r>
        <w:rPr>
          <w:rFonts w:hint="eastAsia" w:ascii="宋体"/>
          <w:sz w:val="24"/>
          <w:szCs w:val="24"/>
          <w:highlight w:val="none"/>
        </w:rPr>
        <w:t>投标人没有按照招标文件要求提供全部资料，或者投标人没有对招标文件在各方面作出实质性响应是投标人的风险，并可能导致其投标被拒绝。</w:t>
      </w:r>
    </w:p>
    <w:p w14:paraId="5A77700D">
      <w:pPr>
        <w:pStyle w:val="6"/>
        <w:numPr>
          <w:ilvl w:val="0"/>
          <w:numId w:val="0"/>
        </w:numPr>
        <w:tabs>
          <w:tab w:val="left" w:pos="720"/>
        </w:tabs>
        <w:snapToGrid w:val="0"/>
        <w:spacing w:line="360" w:lineRule="auto"/>
        <w:ind w:left="413"/>
        <w:rPr>
          <w:rFonts w:hint="eastAsia" w:ascii="宋体" w:hAnsi="宋体"/>
          <w:b/>
          <w:highlight w:val="none"/>
        </w:rPr>
      </w:pPr>
      <w:r>
        <w:rPr>
          <w:rFonts w:hint="eastAsia" w:ascii="宋体" w:hAnsi="宋体"/>
          <w:b/>
          <w:highlight w:val="none"/>
        </w:rPr>
        <w:t>（三）招标文件的澄清与修改</w:t>
      </w:r>
    </w:p>
    <w:p w14:paraId="3D57D2DD">
      <w:pPr>
        <w:pStyle w:val="13"/>
        <w:snapToGrid w:val="0"/>
        <w:spacing w:beforeLines="0" w:afterLines="0" w:line="360" w:lineRule="auto"/>
        <w:ind w:firstLine="480" w:firstLineChars="200"/>
        <w:rPr>
          <w:rFonts w:hint="eastAsia" w:hAnsi="宋体"/>
          <w:sz w:val="24"/>
          <w:highlight w:val="none"/>
        </w:rPr>
      </w:pPr>
      <w:r>
        <w:rPr>
          <w:rFonts w:hAnsi="宋体"/>
          <w:sz w:val="24"/>
          <w:highlight w:val="none"/>
        </w:rPr>
        <w:t>1</w:t>
      </w:r>
      <w:r>
        <w:rPr>
          <w:rFonts w:hint="eastAsia" w:hAnsi="宋体"/>
          <w:sz w:val="24"/>
          <w:highlight w:val="none"/>
        </w:rPr>
        <w:t>.</w:t>
      </w:r>
      <w:r>
        <w:rPr>
          <w:rFonts w:hAnsi="宋体"/>
          <w:bCs/>
          <w:sz w:val="24"/>
          <w:highlight w:val="none"/>
        </w:rPr>
        <w:t>投标人应认真阅读本招标文件，发现其中有误或有不合理要求的，投标人必须在</w:t>
      </w:r>
      <w:r>
        <w:rPr>
          <w:rFonts w:hint="eastAsia" w:hAnsi="宋体"/>
          <w:bCs/>
          <w:sz w:val="24"/>
          <w:highlight w:val="none"/>
          <w:lang w:eastAsia="zh-CN"/>
        </w:rPr>
        <w:t>2025年</w:t>
      </w:r>
      <w:r>
        <w:rPr>
          <w:rFonts w:hint="eastAsia" w:hAnsi="宋体"/>
          <w:bCs/>
          <w:sz w:val="24"/>
          <w:highlight w:val="none"/>
        </w:rPr>
        <w:t xml:space="preserve"> 月 日17：00</w:t>
      </w:r>
      <w:r>
        <w:rPr>
          <w:rFonts w:hAnsi="宋体"/>
          <w:bCs/>
          <w:sz w:val="24"/>
          <w:highlight w:val="none"/>
        </w:rPr>
        <w:t>前以书面形式要求招标采购单位澄清。采购代理机构对已发出的招</w:t>
      </w:r>
      <w:r>
        <w:rPr>
          <w:rFonts w:hAnsi="宋体"/>
          <w:sz w:val="24"/>
          <w:highlight w:val="none"/>
        </w:rPr>
        <w:t>标文件进行必要澄清、答复、修改或补充的，应当在招标文件要求提交投标文件截止时间五日前，在财政部门指定的政府采购信息发布媒体上发布更正公告，并以书面形式通知所有招标文件收受人。</w:t>
      </w:r>
    </w:p>
    <w:p w14:paraId="43CA8B44">
      <w:pPr>
        <w:pStyle w:val="13"/>
        <w:snapToGrid w:val="0"/>
        <w:spacing w:beforeLines="0" w:afterLines="0" w:line="360" w:lineRule="auto"/>
        <w:ind w:firstLine="480" w:firstLineChars="200"/>
        <w:rPr>
          <w:rFonts w:hint="eastAsia" w:hAnsi="宋体"/>
          <w:sz w:val="24"/>
          <w:highlight w:val="none"/>
        </w:rPr>
      </w:pPr>
      <w:r>
        <w:rPr>
          <w:rFonts w:hAnsi="宋体"/>
          <w:sz w:val="24"/>
          <w:highlight w:val="none"/>
        </w:rPr>
        <w:t>2</w:t>
      </w:r>
      <w:r>
        <w:rPr>
          <w:rFonts w:hint="eastAsia" w:hAnsi="宋体"/>
          <w:sz w:val="24"/>
          <w:highlight w:val="none"/>
        </w:rPr>
        <w:t>.</w:t>
      </w:r>
      <w:r>
        <w:rPr>
          <w:rFonts w:hAnsi="宋体"/>
          <w:sz w:val="24"/>
          <w:highlight w:val="none"/>
        </w:rPr>
        <w:t>采购代理机构必须以书面形式答复投标人要求澄清的问题，并将不包含问题来源的答复书面通知所有购买招标文件的投标人；除书面答复以外的其他澄清方式及澄清内容均无效。</w:t>
      </w:r>
    </w:p>
    <w:p w14:paraId="7843687B">
      <w:pPr>
        <w:pStyle w:val="13"/>
        <w:snapToGrid w:val="0"/>
        <w:spacing w:beforeLines="0" w:afterLines="0" w:line="360" w:lineRule="auto"/>
        <w:ind w:firstLine="480" w:firstLineChars="200"/>
        <w:rPr>
          <w:rFonts w:hint="eastAsia" w:hAnsi="宋体"/>
          <w:sz w:val="24"/>
          <w:highlight w:val="none"/>
        </w:rPr>
      </w:pPr>
      <w:r>
        <w:rPr>
          <w:rFonts w:hint="eastAsia" w:hAnsi="宋体"/>
          <w:sz w:val="24"/>
          <w:highlight w:val="none"/>
        </w:rPr>
        <w:t>3.</w:t>
      </w:r>
      <w:r>
        <w:rPr>
          <w:rFonts w:hAnsi="宋体"/>
          <w:sz w:val="24"/>
          <w:highlight w:val="none"/>
        </w:rPr>
        <w:t>招标文件澄清、答复、修改、补充的内容为招标文件的组成部分。当招标文件与招标文件的答复、澄清、修改、补充通知就同一内容的表述不一致时，以最后发出的书面文件为准。</w:t>
      </w:r>
    </w:p>
    <w:p w14:paraId="06A05FCA">
      <w:pPr>
        <w:pStyle w:val="13"/>
        <w:snapToGrid w:val="0"/>
        <w:spacing w:beforeLines="0" w:afterLines="0" w:line="360" w:lineRule="auto"/>
        <w:ind w:firstLine="480" w:firstLineChars="200"/>
        <w:rPr>
          <w:rFonts w:hint="eastAsia" w:hAnsi="宋体"/>
          <w:sz w:val="24"/>
          <w:highlight w:val="none"/>
        </w:rPr>
      </w:pPr>
      <w:r>
        <w:rPr>
          <w:rFonts w:hint="eastAsia" w:hAnsi="宋体"/>
          <w:sz w:val="24"/>
          <w:highlight w:val="none"/>
        </w:rPr>
        <w:t>4.</w:t>
      </w:r>
      <w:r>
        <w:rPr>
          <w:rFonts w:hAnsi="宋体"/>
          <w:sz w:val="24"/>
          <w:highlight w:val="none"/>
        </w:rPr>
        <w:t>招标文件的澄清、答复、修改或补充都应该通过本代理机构以法定形式发布，采购人非通过本机构，不得擅自澄清、答复、修改或补充招标文件。</w:t>
      </w:r>
    </w:p>
    <w:p w14:paraId="7C40ADB8">
      <w:pPr>
        <w:pStyle w:val="13"/>
        <w:snapToGrid w:val="0"/>
        <w:spacing w:beforeLines="0" w:afterLines="0" w:line="360" w:lineRule="auto"/>
        <w:ind w:firstLine="472" w:firstLineChars="196"/>
        <w:outlineLvl w:val="1"/>
        <w:rPr>
          <w:rFonts w:hint="eastAsia" w:hAnsi="宋体"/>
          <w:b/>
          <w:sz w:val="24"/>
          <w:highlight w:val="none"/>
        </w:rPr>
      </w:pPr>
      <w:r>
        <w:rPr>
          <w:rFonts w:hAnsi="宋体"/>
          <w:b/>
          <w:sz w:val="24"/>
          <w:highlight w:val="none"/>
        </w:rPr>
        <w:t>三、投标文件的编制</w:t>
      </w:r>
    </w:p>
    <w:p w14:paraId="25D709E2">
      <w:pPr>
        <w:snapToGrid w:val="0"/>
        <w:spacing w:line="360" w:lineRule="auto"/>
        <w:ind w:firstLine="472" w:firstLineChars="196"/>
        <w:jc w:val="left"/>
        <w:outlineLvl w:val="0"/>
        <w:rPr>
          <w:rFonts w:hint="eastAsia" w:ascii="宋体" w:hAnsi="宋体"/>
          <w:b/>
          <w:sz w:val="24"/>
          <w:highlight w:val="none"/>
        </w:rPr>
      </w:pPr>
      <w:r>
        <w:rPr>
          <w:rFonts w:hint="eastAsia" w:ascii="宋体" w:hAnsi="宋体"/>
          <w:b/>
          <w:sz w:val="24"/>
          <w:highlight w:val="none"/>
        </w:rPr>
        <w:t>（一）投标文件的组成</w:t>
      </w:r>
    </w:p>
    <w:p w14:paraId="461D6801">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投标文件由</w:t>
      </w:r>
      <w:r>
        <w:rPr>
          <w:rFonts w:hint="eastAsia" w:ascii="宋体" w:hAnsi="宋体" w:cs="宋体"/>
          <w:sz w:val="24"/>
          <w:highlight w:val="none"/>
        </w:rPr>
        <w:t>《</w:t>
      </w:r>
      <w:r>
        <w:rPr>
          <w:rFonts w:hint="eastAsia" w:ascii="宋体" w:hAnsi="宋体"/>
          <w:sz w:val="24"/>
          <w:highlight w:val="none"/>
        </w:rPr>
        <w:t>资格文件</w:t>
      </w:r>
      <w:r>
        <w:rPr>
          <w:rFonts w:hint="eastAsia" w:ascii="宋体" w:hAnsi="宋体" w:cs="宋体"/>
          <w:sz w:val="24"/>
          <w:highlight w:val="none"/>
        </w:rPr>
        <w:t>》</w:t>
      </w:r>
      <w:r>
        <w:rPr>
          <w:rFonts w:hint="eastAsia" w:ascii="宋体" w:hAnsi="宋体"/>
          <w:sz w:val="24"/>
          <w:highlight w:val="none"/>
        </w:rPr>
        <w:t>、</w:t>
      </w:r>
      <w:r>
        <w:rPr>
          <w:rFonts w:hint="eastAsia" w:ascii="宋体" w:hAnsi="宋体" w:cs="宋体"/>
          <w:sz w:val="24"/>
          <w:highlight w:val="none"/>
        </w:rPr>
        <w:t>《</w:t>
      </w:r>
      <w:r>
        <w:rPr>
          <w:rFonts w:hint="eastAsia" w:ascii="宋体" w:hAnsi="宋体"/>
          <w:sz w:val="24"/>
          <w:highlight w:val="none"/>
        </w:rPr>
        <w:t>技术/资信/商务文件</w:t>
      </w:r>
      <w:r>
        <w:rPr>
          <w:rFonts w:hint="eastAsia" w:ascii="宋体" w:hAnsi="宋体" w:cs="宋体"/>
          <w:sz w:val="24"/>
          <w:highlight w:val="none"/>
        </w:rPr>
        <w:t>》</w:t>
      </w:r>
      <w:r>
        <w:rPr>
          <w:rFonts w:hint="eastAsia" w:ascii="宋体" w:hAnsi="宋体"/>
          <w:sz w:val="24"/>
          <w:highlight w:val="none"/>
        </w:rPr>
        <w:t>、</w:t>
      </w:r>
      <w:r>
        <w:rPr>
          <w:rFonts w:hint="eastAsia" w:ascii="宋体" w:hAnsi="宋体" w:cs="宋体"/>
          <w:sz w:val="24"/>
          <w:highlight w:val="none"/>
        </w:rPr>
        <w:t>《</w:t>
      </w:r>
      <w:r>
        <w:rPr>
          <w:rFonts w:hint="eastAsia" w:ascii="宋体" w:hAnsi="宋体"/>
          <w:sz w:val="24"/>
          <w:highlight w:val="none"/>
        </w:rPr>
        <w:t>投标报价</w:t>
      </w:r>
      <w:r>
        <w:rPr>
          <w:rFonts w:hint="eastAsia" w:ascii="宋体" w:hAnsi="宋体" w:cs="宋体"/>
          <w:sz w:val="24"/>
          <w:highlight w:val="none"/>
        </w:rPr>
        <w:t>》</w:t>
      </w:r>
      <w:r>
        <w:rPr>
          <w:rFonts w:hint="eastAsia" w:ascii="宋体" w:hAnsi="宋体"/>
          <w:sz w:val="24"/>
          <w:highlight w:val="none"/>
        </w:rPr>
        <w:t>文件三部分组成。（电子投标文件中所盖公章均采用CA签章）。</w:t>
      </w:r>
    </w:p>
    <w:p w14:paraId="21EEC7CA">
      <w:pPr>
        <w:snapToGrid w:val="0"/>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1.资格文件（</w:t>
      </w:r>
      <w:r>
        <w:rPr>
          <w:rFonts w:hint="eastAsia" w:ascii="宋体" w:hAnsi="宋体"/>
          <w:b/>
          <w:sz w:val="24"/>
          <w:highlight w:val="none"/>
        </w:rPr>
        <w:t>如</w:t>
      </w:r>
      <w:r>
        <w:rPr>
          <w:rFonts w:ascii="宋体" w:hAnsi="宋体"/>
          <w:b/>
          <w:sz w:val="24"/>
          <w:highlight w:val="none"/>
        </w:rPr>
        <w:t>组成联合体</w:t>
      </w:r>
      <w:r>
        <w:rPr>
          <w:rFonts w:hint="eastAsia" w:ascii="宋体" w:hAnsi="宋体"/>
          <w:b/>
          <w:sz w:val="24"/>
          <w:highlight w:val="none"/>
        </w:rPr>
        <w:t>投标</w:t>
      </w:r>
      <w:r>
        <w:rPr>
          <w:rFonts w:ascii="宋体" w:hAnsi="宋体"/>
          <w:b/>
          <w:sz w:val="24"/>
          <w:highlight w:val="none"/>
        </w:rPr>
        <w:t>的，</w:t>
      </w:r>
      <w:r>
        <w:rPr>
          <w:rFonts w:hint="eastAsia" w:ascii="宋体" w:hAnsi="宋体"/>
          <w:b/>
          <w:sz w:val="24"/>
          <w:highlight w:val="none"/>
        </w:rPr>
        <w:t>需提供</w:t>
      </w:r>
      <w:r>
        <w:rPr>
          <w:rFonts w:ascii="宋体" w:hAnsi="宋体"/>
          <w:b/>
          <w:sz w:val="24"/>
          <w:highlight w:val="none"/>
        </w:rPr>
        <w:t>联合体各方</w:t>
      </w:r>
      <w:r>
        <w:rPr>
          <w:rFonts w:hint="eastAsia" w:ascii="宋体" w:hAnsi="宋体"/>
          <w:b/>
          <w:sz w:val="24"/>
          <w:highlight w:val="none"/>
        </w:rPr>
        <w:t>资料）</w:t>
      </w:r>
    </w:p>
    <w:p w14:paraId="47BA65BA">
      <w:pPr>
        <w:spacing w:line="360" w:lineRule="auto"/>
        <w:ind w:firstLine="470" w:firstLineChars="196"/>
        <w:jc w:val="left"/>
        <w:rPr>
          <w:rFonts w:hint="eastAsia" w:ascii="宋体" w:hAnsi="宋体"/>
          <w:sz w:val="24"/>
          <w:highlight w:val="none"/>
        </w:rPr>
      </w:pPr>
      <w:r>
        <w:rPr>
          <w:rFonts w:hint="eastAsia" w:ascii="宋体" w:hAnsi="宋体"/>
          <w:sz w:val="24"/>
          <w:highlight w:val="none"/>
        </w:rPr>
        <w:t>（1）投标声明书（</w:t>
      </w:r>
      <w:r>
        <w:rPr>
          <w:rFonts w:ascii="宋体" w:hAnsi="宋体"/>
          <w:sz w:val="24"/>
          <w:highlight w:val="none"/>
        </w:rPr>
        <w:t>格式见附件</w:t>
      </w:r>
      <w:r>
        <w:rPr>
          <w:rFonts w:hint="eastAsia" w:ascii="宋体" w:hAnsi="宋体"/>
          <w:sz w:val="24"/>
          <w:highlight w:val="none"/>
        </w:rPr>
        <w:t>）</w:t>
      </w:r>
      <w:r>
        <w:rPr>
          <w:rFonts w:ascii="宋体" w:hAnsi="宋体"/>
          <w:sz w:val="24"/>
          <w:highlight w:val="none"/>
        </w:rPr>
        <w:t>；</w:t>
      </w:r>
    </w:p>
    <w:p w14:paraId="7D3A6A8F">
      <w:pPr>
        <w:spacing w:line="360" w:lineRule="auto"/>
        <w:ind w:firstLine="470" w:firstLineChars="196"/>
        <w:jc w:val="left"/>
        <w:rPr>
          <w:rFonts w:hint="eastAsia" w:ascii="宋体" w:hAnsi="宋体"/>
          <w:sz w:val="24"/>
          <w:highlight w:val="none"/>
        </w:rPr>
      </w:pPr>
      <w:r>
        <w:rPr>
          <w:rFonts w:hint="eastAsia" w:ascii="宋体" w:hAnsi="宋体"/>
          <w:sz w:val="24"/>
          <w:highlight w:val="none"/>
        </w:rPr>
        <w:t>（2）投标人基本情况介绍；</w:t>
      </w:r>
    </w:p>
    <w:p w14:paraId="418203AA">
      <w:pPr>
        <w:spacing w:line="360" w:lineRule="auto"/>
        <w:ind w:firstLine="470" w:firstLineChars="196"/>
        <w:jc w:val="left"/>
        <w:rPr>
          <w:sz w:val="24"/>
          <w:highlight w:val="none"/>
        </w:rPr>
      </w:pPr>
      <w:r>
        <w:rPr>
          <w:rFonts w:hint="eastAsia" w:ascii="宋体" w:hAnsi="宋体"/>
          <w:sz w:val="24"/>
          <w:highlight w:val="none"/>
        </w:rPr>
        <w:t>（3）</w:t>
      </w:r>
      <w:r>
        <w:rPr>
          <w:rFonts w:ascii="宋体" w:hAnsi="宋体"/>
          <w:sz w:val="24"/>
          <w:highlight w:val="none"/>
        </w:rPr>
        <w:t>法定代表人授权委托书</w:t>
      </w:r>
      <w:r>
        <w:rPr>
          <w:rFonts w:hint="eastAsia" w:ascii="宋体" w:hAnsi="宋体"/>
          <w:sz w:val="24"/>
          <w:highlight w:val="none"/>
        </w:rPr>
        <w:t>（</w:t>
      </w:r>
      <w:r>
        <w:rPr>
          <w:rFonts w:ascii="宋体" w:hAnsi="宋体"/>
          <w:sz w:val="24"/>
          <w:highlight w:val="none"/>
        </w:rPr>
        <w:t>格式见附件</w:t>
      </w:r>
      <w:r>
        <w:rPr>
          <w:rFonts w:hint="eastAsia" w:ascii="宋体" w:hAnsi="宋体"/>
          <w:sz w:val="24"/>
          <w:highlight w:val="none"/>
        </w:rPr>
        <w:t>）</w:t>
      </w:r>
      <w:r>
        <w:rPr>
          <w:rFonts w:ascii="宋体" w:hAnsi="宋体"/>
          <w:sz w:val="24"/>
          <w:highlight w:val="none"/>
        </w:rPr>
        <w:t>及授权代理人社保证明复印件（社保机构出具的由本单位或分公司为其缴纳的</w:t>
      </w:r>
      <w:r>
        <w:rPr>
          <w:rFonts w:hint="eastAsia" w:ascii="宋体" w:hAnsi="宋体" w:cs="宋体"/>
          <w:kern w:val="0"/>
          <w:sz w:val="24"/>
          <w:highlight w:val="none"/>
        </w:rPr>
        <w:t>最近一个月</w:t>
      </w:r>
      <w:r>
        <w:rPr>
          <w:rFonts w:ascii="宋体" w:hAnsi="宋体"/>
          <w:sz w:val="24"/>
          <w:highlight w:val="none"/>
        </w:rPr>
        <w:t>的社保证明）</w:t>
      </w:r>
      <w:r>
        <w:rPr>
          <w:rFonts w:hint="eastAsia" w:ascii="宋体" w:hAnsi="宋体"/>
          <w:sz w:val="24"/>
          <w:highlight w:val="none"/>
        </w:rPr>
        <w:t>（如</w:t>
      </w:r>
      <w:r>
        <w:rPr>
          <w:rFonts w:ascii="Calibri" w:hAnsi="Calibri"/>
          <w:snapToGrid w:val="0"/>
          <w:sz w:val="24"/>
          <w:highlight w:val="none"/>
        </w:rPr>
        <w:t>组成联合体</w:t>
      </w:r>
      <w:r>
        <w:rPr>
          <w:rFonts w:hint="eastAsia"/>
          <w:snapToGrid w:val="0"/>
          <w:sz w:val="24"/>
          <w:highlight w:val="none"/>
        </w:rPr>
        <w:t>投标</w:t>
      </w:r>
      <w:r>
        <w:rPr>
          <w:rFonts w:ascii="Calibri" w:hAnsi="Calibri"/>
          <w:snapToGrid w:val="0"/>
          <w:sz w:val="24"/>
          <w:highlight w:val="none"/>
        </w:rPr>
        <w:t>的，</w:t>
      </w:r>
      <w:r>
        <w:rPr>
          <w:rFonts w:hint="eastAsia" w:ascii="宋体" w:hAnsi="宋体"/>
          <w:sz w:val="24"/>
          <w:highlight w:val="none"/>
        </w:rPr>
        <w:t>联合体各方各提交一份联合体主办人授权书）；</w:t>
      </w:r>
    </w:p>
    <w:p w14:paraId="51464928">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（4）近三个月依法缴纳税收和社保费的证明【税费凭证，或者依法缴纳税费或依法免缴税费的证明】（</w:t>
      </w:r>
      <w:r>
        <w:rPr>
          <w:rFonts w:hint="eastAsia" w:ascii="宋体" w:hAnsi="宋体"/>
          <w:bCs/>
          <w:sz w:val="24"/>
          <w:highlight w:val="none"/>
        </w:rPr>
        <w:t>复印件各一份</w:t>
      </w:r>
      <w:r>
        <w:rPr>
          <w:rFonts w:hint="eastAsia" w:ascii="宋体" w:hAnsi="宋体"/>
          <w:sz w:val="24"/>
          <w:highlight w:val="none"/>
        </w:rPr>
        <w:t>）；</w:t>
      </w:r>
    </w:p>
    <w:p w14:paraId="1B8D0A41">
      <w:pPr>
        <w:spacing w:line="360" w:lineRule="auto"/>
        <w:ind w:firstLine="480" w:firstLineChars="200"/>
        <w:jc w:val="left"/>
        <w:rPr>
          <w:rFonts w:hint="eastAsia" w:ascii="宋体" w:hAnsi="宋体"/>
          <w:sz w:val="24"/>
          <w:highlight w:val="none"/>
        </w:rPr>
      </w:pPr>
      <w:r>
        <w:rPr>
          <w:rFonts w:hint="eastAsia" w:ascii="宋体" w:hAnsi="宋体"/>
          <w:sz w:val="24"/>
          <w:highlight w:val="none"/>
        </w:rPr>
        <w:t>（5）有效的营业执照副本（复印件一份）；</w:t>
      </w:r>
    </w:p>
    <w:p w14:paraId="31CDABE4">
      <w:pPr>
        <w:widowControl/>
        <w:spacing w:line="360" w:lineRule="auto"/>
        <w:ind w:right="60" w:firstLine="480" w:firstLineChars="200"/>
        <w:rPr>
          <w:rFonts w:hint="eastAsia" w:ascii="宋体" w:hAnsi="宋体" w:cs="宋体"/>
          <w:sz w:val="24"/>
          <w:highlight w:val="none"/>
        </w:rPr>
      </w:pPr>
      <w:r>
        <w:rPr>
          <w:rFonts w:hint="eastAsia" w:ascii="宋体" w:hAnsi="宋体" w:cs="宋体"/>
          <w:sz w:val="24"/>
          <w:highlight w:val="none"/>
        </w:rPr>
        <w:t>（6）近二年度（2022,2023年）企业的财务报表或银行资信证明（复印件一份）；</w:t>
      </w:r>
    </w:p>
    <w:p w14:paraId="0B1A1699">
      <w:pPr>
        <w:spacing w:line="360" w:lineRule="auto"/>
        <w:ind w:firstLine="470" w:firstLineChars="196"/>
        <w:rPr>
          <w:rFonts w:hint="eastAsia" w:ascii="宋体" w:hAnsi="宋体"/>
          <w:sz w:val="24"/>
          <w:highlight w:val="none"/>
        </w:rPr>
      </w:pPr>
      <w:r>
        <w:rPr>
          <w:rFonts w:hint="eastAsia" w:ascii="宋体" w:hAnsi="宋体" w:cs="Arial"/>
          <w:kern w:val="0"/>
          <w:sz w:val="24"/>
          <w:highlight w:val="none"/>
        </w:rPr>
        <w:t>（7）</w:t>
      </w:r>
      <w:r>
        <w:rPr>
          <w:rFonts w:hint="eastAsia" w:ascii="宋体" w:hAnsi="宋体"/>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42075CD2">
      <w:pPr>
        <w:widowControl/>
        <w:spacing w:line="360" w:lineRule="auto"/>
        <w:ind w:right="60" w:firstLine="480" w:firstLineChars="200"/>
        <w:rPr>
          <w:rFonts w:hint="eastAsia" w:ascii="宋体" w:hAnsi="宋体"/>
          <w:sz w:val="24"/>
          <w:highlight w:val="none"/>
        </w:rPr>
      </w:pPr>
      <w:r>
        <w:rPr>
          <w:rFonts w:hint="eastAsia" w:ascii="宋体" w:hAnsi="宋体"/>
          <w:sz w:val="24"/>
          <w:highlight w:val="none"/>
        </w:rPr>
        <w:t>（8）《中小企业声明函》（格式见附件），残疾人福利性单位需提供《残疾人福利性单位声明函》，监狱企业需提供省级以上监狱管理局、戒毒管理局（含新疆生产建设兵团）出具的属于监狱企业的证明文件；</w:t>
      </w:r>
    </w:p>
    <w:p w14:paraId="15951549">
      <w:pPr>
        <w:widowControl/>
        <w:spacing w:line="360" w:lineRule="auto"/>
        <w:ind w:right="60" w:firstLine="480" w:firstLineChars="200"/>
        <w:rPr>
          <w:rFonts w:hint="eastAsia" w:ascii="宋体" w:hAnsi="宋体"/>
          <w:sz w:val="24"/>
          <w:highlight w:val="none"/>
        </w:rPr>
      </w:pPr>
      <w:r>
        <w:rPr>
          <w:rFonts w:hint="eastAsia" w:ascii="宋体" w:hAnsi="宋体"/>
          <w:sz w:val="24"/>
          <w:highlight w:val="none"/>
        </w:rPr>
        <w:t>（9）联合体各方共同招标协议（如有，格式自拟）。</w:t>
      </w:r>
    </w:p>
    <w:p w14:paraId="037D3E19">
      <w:pPr>
        <w:spacing w:line="360" w:lineRule="auto"/>
        <w:ind w:firstLine="472" w:firstLineChars="196"/>
        <w:jc w:val="left"/>
        <w:rPr>
          <w:rFonts w:hint="eastAsia" w:ascii="宋体" w:hAnsi="宋体"/>
          <w:b/>
          <w:bCs/>
          <w:sz w:val="24"/>
          <w:highlight w:val="none"/>
        </w:rPr>
      </w:pPr>
      <w:r>
        <w:rPr>
          <w:rFonts w:hint="eastAsia" w:ascii="宋体" w:hAnsi="宋体"/>
          <w:b/>
          <w:sz w:val="24"/>
          <w:highlight w:val="none"/>
        </w:rPr>
        <w:t>2.</w:t>
      </w:r>
      <w:r>
        <w:rPr>
          <w:rFonts w:ascii="宋体" w:hAnsi="宋体"/>
          <w:b/>
          <w:bCs/>
          <w:sz w:val="24"/>
          <w:highlight w:val="none"/>
        </w:rPr>
        <w:t xml:space="preserve"> 技术文件</w:t>
      </w:r>
    </w:p>
    <w:p w14:paraId="3FA3EFA4">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系统设计方案；</w:t>
      </w:r>
    </w:p>
    <w:p w14:paraId="02788146">
      <w:pPr>
        <w:snapToGrid w:val="0"/>
        <w:spacing w:line="360" w:lineRule="auto"/>
        <w:ind w:firstLine="480" w:firstLineChars="200"/>
        <w:jc w:val="left"/>
        <w:rPr>
          <w:rFonts w:hint="eastAsia" w:hAnsi="宋体" w:cs="宋体"/>
          <w:sz w:val="24"/>
          <w:highlight w:val="none"/>
        </w:rPr>
      </w:pPr>
      <w:r>
        <w:rPr>
          <w:rFonts w:hint="eastAsia" w:ascii="宋体" w:hAnsi="宋体"/>
          <w:sz w:val="24"/>
          <w:highlight w:val="none"/>
        </w:rPr>
        <w:t>（</w:t>
      </w:r>
      <w:r>
        <w:rPr>
          <w:rFonts w:ascii="宋体" w:hAnsi="宋体"/>
          <w:sz w:val="24"/>
          <w:highlight w:val="none"/>
        </w:rPr>
        <w:t>2）</w:t>
      </w:r>
      <w:r>
        <w:rPr>
          <w:rFonts w:hint="eastAsia" w:hAnsi="宋体" w:cs="宋体"/>
          <w:sz w:val="24"/>
          <w:highlight w:val="none"/>
        </w:rPr>
        <w:t>运营咨询方案设计；</w:t>
      </w:r>
    </w:p>
    <w:p w14:paraId="6DD85E43">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项目实施方案</w:t>
      </w:r>
      <w:r>
        <w:rPr>
          <w:rFonts w:hint="eastAsia" w:ascii="宋体" w:hAnsi="宋体" w:cs="宋体"/>
          <w:kern w:val="0"/>
          <w:sz w:val="24"/>
          <w:highlight w:val="none"/>
        </w:rPr>
        <w:t>；</w:t>
      </w:r>
    </w:p>
    <w:p w14:paraId="77E1B908">
      <w:pPr>
        <w:snapToGrid w:val="0"/>
        <w:spacing w:line="360" w:lineRule="auto"/>
        <w:ind w:firstLine="480" w:firstLineChars="200"/>
        <w:jc w:val="left"/>
        <w:rPr>
          <w:rFonts w:hint="eastAsia" w:ascii="宋体" w:hAnsi="宋体"/>
          <w:sz w:val="24"/>
          <w:szCs w:val="20"/>
          <w:highlight w:val="none"/>
        </w:rPr>
      </w:pPr>
      <w:r>
        <w:rPr>
          <w:rFonts w:hint="eastAsia" w:ascii="宋体" w:hAnsi="宋体"/>
          <w:sz w:val="24"/>
          <w:highlight w:val="none"/>
        </w:rPr>
        <w:t>（4</w:t>
      </w:r>
      <w:r>
        <w:rPr>
          <w:rFonts w:ascii="宋体" w:hAnsi="宋体"/>
          <w:sz w:val="24"/>
          <w:highlight w:val="none"/>
        </w:rPr>
        <w:t>）技术响应表</w:t>
      </w:r>
      <w:r>
        <w:rPr>
          <w:rFonts w:hint="eastAsia" w:ascii="宋体" w:hAnsi="宋体" w:cs="宋体"/>
          <w:sz w:val="24"/>
          <w:highlight w:val="none"/>
        </w:rPr>
        <w:t>；</w:t>
      </w:r>
    </w:p>
    <w:p w14:paraId="6EC4AFA2">
      <w:pPr>
        <w:snapToGrid w:val="0"/>
        <w:spacing w:line="360" w:lineRule="auto"/>
        <w:ind w:firstLine="480" w:firstLineChars="200"/>
        <w:jc w:val="left"/>
        <w:rPr>
          <w:rFonts w:hint="eastAsia" w:ascii="宋体" w:hAnsi="宋体"/>
          <w:sz w:val="24"/>
          <w:szCs w:val="20"/>
          <w:highlight w:val="none"/>
        </w:rPr>
      </w:pPr>
      <w:r>
        <w:rPr>
          <w:rFonts w:hint="eastAsia" w:ascii="宋体" w:hAnsi="宋体"/>
          <w:sz w:val="24"/>
          <w:highlight w:val="none"/>
        </w:rPr>
        <w:t>（5</w:t>
      </w:r>
      <w:r>
        <w:rPr>
          <w:rFonts w:ascii="宋体" w:hAnsi="宋体"/>
          <w:sz w:val="24"/>
          <w:highlight w:val="none"/>
        </w:rPr>
        <w:t>）项目实施人员一览表</w:t>
      </w:r>
      <w:r>
        <w:rPr>
          <w:rFonts w:hint="eastAsia" w:ascii="宋体" w:hAnsi="宋体"/>
          <w:sz w:val="24"/>
          <w:highlight w:val="none"/>
        </w:rPr>
        <w:t>；</w:t>
      </w:r>
    </w:p>
    <w:p w14:paraId="307D4F20">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（6</w:t>
      </w:r>
      <w:r>
        <w:rPr>
          <w:rFonts w:ascii="宋体" w:hAnsi="宋体"/>
          <w:sz w:val="24"/>
          <w:highlight w:val="none"/>
        </w:rPr>
        <w:t>）投标人对本项目的合理化建议和改进措施</w:t>
      </w:r>
      <w:r>
        <w:rPr>
          <w:rFonts w:hint="eastAsia" w:ascii="宋体" w:hAnsi="宋体"/>
          <w:sz w:val="24"/>
          <w:highlight w:val="none"/>
        </w:rPr>
        <w:t>；</w:t>
      </w:r>
    </w:p>
    <w:p w14:paraId="2D711CA6">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（7</w:t>
      </w:r>
      <w:r>
        <w:rPr>
          <w:rFonts w:ascii="宋体" w:hAnsi="宋体"/>
          <w:sz w:val="24"/>
          <w:highlight w:val="none"/>
        </w:rPr>
        <w:t>）投标人需要说明的其他文件和说明（格式略）</w:t>
      </w:r>
      <w:r>
        <w:rPr>
          <w:rFonts w:hint="eastAsia" w:ascii="宋体" w:hAnsi="宋体"/>
          <w:sz w:val="24"/>
          <w:highlight w:val="none"/>
        </w:rPr>
        <w:t>；</w:t>
      </w:r>
    </w:p>
    <w:p w14:paraId="56AA90D2">
      <w:pPr>
        <w:spacing w:line="360" w:lineRule="auto"/>
        <w:ind w:firstLine="472" w:firstLineChars="196"/>
        <w:jc w:val="left"/>
        <w:rPr>
          <w:rFonts w:hint="eastAsia" w:ascii="宋体" w:hAnsi="宋体"/>
          <w:b/>
          <w:sz w:val="24"/>
          <w:highlight w:val="none"/>
        </w:rPr>
      </w:pPr>
      <w:r>
        <w:rPr>
          <w:rFonts w:ascii="宋体" w:hAnsi="宋体"/>
          <w:b/>
          <w:sz w:val="24"/>
          <w:highlight w:val="none"/>
        </w:rPr>
        <w:t>资信文件：</w:t>
      </w:r>
    </w:p>
    <w:p w14:paraId="643E44EC">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类似案例成功的业绩（投标人同类项目实施情况一览表、合同复印件）；</w:t>
      </w:r>
    </w:p>
    <w:p w14:paraId="0ECCC770">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（9</w:t>
      </w:r>
      <w:r>
        <w:rPr>
          <w:rFonts w:ascii="宋体" w:hAnsi="宋体"/>
          <w:sz w:val="24"/>
          <w:highlight w:val="none"/>
        </w:rPr>
        <w:t>）权威认证及其他证书；</w:t>
      </w:r>
    </w:p>
    <w:p w14:paraId="22F1A47D">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（10</w:t>
      </w:r>
      <w:r>
        <w:rPr>
          <w:rFonts w:ascii="宋体" w:hAnsi="宋体"/>
          <w:sz w:val="24"/>
          <w:highlight w:val="none"/>
        </w:rPr>
        <w:t>）</w:t>
      </w:r>
      <w:r>
        <w:rPr>
          <w:rFonts w:hint="eastAsia" w:ascii="宋体" w:hAnsi="宋体"/>
          <w:sz w:val="24"/>
          <w:highlight w:val="none"/>
        </w:rPr>
        <w:t>其他特殊资质证书</w:t>
      </w:r>
      <w:r>
        <w:rPr>
          <w:rFonts w:ascii="宋体" w:hAnsi="宋体"/>
          <w:sz w:val="24"/>
          <w:highlight w:val="none"/>
        </w:rPr>
        <w:t>（如</w:t>
      </w:r>
      <w:r>
        <w:rPr>
          <w:rFonts w:hint="eastAsia" w:ascii="宋体" w:hAnsi="宋体"/>
          <w:sz w:val="24"/>
          <w:highlight w:val="none"/>
        </w:rPr>
        <w:t>本地化服务能力等）；</w:t>
      </w:r>
    </w:p>
    <w:p w14:paraId="6942260D">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（11）投标人认为可以证明其能力或业绩的其他材料；</w:t>
      </w:r>
    </w:p>
    <w:p w14:paraId="55624D0D">
      <w:pPr>
        <w:spacing w:line="360" w:lineRule="auto"/>
        <w:ind w:firstLine="472" w:firstLineChars="196"/>
        <w:jc w:val="left"/>
        <w:rPr>
          <w:rFonts w:hint="eastAsia" w:ascii="宋体" w:hAnsi="宋体"/>
          <w:b/>
          <w:sz w:val="24"/>
          <w:highlight w:val="none"/>
        </w:rPr>
      </w:pPr>
      <w:r>
        <w:rPr>
          <w:rFonts w:ascii="宋体" w:hAnsi="宋体"/>
          <w:b/>
          <w:sz w:val="24"/>
          <w:highlight w:val="none"/>
        </w:rPr>
        <w:t>商务文件</w:t>
      </w:r>
    </w:p>
    <w:p w14:paraId="1C8302BC">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（12）商务响应表（格式见附件）；</w:t>
      </w:r>
    </w:p>
    <w:p w14:paraId="23C0D174">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（13）服务承诺</w:t>
      </w:r>
      <w:r>
        <w:rPr>
          <w:rFonts w:ascii="宋体" w:hAnsi="宋体"/>
          <w:sz w:val="24"/>
          <w:highlight w:val="none"/>
        </w:rPr>
        <w:t>；</w:t>
      </w:r>
    </w:p>
    <w:p w14:paraId="26F187E6">
      <w:pPr>
        <w:snapToGrid w:val="0"/>
        <w:spacing w:line="360" w:lineRule="auto"/>
        <w:ind w:firstLine="480" w:firstLineChars="200"/>
        <w:jc w:val="left"/>
        <w:rPr>
          <w:highlight w:val="none"/>
        </w:rPr>
      </w:pPr>
      <w:r>
        <w:rPr>
          <w:rFonts w:hint="eastAsia" w:ascii="宋体" w:hAnsi="宋体"/>
          <w:sz w:val="24"/>
          <w:highlight w:val="none"/>
        </w:rPr>
        <w:t>（14）培训方案；</w:t>
      </w:r>
    </w:p>
    <w:p w14:paraId="5A5F5786">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（15</w:t>
      </w:r>
      <w:r>
        <w:rPr>
          <w:rFonts w:ascii="宋体" w:hAnsi="宋体"/>
          <w:sz w:val="24"/>
          <w:highlight w:val="none"/>
        </w:rPr>
        <w:t>）</w:t>
      </w:r>
      <w:r>
        <w:rPr>
          <w:rFonts w:hint="eastAsia" w:hAnsi="宋体" w:cs="宋体"/>
          <w:sz w:val="24"/>
          <w:highlight w:val="none"/>
        </w:rPr>
        <w:t>响应时间</w:t>
      </w:r>
      <w:r>
        <w:rPr>
          <w:rFonts w:hint="eastAsia" w:ascii="宋体" w:hAnsi="宋体"/>
          <w:sz w:val="24"/>
          <w:highlight w:val="none"/>
        </w:rPr>
        <w:t>；</w:t>
      </w:r>
    </w:p>
    <w:p w14:paraId="3F82B501">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（16</w:t>
      </w:r>
      <w:r>
        <w:rPr>
          <w:rFonts w:ascii="宋体" w:hAnsi="宋体"/>
          <w:sz w:val="24"/>
          <w:highlight w:val="none"/>
        </w:rPr>
        <w:t>）</w:t>
      </w:r>
      <w:r>
        <w:rPr>
          <w:rFonts w:hint="eastAsia" w:ascii="宋体" w:hAnsi="宋体"/>
          <w:sz w:val="24"/>
          <w:highlight w:val="none"/>
        </w:rPr>
        <w:t>信用承诺书；</w:t>
      </w:r>
    </w:p>
    <w:p w14:paraId="10A79C68">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（17</w:t>
      </w:r>
      <w:r>
        <w:rPr>
          <w:rFonts w:ascii="宋体" w:hAnsi="宋体"/>
          <w:sz w:val="24"/>
          <w:highlight w:val="none"/>
        </w:rPr>
        <w:t>）</w:t>
      </w:r>
      <w:r>
        <w:rPr>
          <w:rFonts w:hint="eastAsia" w:ascii="宋体" w:hAnsi="宋体"/>
          <w:sz w:val="24"/>
          <w:highlight w:val="none"/>
        </w:rPr>
        <w:t>技术、商务、资信及其他分自评表。</w:t>
      </w:r>
    </w:p>
    <w:p w14:paraId="205F11F7">
      <w:pPr>
        <w:spacing w:line="360" w:lineRule="auto"/>
        <w:ind w:firstLine="472" w:firstLineChars="196"/>
        <w:jc w:val="left"/>
        <w:rPr>
          <w:rFonts w:hint="eastAsia" w:ascii="宋体" w:hAnsi="宋体"/>
          <w:b/>
          <w:sz w:val="24"/>
          <w:highlight w:val="none"/>
        </w:rPr>
      </w:pPr>
      <w:r>
        <w:rPr>
          <w:rFonts w:hint="eastAsia" w:ascii="宋体" w:hAnsi="宋体"/>
          <w:b/>
          <w:sz w:val="24"/>
          <w:highlight w:val="none"/>
        </w:rPr>
        <w:t>3.</w:t>
      </w:r>
      <w:r>
        <w:rPr>
          <w:rFonts w:ascii="宋体" w:hAnsi="宋体"/>
          <w:b/>
          <w:sz w:val="24"/>
          <w:highlight w:val="none"/>
        </w:rPr>
        <w:t>报价文件：</w:t>
      </w:r>
    </w:p>
    <w:p w14:paraId="3E18F9C5">
      <w:pPr>
        <w:spacing w:line="360" w:lineRule="auto"/>
        <w:ind w:firstLine="470" w:firstLineChars="196"/>
        <w:jc w:val="left"/>
        <w:rPr>
          <w:rFonts w:hint="eastAsia" w:ascii="宋体" w:hAnsi="宋体"/>
          <w:sz w:val="24"/>
          <w:highlight w:val="none"/>
        </w:rPr>
      </w:pPr>
      <w:r>
        <w:rPr>
          <w:rFonts w:hint="eastAsia" w:ascii="宋体" w:hAnsi="宋体"/>
          <w:sz w:val="24"/>
          <w:highlight w:val="none"/>
        </w:rPr>
        <w:t xml:space="preserve">（1）投标函（格式见附件）； </w:t>
      </w:r>
    </w:p>
    <w:p w14:paraId="1B222951">
      <w:pPr>
        <w:spacing w:line="360" w:lineRule="auto"/>
        <w:ind w:firstLine="470" w:firstLineChars="196"/>
        <w:jc w:val="left"/>
        <w:rPr>
          <w:rFonts w:hint="eastAsia" w:ascii="宋体" w:hAnsi="宋体" w:cs="仿宋"/>
          <w:sz w:val="24"/>
          <w:highlight w:val="none"/>
        </w:rPr>
      </w:pPr>
      <w:r>
        <w:rPr>
          <w:rFonts w:hint="eastAsia" w:ascii="宋体" w:hAnsi="宋体"/>
          <w:sz w:val="24"/>
          <w:highlight w:val="none"/>
        </w:rPr>
        <w:t>（2</w:t>
      </w:r>
      <w:r>
        <w:rPr>
          <w:rFonts w:ascii="宋体" w:hAnsi="宋体"/>
          <w:sz w:val="24"/>
          <w:highlight w:val="none"/>
        </w:rPr>
        <w:t>）报价明细表；</w:t>
      </w:r>
    </w:p>
    <w:p w14:paraId="496E54B7">
      <w:pPr>
        <w:spacing w:line="360" w:lineRule="auto"/>
        <w:ind w:firstLine="470" w:firstLineChars="196"/>
        <w:jc w:val="left"/>
        <w:rPr>
          <w:rFonts w:hint="eastAsia" w:ascii="宋体" w:hAnsi="宋体"/>
          <w:sz w:val="24"/>
          <w:highlight w:val="none"/>
        </w:rPr>
      </w:pPr>
      <w:r>
        <w:rPr>
          <w:rFonts w:hint="eastAsia" w:ascii="宋体" w:hAnsi="宋体"/>
          <w:sz w:val="24"/>
          <w:highlight w:val="none"/>
        </w:rPr>
        <w:t>（6</w:t>
      </w:r>
      <w:r>
        <w:rPr>
          <w:rFonts w:ascii="宋体" w:hAnsi="宋体"/>
          <w:sz w:val="24"/>
          <w:highlight w:val="none"/>
        </w:rPr>
        <w:t>）投标人</w:t>
      </w:r>
      <w:r>
        <w:rPr>
          <w:rFonts w:hint="eastAsia" w:ascii="宋体" w:hAnsi="宋体"/>
          <w:sz w:val="24"/>
          <w:highlight w:val="none"/>
        </w:rPr>
        <w:t>针对报价</w:t>
      </w:r>
      <w:r>
        <w:rPr>
          <w:rFonts w:ascii="宋体" w:hAnsi="宋体"/>
          <w:sz w:val="24"/>
          <w:highlight w:val="none"/>
        </w:rPr>
        <w:t>需要说明的其他文件和说明（格式</w:t>
      </w:r>
      <w:r>
        <w:rPr>
          <w:rFonts w:hint="eastAsia" w:ascii="宋体" w:hAnsi="宋体"/>
          <w:sz w:val="24"/>
          <w:highlight w:val="none"/>
        </w:rPr>
        <w:t>自拟</w:t>
      </w:r>
      <w:r>
        <w:rPr>
          <w:rFonts w:ascii="宋体" w:hAnsi="宋体"/>
          <w:sz w:val="24"/>
          <w:highlight w:val="none"/>
        </w:rPr>
        <w:t>）</w:t>
      </w:r>
      <w:r>
        <w:rPr>
          <w:rFonts w:hint="eastAsia" w:ascii="宋体" w:hAnsi="宋体"/>
          <w:sz w:val="24"/>
          <w:highlight w:val="none"/>
        </w:rPr>
        <w:t>；</w:t>
      </w:r>
    </w:p>
    <w:p w14:paraId="4836C433">
      <w:pPr>
        <w:spacing w:line="360" w:lineRule="auto"/>
        <w:ind w:firstLine="470" w:firstLineChars="196"/>
        <w:jc w:val="left"/>
        <w:rPr>
          <w:rFonts w:hint="eastAsia" w:ascii="宋体" w:hAnsi="宋体"/>
          <w:sz w:val="24"/>
          <w:highlight w:val="none"/>
        </w:rPr>
      </w:pPr>
      <w:r>
        <w:rPr>
          <w:rFonts w:hint="eastAsia" w:ascii="宋体" w:hAnsi="宋体"/>
          <w:sz w:val="24"/>
          <w:highlight w:val="none"/>
        </w:rPr>
        <w:t>（7）招标代理费承诺函；</w:t>
      </w:r>
    </w:p>
    <w:p w14:paraId="44D36465">
      <w:pPr>
        <w:spacing w:line="360" w:lineRule="auto"/>
        <w:ind w:firstLine="470" w:firstLineChars="196"/>
        <w:jc w:val="left"/>
        <w:rPr>
          <w:rFonts w:hint="eastAsia" w:ascii="宋体" w:hAnsi="宋体"/>
          <w:sz w:val="24"/>
          <w:highlight w:val="none"/>
        </w:rPr>
      </w:pPr>
      <w:r>
        <w:rPr>
          <w:rFonts w:hint="eastAsia" w:ascii="宋体" w:hAnsi="宋体"/>
          <w:sz w:val="24"/>
          <w:highlight w:val="none"/>
        </w:rPr>
        <w:t>（8）</w:t>
      </w:r>
      <w:r>
        <w:rPr>
          <w:rFonts w:ascii="宋体" w:hAnsi="宋体"/>
          <w:sz w:val="24"/>
          <w:highlight w:val="none"/>
        </w:rPr>
        <w:t>开标一览表（格式见附件）</w:t>
      </w:r>
      <w:r>
        <w:rPr>
          <w:rFonts w:hint="eastAsia" w:ascii="宋体" w:hAnsi="宋体"/>
          <w:sz w:val="24"/>
          <w:highlight w:val="none"/>
        </w:rPr>
        <w:t>。</w:t>
      </w:r>
    </w:p>
    <w:p w14:paraId="49A2586A">
      <w:pPr>
        <w:pStyle w:val="23"/>
        <w:widowControl w:val="0"/>
        <w:spacing w:before="0" w:afterLines="0" w:line="360" w:lineRule="auto"/>
        <w:ind w:firstLine="482" w:firstLineChars="200"/>
        <w:rPr>
          <w:b/>
          <w:bCs/>
          <w:sz w:val="24"/>
          <w:szCs w:val="24"/>
          <w:highlight w:val="none"/>
        </w:rPr>
      </w:pPr>
      <w:r>
        <w:rPr>
          <w:b/>
          <w:sz w:val="24"/>
          <w:szCs w:val="24"/>
          <w:highlight w:val="none"/>
        </w:rPr>
        <w:t>▲</w:t>
      </w:r>
      <w:r>
        <w:rPr>
          <w:b/>
          <w:bCs/>
          <w:sz w:val="24"/>
          <w:szCs w:val="24"/>
          <w:highlight w:val="none"/>
        </w:rPr>
        <w:t>注：法定代表人授权委托书、投标声明书、投标函、开标一览表必须由法定代表人签名并加盖单位公章。</w:t>
      </w:r>
    </w:p>
    <w:p w14:paraId="7771216D">
      <w:pPr>
        <w:snapToGrid w:val="0"/>
        <w:spacing w:line="360" w:lineRule="auto"/>
        <w:ind w:firstLine="472" w:firstLineChars="196"/>
        <w:jc w:val="left"/>
        <w:outlineLvl w:val="0"/>
        <w:rPr>
          <w:rFonts w:hint="eastAsia" w:ascii="宋体" w:hAnsi="宋体"/>
          <w:b/>
          <w:sz w:val="24"/>
          <w:highlight w:val="none"/>
        </w:rPr>
      </w:pPr>
      <w:r>
        <w:rPr>
          <w:rFonts w:hint="eastAsia" w:ascii="宋体" w:hAnsi="宋体"/>
          <w:b/>
          <w:sz w:val="24"/>
          <w:highlight w:val="none"/>
        </w:rPr>
        <w:t>（二）投标文件的语言及计量</w:t>
      </w:r>
    </w:p>
    <w:p w14:paraId="2D58CB10">
      <w:pPr>
        <w:snapToGrid w:val="0"/>
        <w:spacing w:line="360" w:lineRule="auto"/>
        <w:ind w:firstLine="480" w:firstLineChars="200"/>
        <w:jc w:val="left"/>
        <w:rPr>
          <w:rFonts w:hint="eastAsia" w:ascii="宋体" w:hAnsi="宋体"/>
          <w:sz w:val="24"/>
          <w:szCs w:val="20"/>
          <w:highlight w:val="none"/>
        </w:rPr>
      </w:pPr>
      <w:r>
        <w:rPr>
          <w:rFonts w:hint="eastAsia" w:ascii="宋体" w:hAnsi="宋体"/>
          <w:sz w:val="24"/>
          <w:highlight w:val="none"/>
        </w:rPr>
        <w:t>▲</w:t>
      </w:r>
      <w:r>
        <w:rPr>
          <w:rFonts w:ascii="宋体" w:hAnsi="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9D7D4C">
      <w:pPr>
        <w:snapToGrid w:val="0"/>
        <w:spacing w:line="360" w:lineRule="auto"/>
        <w:ind w:firstLine="480" w:firstLineChars="200"/>
        <w:jc w:val="left"/>
        <w:rPr>
          <w:rFonts w:hint="eastAsia" w:ascii="宋体" w:hAnsi="宋体"/>
          <w:sz w:val="24"/>
          <w:szCs w:val="20"/>
          <w:highlight w:val="none"/>
        </w:rPr>
      </w:pPr>
      <w:r>
        <w:rPr>
          <w:rFonts w:hint="eastAsia" w:ascii="宋体" w:hAnsi="宋体"/>
          <w:sz w:val="24"/>
          <w:highlight w:val="none"/>
        </w:rPr>
        <w:t>▲</w:t>
      </w:r>
      <w:r>
        <w:rPr>
          <w:rFonts w:ascii="宋体" w:hAnsi="宋体"/>
          <w:sz w:val="24"/>
          <w:highlight w:val="none"/>
        </w:rPr>
        <w:t>2投标计量单位，招标文件已有明确规定的，使用招标文件规定的计量单位；招标文件没有规定的，应采用中华人民共和国法定计量单位（货币单位：人民币元），否则视同未响应。</w:t>
      </w:r>
    </w:p>
    <w:p w14:paraId="2A30D0AF">
      <w:pPr>
        <w:snapToGrid w:val="0"/>
        <w:spacing w:line="360" w:lineRule="auto"/>
        <w:ind w:firstLine="472" w:firstLineChars="196"/>
        <w:jc w:val="left"/>
        <w:outlineLvl w:val="0"/>
        <w:rPr>
          <w:rFonts w:hint="eastAsia" w:ascii="宋体" w:hAnsi="宋体"/>
          <w:b/>
          <w:kern w:val="0"/>
          <w:sz w:val="24"/>
          <w:szCs w:val="24"/>
          <w:highlight w:val="none"/>
        </w:rPr>
      </w:pPr>
      <w:r>
        <w:rPr>
          <w:rFonts w:hint="eastAsia" w:ascii="宋体" w:hAnsi="宋体"/>
          <w:b/>
          <w:kern w:val="0"/>
          <w:sz w:val="24"/>
          <w:szCs w:val="24"/>
          <w:highlight w:val="none"/>
        </w:rPr>
        <w:t>（三）投标报价</w:t>
      </w:r>
    </w:p>
    <w:p w14:paraId="2CE25B49">
      <w:pPr>
        <w:snapToGrid w:val="0"/>
        <w:spacing w:line="360" w:lineRule="auto"/>
        <w:ind w:firstLine="470" w:firstLineChars="196"/>
        <w:jc w:val="left"/>
        <w:outlineLvl w:val="0"/>
        <w:rPr>
          <w:rFonts w:hint="eastAsia" w:ascii="宋体" w:hAnsi="宋体" w:cs="宋体"/>
          <w:sz w:val="24"/>
          <w:szCs w:val="24"/>
          <w:highlight w:val="none"/>
        </w:rPr>
      </w:pPr>
      <w:r>
        <w:rPr>
          <w:rFonts w:hAnsi="宋体"/>
          <w:sz w:val="24"/>
          <w:szCs w:val="24"/>
          <w:highlight w:val="none"/>
        </w:rPr>
        <w:t>▲</w:t>
      </w:r>
      <w:r>
        <w:rPr>
          <w:rFonts w:ascii="宋体" w:hAnsi="宋体"/>
          <w:sz w:val="24"/>
          <w:szCs w:val="24"/>
          <w:highlight w:val="none"/>
        </w:rPr>
        <w:t>1</w:t>
      </w:r>
      <w:r>
        <w:rPr>
          <w:rFonts w:hint="eastAsia" w:ascii="宋体" w:hAnsi="宋体"/>
          <w:sz w:val="24"/>
          <w:szCs w:val="24"/>
          <w:highlight w:val="none"/>
        </w:rPr>
        <w:t>.</w:t>
      </w:r>
      <w:r>
        <w:rPr>
          <w:rFonts w:hint="eastAsia" w:ascii="宋体" w:hAnsi="宋体" w:cs="宋体"/>
          <w:sz w:val="24"/>
          <w:szCs w:val="24"/>
          <w:highlight w:val="none"/>
        </w:rPr>
        <w:t>投标报价应按招标文件中相关附表格式填写。投标报价为本招标项目全部工作内容的报价。</w:t>
      </w:r>
    </w:p>
    <w:p w14:paraId="7AC92D99">
      <w:pPr>
        <w:snapToGrid w:val="0"/>
        <w:spacing w:line="360" w:lineRule="auto"/>
        <w:ind w:firstLine="470" w:firstLineChars="196"/>
        <w:jc w:val="left"/>
        <w:outlineLvl w:val="0"/>
        <w:rPr>
          <w:rFonts w:hint="eastAsia" w:ascii="宋体" w:hAnsi="宋体" w:cs="宋体"/>
          <w:sz w:val="24"/>
          <w:szCs w:val="24"/>
          <w:highlight w:val="none"/>
        </w:rPr>
      </w:pPr>
      <w:r>
        <w:rPr>
          <w:rFonts w:hAnsi="宋体"/>
          <w:sz w:val="24"/>
          <w:szCs w:val="24"/>
          <w:highlight w:val="none"/>
        </w:rPr>
        <w:t>▲</w:t>
      </w:r>
      <w:r>
        <w:rPr>
          <w:rFonts w:hint="eastAsia" w:ascii="宋体" w:hAnsi="宋体" w:cs="宋体"/>
          <w:sz w:val="24"/>
          <w:szCs w:val="24"/>
          <w:highlight w:val="none"/>
        </w:rPr>
        <w:t>2.投标报价是履行合同的最终价格，完成项目的各种费用及必要的保险费用和各项税金等所有费用的总和，其市场风险由投标人承担。</w:t>
      </w:r>
    </w:p>
    <w:p w14:paraId="27FDD399">
      <w:pPr>
        <w:tabs>
          <w:tab w:val="left" w:pos="525"/>
        </w:tabs>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投标文件只允许有一个报价，有选择的</w:t>
      </w:r>
      <w:r>
        <w:rPr>
          <w:rFonts w:hint="eastAsia" w:ascii="宋体" w:hAnsi="宋体"/>
          <w:sz w:val="24"/>
          <w:szCs w:val="24"/>
          <w:highlight w:val="none"/>
        </w:rPr>
        <w:t>或有条件的</w:t>
      </w:r>
      <w:r>
        <w:rPr>
          <w:rFonts w:ascii="宋体" w:hAnsi="宋体"/>
          <w:sz w:val="24"/>
          <w:szCs w:val="24"/>
          <w:highlight w:val="none"/>
        </w:rPr>
        <w:t>报价将不予接受。</w:t>
      </w:r>
    </w:p>
    <w:p w14:paraId="409D3550">
      <w:pPr>
        <w:pStyle w:val="6"/>
        <w:tabs>
          <w:tab w:val="left" w:pos="720"/>
        </w:tabs>
        <w:snapToGrid w:val="0"/>
        <w:spacing w:line="360" w:lineRule="auto"/>
        <w:ind w:left="0" w:firstLine="472" w:firstLineChars="196"/>
        <w:rPr>
          <w:rFonts w:hint="eastAsia" w:ascii="宋体" w:hAnsi="宋体"/>
          <w:b/>
          <w:sz w:val="24"/>
          <w:szCs w:val="24"/>
          <w:highlight w:val="none"/>
        </w:rPr>
      </w:pPr>
      <w:r>
        <w:rPr>
          <w:rFonts w:hint="eastAsia" w:ascii="宋体" w:hAnsi="宋体"/>
          <w:b/>
          <w:sz w:val="24"/>
          <w:szCs w:val="24"/>
          <w:highlight w:val="none"/>
        </w:rPr>
        <w:t>（四）投标文件的有效期</w:t>
      </w:r>
    </w:p>
    <w:p w14:paraId="6D3DA6C2">
      <w:pPr>
        <w:pStyle w:val="6"/>
        <w:tabs>
          <w:tab w:val="left" w:pos="720"/>
        </w:tabs>
        <w:snapToGrid w:val="0"/>
        <w:spacing w:line="360" w:lineRule="auto"/>
        <w:ind w:left="0" w:firstLine="480" w:firstLineChars="200"/>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自投标截止日起</w:t>
      </w:r>
      <w:r>
        <w:rPr>
          <w:rFonts w:hint="eastAsia" w:ascii="宋体" w:hAnsi="宋体"/>
          <w:sz w:val="24"/>
          <w:szCs w:val="24"/>
          <w:highlight w:val="none"/>
          <w:u w:val="single"/>
        </w:rPr>
        <w:t>120</w:t>
      </w:r>
      <w:r>
        <w:rPr>
          <w:rFonts w:ascii="宋体" w:hAnsi="宋体"/>
          <w:sz w:val="24"/>
          <w:szCs w:val="24"/>
          <w:highlight w:val="none"/>
        </w:rPr>
        <w:t>天投标</w:t>
      </w:r>
      <w:r>
        <w:rPr>
          <w:rFonts w:hint="eastAsia" w:ascii="宋体" w:hAnsi="宋体"/>
          <w:sz w:val="24"/>
          <w:szCs w:val="24"/>
          <w:highlight w:val="none"/>
        </w:rPr>
        <w:t>文件</w:t>
      </w:r>
      <w:r>
        <w:rPr>
          <w:rFonts w:ascii="宋体" w:hAnsi="宋体"/>
          <w:sz w:val="24"/>
          <w:szCs w:val="24"/>
          <w:highlight w:val="none"/>
        </w:rPr>
        <w:t>应保持有效。有效期</w:t>
      </w:r>
      <w:r>
        <w:rPr>
          <w:rFonts w:hint="eastAsia" w:ascii="宋体" w:hAnsi="宋体"/>
          <w:sz w:val="24"/>
          <w:szCs w:val="24"/>
          <w:highlight w:val="none"/>
        </w:rPr>
        <w:t>不足</w:t>
      </w:r>
      <w:r>
        <w:rPr>
          <w:rFonts w:ascii="宋体" w:hAnsi="宋体"/>
          <w:sz w:val="24"/>
          <w:szCs w:val="24"/>
          <w:highlight w:val="none"/>
        </w:rPr>
        <w:t>的投标</w:t>
      </w:r>
      <w:r>
        <w:rPr>
          <w:rFonts w:hint="eastAsia" w:ascii="宋体" w:hAnsi="宋体"/>
          <w:sz w:val="24"/>
          <w:szCs w:val="24"/>
          <w:highlight w:val="none"/>
        </w:rPr>
        <w:t>文件</w:t>
      </w:r>
      <w:r>
        <w:rPr>
          <w:rFonts w:ascii="宋体" w:hAnsi="宋体"/>
          <w:sz w:val="24"/>
          <w:szCs w:val="24"/>
          <w:highlight w:val="none"/>
        </w:rPr>
        <w:t>将被拒绝。</w:t>
      </w:r>
    </w:p>
    <w:p w14:paraId="4A41391E">
      <w:pPr>
        <w:pStyle w:val="6"/>
        <w:tabs>
          <w:tab w:val="left" w:pos="720"/>
        </w:tabs>
        <w:snapToGrid w:val="0"/>
        <w:spacing w:line="360" w:lineRule="auto"/>
        <w:ind w:left="0" w:firstLine="480" w:firstLineChars="200"/>
        <w:rPr>
          <w:rFonts w:hint="eastAsia"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ascii="宋体" w:hAnsi="宋体"/>
          <w:sz w:val="24"/>
          <w:szCs w:val="24"/>
          <w:highlight w:val="none"/>
        </w:rPr>
        <w:t>在特殊情况下，招标人可与投标人协商延长投标书的有效期，这种要求和答复均以书面形式进行。</w:t>
      </w:r>
    </w:p>
    <w:p w14:paraId="38EC1158">
      <w:pPr>
        <w:snapToGrid w:val="0"/>
        <w:spacing w:line="360" w:lineRule="auto"/>
        <w:ind w:firstLine="480" w:firstLineChars="200"/>
        <w:jc w:val="left"/>
        <w:outlineLvl w:val="0"/>
        <w:rPr>
          <w:rFonts w:hint="eastAsia" w:ascii="宋体" w:hAnsi="宋体"/>
          <w:b/>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投标人可拒绝接受延期要求。同意延长有效期的投标人不能修改投标文件。</w:t>
      </w:r>
    </w:p>
    <w:p w14:paraId="5520F5C0">
      <w:pPr>
        <w:snapToGrid w:val="0"/>
        <w:spacing w:line="360" w:lineRule="auto"/>
        <w:ind w:firstLine="480" w:firstLineChars="200"/>
        <w:jc w:val="left"/>
        <w:outlineLvl w:val="0"/>
        <w:rPr>
          <w:rFonts w:hint="eastAsia" w:ascii="宋体" w:hAnsi="宋体"/>
          <w:b/>
          <w:sz w:val="24"/>
          <w:szCs w:val="24"/>
          <w:highlight w:val="none"/>
        </w:rPr>
      </w:pPr>
      <w:r>
        <w:rPr>
          <w:rFonts w:ascii="宋体" w:hAnsi="宋体"/>
          <w:sz w:val="24"/>
          <w:szCs w:val="24"/>
          <w:highlight w:val="none"/>
        </w:rPr>
        <w:t>4</w:t>
      </w:r>
      <w:r>
        <w:rPr>
          <w:rFonts w:hint="eastAsia" w:ascii="宋体" w:hAnsi="宋体"/>
          <w:sz w:val="24"/>
          <w:szCs w:val="24"/>
          <w:highlight w:val="none"/>
        </w:rPr>
        <w:t>.</w:t>
      </w:r>
      <w:r>
        <w:rPr>
          <w:rFonts w:ascii="宋体" w:hAnsi="宋体"/>
          <w:sz w:val="24"/>
          <w:szCs w:val="24"/>
          <w:highlight w:val="none"/>
        </w:rPr>
        <w:t>中标人的投标文件自开标之日起至合同履行完毕止均应保持有效。</w:t>
      </w:r>
    </w:p>
    <w:p w14:paraId="61023F7A">
      <w:pPr>
        <w:snapToGrid w:val="0"/>
        <w:spacing w:line="360" w:lineRule="auto"/>
        <w:ind w:firstLine="482" w:firstLineChars="200"/>
        <w:jc w:val="left"/>
        <w:outlineLvl w:val="0"/>
        <w:rPr>
          <w:rFonts w:hint="eastAsia" w:ascii="宋体" w:hAnsi="宋体"/>
          <w:b/>
          <w:sz w:val="24"/>
          <w:szCs w:val="24"/>
          <w:highlight w:val="none"/>
        </w:rPr>
      </w:pPr>
      <w:r>
        <w:rPr>
          <w:rFonts w:hint="eastAsia" w:ascii="宋体" w:hAnsi="宋体"/>
          <w:b/>
          <w:sz w:val="24"/>
          <w:szCs w:val="24"/>
          <w:highlight w:val="none"/>
        </w:rPr>
        <w:t>（五）投标文件的签署和份数</w:t>
      </w:r>
    </w:p>
    <w:p w14:paraId="645865FE">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本项目通过“政府采购云平台（www.zcygov.cn）”实行在线投标响应（电子投标）。供应商应通过“政采云电子交易客户端”，并按照本招标文件和“政府采购云平台”的要求编制并加密投标文件。</w:t>
      </w:r>
    </w:p>
    <w:p w14:paraId="3D5162B9">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20C5B4A4">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4410FE82">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3.投标文件内容不完整、编排混乱导致投标文件被误读、漏读或者查找不到相关内容的，是投标供应商的责任。</w:t>
      </w:r>
    </w:p>
    <w:p w14:paraId="4CBE83EB">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4.投标文件因字迹潦草或表达不清所引起的后果由投标供应商负责。</w:t>
      </w:r>
      <w:r>
        <w:rPr>
          <w:rFonts w:ascii="宋体" w:hAnsi="宋体"/>
          <w:sz w:val="24"/>
          <w:highlight w:val="none"/>
        </w:rPr>
        <w:tab/>
      </w:r>
    </w:p>
    <w:p w14:paraId="2F80A9FB">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535AEDD">
      <w:pPr>
        <w:tabs>
          <w:tab w:val="left" w:pos="8460"/>
        </w:tabs>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（六）投标文件的签署</w:t>
      </w:r>
    </w:p>
    <w:p w14:paraId="5A754815">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《投标文件》应由投标供应商法定代表人或其授权代表签字（或盖章），并加盖投标供应商公章。</w:t>
      </w:r>
    </w:p>
    <w:p w14:paraId="26A691F5">
      <w:pPr>
        <w:tabs>
          <w:tab w:val="left" w:pos="8460"/>
        </w:tabs>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（七）投标文件的形式</w:t>
      </w:r>
    </w:p>
    <w:p w14:paraId="2CC74114">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1.投标文件的形式：见《前附表》；</w:t>
      </w:r>
    </w:p>
    <w:p w14:paraId="04F65CA5">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2.“电子加密投标文件”：“电子加密投标文件”是指通过“政采云电子交易客户端”完成投标文件编制后生成并加密的数据电文形式的投标文件。</w:t>
      </w:r>
    </w:p>
    <w:p w14:paraId="4795C07D">
      <w:pPr>
        <w:tabs>
          <w:tab w:val="left" w:pos="8460"/>
        </w:tabs>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3.“备份投标文件”：“备份投标文件”是指与“电子加密投标文件”同时生成的数据电文形式的电子文件（备份标书），其他方式编制的“备份投标文件”视为无效的“备份投标文件”。</w:t>
      </w:r>
    </w:p>
    <w:p w14:paraId="2A36F0D8">
      <w:pPr>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（八）投标文件的份数：见《前附表》。</w:t>
      </w:r>
    </w:p>
    <w:p w14:paraId="41466AA4">
      <w:pPr>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（九）投标文件的上传和递交：见《前附表》。</w:t>
      </w:r>
    </w:p>
    <w:p w14:paraId="6F52FEA1">
      <w:pPr>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（十）“电子加密投标文件”解密和异常情况处理：见《前附表》。</w:t>
      </w:r>
    </w:p>
    <w:p w14:paraId="2CD0F7F9">
      <w:pPr>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（十一）投标文件的补充、修改或撤回</w:t>
      </w:r>
    </w:p>
    <w:p w14:paraId="45C4DE01">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0DC2A3D">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2.投标截止时间后，投标供应商不得撤回、修改投标文件。</w:t>
      </w:r>
    </w:p>
    <w:p w14:paraId="7094F793">
      <w:pPr>
        <w:snapToGrid w:val="0"/>
        <w:spacing w:line="360" w:lineRule="auto"/>
        <w:ind w:firstLine="482" w:firstLineChars="200"/>
        <w:jc w:val="left"/>
        <w:outlineLvl w:val="0"/>
        <w:rPr>
          <w:rFonts w:hint="eastAsia" w:ascii="宋体" w:hAnsi="宋体"/>
          <w:b/>
          <w:sz w:val="24"/>
          <w:highlight w:val="none"/>
        </w:rPr>
      </w:pPr>
      <w:r>
        <w:rPr>
          <w:rFonts w:hint="eastAsia" w:ascii="宋体" w:hAnsi="宋体"/>
          <w:b/>
          <w:sz w:val="24"/>
          <w:highlight w:val="none"/>
        </w:rPr>
        <w:t>（十二）投标文件的备选方案</w:t>
      </w:r>
    </w:p>
    <w:p w14:paraId="20860B1C">
      <w:pPr>
        <w:snapToGrid w:val="0"/>
        <w:spacing w:line="360" w:lineRule="auto"/>
        <w:ind w:firstLine="480" w:firstLineChars="200"/>
        <w:jc w:val="left"/>
        <w:outlineLvl w:val="0"/>
        <w:rPr>
          <w:rFonts w:hint="eastAsia" w:ascii="宋体" w:hAnsi="宋体"/>
          <w:sz w:val="24"/>
          <w:highlight w:val="none"/>
        </w:rPr>
      </w:pPr>
      <w:r>
        <w:rPr>
          <w:rFonts w:hint="eastAsia" w:ascii="宋体" w:hAnsi="宋体"/>
          <w:sz w:val="24"/>
          <w:highlight w:val="none"/>
        </w:rPr>
        <w:t>投标供应商不得递交任何的投标备选（替代）方案，否则其投标文件将作无效标处理。与“电子加密投标文件”同时生成的“备份投标文件”不是投标备选（替代）方案。</w:t>
      </w:r>
    </w:p>
    <w:p w14:paraId="4094DA28">
      <w:pPr>
        <w:snapToGrid w:val="0"/>
        <w:spacing w:before="120" w:beforeLines="50" w:line="360" w:lineRule="auto"/>
        <w:ind w:firstLine="472" w:firstLineChars="196"/>
        <w:outlineLvl w:val="2"/>
        <w:rPr>
          <w:rFonts w:hint="eastAsia" w:ascii="宋体" w:hAnsi="宋体"/>
          <w:b/>
          <w:sz w:val="24"/>
          <w:highlight w:val="none"/>
        </w:rPr>
      </w:pPr>
      <w:r>
        <w:rPr>
          <w:rFonts w:hint="eastAsia" w:ascii="宋体" w:hAnsi="宋体"/>
          <w:b/>
          <w:sz w:val="24"/>
          <w:highlight w:val="none"/>
        </w:rPr>
        <w:t>（十三）投标无效的情形</w:t>
      </w:r>
    </w:p>
    <w:p w14:paraId="20752FCA">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1BA99DE">
      <w:pPr>
        <w:snapToGrid w:val="0"/>
        <w:spacing w:line="360" w:lineRule="auto"/>
        <w:ind w:firstLine="472" w:firstLineChars="196"/>
        <w:rPr>
          <w:rFonts w:hint="eastAsia" w:ascii="宋体" w:hAnsi="宋体"/>
          <w:b/>
          <w:bCs/>
          <w:sz w:val="24"/>
          <w:highlight w:val="none"/>
        </w:rPr>
      </w:pPr>
      <w:r>
        <w:rPr>
          <w:rFonts w:ascii="宋体" w:hAnsi="宋体"/>
          <w:b/>
          <w:bCs/>
          <w:sz w:val="24"/>
          <w:highlight w:val="none"/>
        </w:rPr>
        <w:t>1</w:t>
      </w:r>
      <w:r>
        <w:rPr>
          <w:rFonts w:hint="eastAsia" w:ascii="宋体" w:hAnsi="宋体"/>
          <w:b/>
          <w:bCs/>
          <w:sz w:val="24"/>
          <w:highlight w:val="none"/>
        </w:rPr>
        <w:t>.</w:t>
      </w:r>
      <w:r>
        <w:rPr>
          <w:rFonts w:ascii="宋体" w:hAnsi="宋体"/>
          <w:b/>
          <w:bCs/>
          <w:sz w:val="24"/>
          <w:highlight w:val="none"/>
        </w:rPr>
        <w:t>在符合性审查和商务评审时，如发现下列情形之一的，投标文件将被视为无效：</w:t>
      </w:r>
    </w:p>
    <w:p w14:paraId="23A5E906">
      <w:pPr>
        <w:snapToGrid w:val="0"/>
        <w:spacing w:line="360" w:lineRule="auto"/>
        <w:ind w:firstLine="470" w:firstLineChars="196"/>
        <w:rPr>
          <w:rFonts w:hint="eastAsia" w:ascii="宋体" w:hAnsi="宋体"/>
          <w:bCs/>
          <w:sz w:val="24"/>
          <w:highlight w:val="none"/>
        </w:rPr>
      </w:pPr>
      <w:r>
        <w:rPr>
          <w:rFonts w:hint="eastAsia" w:ascii="宋体" w:hAnsi="宋体"/>
          <w:bCs/>
          <w:sz w:val="24"/>
          <w:highlight w:val="none"/>
        </w:rPr>
        <w:t>（1</w:t>
      </w:r>
      <w:r>
        <w:rPr>
          <w:rFonts w:ascii="宋体" w:hAnsi="宋体"/>
          <w:bCs/>
          <w:sz w:val="24"/>
          <w:highlight w:val="none"/>
        </w:rPr>
        <w:t>）</w:t>
      </w:r>
      <w:r>
        <w:rPr>
          <w:rFonts w:hint="eastAsia" w:ascii="宋体" w:hAnsi="宋体"/>
          <w:bCs/>
          <w:sz w:val="24"/>
          <w:highlight w:val="none"/>
        </w:rPr>
        <w:t>资质条件不符合招标文件要求的；</w:t>
      </w:r>
    </w:p>
    <w:p w14:paraId="0E3B073F">
      <w:pPr>
        <w:snapToGrid w:val="0"/>
        <w:spacing w:line="360" w:lineRule="auto"/>
        <w:ind w:firstLine="470" w:firstLineChars="196"/>
        <w:rPr>
          <w:rFonts w:hint="eastAsia" w:ascii="宋体" w:hAnsi="宋体"/>
          <w:bCs/>
          <w:sz w:val="24"/>
          <w:highlight w:val="none"/>
        </w:rPr>
      </w:pPr>
      <w:r>
        <w:rPr>
          <w:rFonts w:hint="eastAsia" w:ascii="宋体" w:hAnsi="宋体"/>
          <w:bCs/>
          <w:sz w:val="24"/>
          <w:highlight w:val="none"/>
        </w:rPr>
        <w:t>（2</w:t>
      </w:r>
      <w:r>
        <w:rPr>
          <w:rFonts w:ascii="宋体" w:hAnsi="宋体"/>
          <w:bCs/>
          <w:sz w:val="24"/>
          <w:highlight w:val="none"/>
        </w:rPr>
        <w:t>）投标文件无法定代表人签字</w:t>
      </w:r>
      <w:r>
        <w:rPr>
          <w:rFonts w:hint="eastAsia" w:ascii="宋体" w:hAnsi="宋体"/>
          <w:bCs/>
          <w:sz w:val="24"/>
          <w:highlight w:val="none"/>
        </w:rPr>
        <w:t>，</w:t>
      </w:r>
      <w:r>
        <w:rPr>
          <w:rFonts w:ascii="宋体" w:hAnsi="宋体"/>
          <w:bCs/>
          <w:sz w:val="24"/>
          <w:highlight w:val="none"/>
        </w:rPr>
        <w:t>或未</w:t>
      </w:r>
      <w:r>
        <w:rPr>
          <w:rFonts w:hint="eastAsia" w:ascii="宋体" w:hAnsi="宋体"/>
          <w:bCs/>
          <w:sz w:val="24"/>
          <w:highlight w:val="none"/>
        </w:rPr>
        <w:t>提供法定代表人授权委托书、投标声明书或者填写项目不齐全的；</w:t>
      </w:r>
    </w:p>
    <w:p w14:paraId="2372514D">
      <w:pPr>
        <w:snapToGrid w:val="0"/>
        <w:spacing w:line="360" w:lineRule="auto"/>
        <w:ind w:firstLine="470" w:firstLineChars="196"/>
        <w:rPr>
          <w:rFonts w:hint="eastAsia" w:ascii="宋体" w:hAnsi="宋体"/>
          <w:bCs/>
          <w:sz w:val="24"/>
          <w:highlight w:val="none"/>
        </w:rPr>
      </w:pPr>
      <w:r>
        <w:rPr>
          <w:rFonts w:hint="eastAsia" w:ascii="宋体" w:hAnsi="宋体"/>
          <w:bCs/>
          <w:sz w:val="24"/>
          <w:highlight w:val="none"/>
        </w:rPr>
        <w:t>（3</w:t>
      </w:r>
      <w:r>
        <w:rPr>
          <w:rFonts w:ascii="宋体" w:hAnsi="宋体"/>
          <w:bCs/>
          <w:sz w:val="24"/>
          <w:highlight w:val="none"/>
        </w:rPr>
        <w:t>）</w:t>
      </w:r>
      <w:r>
        <w:rPr>
          <w:rFonts w:hint="eastAsia" w:ascii="宋体" w:hAnsi="宋体"/>
          <w:bCs/>
          <w:sz w:val="24"/>
          <w:highlight w:val="none"/>
        </w:rPr>
        <w:t>投标代表人未能出具身份证明或与法定代表人授权委托人身份不符的；</w:t>
      </w:r>
    </w:p>
    <w:p w14:paraId="208F1B54">
      <w:pPr>
        <w:snapToGrid w:val="0"/>
        <w:spacing w:line="360" w:lineRule="auto"/>
        <w:ind w:firstLine="470" w:firstLineChars="196"/>
        <w:rPr>
          <w:rFonts w:hint="eastAsia" w:hAnsi="宋体"/>
          <w:bCs/>
          <w:sz w:val="24"/>
          <w:highlight w:val="none"/>
        </w:rPr>
      </w:pPr>
      <w:r>
        <w:rPr>
          <w:rFonts w:hAnsi="宋体"/>
          <w:bCs/>
          <w:sz w:val="24"/>
          <w:highlight w:val="none"/>
        </w:rPr>
        <w:t>（</w:t>
      </w:r>
      <w:r>
        <w:rPr>
          <w:rFonts w:hint="eastAsia" w:hAnsi="宋体"/>
          <w:bCs/>
          <w:sz w:val="24"/>
          <w:highlight w:val="none"/>
        </w:rPr>
        <w:t>4</w:t>
      </w:r>
      <w:r>
        <w:rPr>
          <w:rFonts w:hAnsi="宋体"/>
          <w:bCs/>
          <w:sz w:val="24"/>
          <w:highlight w:val="none"/>
        </w:rPr>
        <w:t>）投标文件格式不规范、项目不齐全或者内容虚假的；</w:t>
      </w:r>
    </w:p>
    <w:p w14:paraId="795C64FA">
      <w:pPr>
        <w:snapToGrid w:val="0"/>
        <w:spacing w:line="360" w:lineRule="auto"/>
        <w:ind w:firstLine="470" w:firstLineChars="196"/>
        <w:rPr>
          <w:rFonts w:hint="eastAsia" w:hAnsi="宋体"/>
          <w:bCs/>
          <w:sz w:val="24"/>
          <w:highlight w:val="none"/>
        </w:rPr>
      </w:pPr>
      <w:r>
        <w:rPr>
          <w:rFonts w:hAnsi="宋体"/>
          <w:bCs/>
          <w:sz w:val="24"/>
          <w:highlight w:val="none"/>
        </w:rPr>
        <w:t>（</w:t>
      </w:r>
      <w:r>
        <w:rPr>
          <w:rFonts w:hint="eastAsia" w:hAnsi="宋体"/>
          <w:bCs/>
          <w:sz w:val="24"/>
          <w:highlight w:val="none"/>
        </w:rPr>
        <w:t>5</w:t>
      </w:r>
      <w:r>
        <w:rPr>
          <w:rFonts w:hAnsi="宋体"/>
          <w:bCs/>
          <w:sz w:val="24"/>
          <w:highlight w:val="none"/>
        </w:rPr>
        <w:t>）投标文件的实质性内容未使用中文表述、意思表述不明确、前后矛盾或者使用计量单位不符合招标文件要求的（经评标委员会认定</w:t>
      </w:r>
      <w:r>
        <w:rPr>
          <w:rFonts w:hint="eastAsia" w:hAnsi="宋体"/>
          <w:bCs/>
          <w:sz w:val="24"/>
          <w:highlight w:val="none"/>
        </w:rPr>
        <w:t>并</w:t>
      </w:r>
      <w:r>
        <w:rPr>
          <w:rFonts w:hAnsi="宋体"/>
          <w:bCs/>
          <w:sz w:val="24"/>
          <w:highlight w:val="none"/>
        </w:rPr>
        <w:t>允许其当场更正的笔误除外）</w:t>
      </w:r>
      <w:r>
        <w:rPr>
          <w:rFonts w:hint="eastAsia" w:hAnsi="宋体"/>
          <w:bCs/>
          <w:sz w:val="24"/>
          <w:highlight w:val="none"/>
        </w:rPr>
        <w:t>；</w:t>
      </w:r>
    </w:p>
    <w:p w14:paraId="30141899">
      <w:pPr>
        <w:snapToGrid w:val="0"/>
        <w:spacing w:line="360" w:lineRule="auto"/>
        <w:ind w:firstLine="470" w:firstLineChars="196"/>
        <w:rPr>
          <w:rFonts w:hint="eastAsia" w:hAnsi="宋体"/>
          <w:bCs/>
          <w:sz w:val="24"/>
          <w:highlight w:val="none"/>
        </w:rPr>
      </w:pPr>
      <w:r>
        <w:rPr>
          <w:rFonts w:hAnsi="宋体"/>
          <w:bCs/>
          <w:sz w:val="24"/>
          <w:highlight w:val="none"/>
        </w:rPr>
        <w:t>（</w:t>
      </w:r>
      <w:r>
        <w:rPr>
          <w:rFonts w:hint="eastAsia" w:hAnsi="宋体"/>
          <w:bCs/>
          <w:sz w:val="24"/>
          <w:highlight w:val="none"/>
        </w:rPr>
        <w:t>6</w:t>
      </w:r>
      <w:r>
        <w:rPr>
          <w:rFonts w:hAnsi="宋体"/>
          <w:bCs/>
          <w:sz w:val="24"/>
          <w:highlight w:val="none"/>
        </w:rPr>
        <w:t>）投标有效期、</w:t>
      </w:r>
      <w:r>
        <w:rPr>
          <w:rFonts w:hint="eastAsia" w:hAnsi="宋体"/>
          <w:bCs/>
          <w:sz w:val="24"/>
          <w:highlight w:val="none"/>
        </w:rPr>
        <w:t>交货期</w:t>
      </w:r>
      <w:r>
        <w:rPr>
          <w:rFonts w:hAnsi="宋体"/>
          <w:bCs/>
          <w:sz w:val="24"/>
          <w:highlight w:val="none"/>
        </w:rPr>
        <w:t>、服务期</w:t>
      </w:r>
      <w:r>
        <w:rPr>
          <w:rFonts w:hint="eastAsia" w:hAnsi="宋体"/>
          <w:bCs/>
          <w:sz w:val="24"/>
          <w:highlight w:val="none"/>
        </w:rPr>
        <w:t>、</w:t>
      </w:r>
      <w:r>
        <w:rPr>
          <w:rFonts w:hAnsi="宋体"/>
          <w:bCs/>
          <w:sz w:val="24"/>
          <w:highlight w:val="none"/>
        </w:rPr>
        <w:t>质保期等商务条款不能满足招标文件要求的；</w:t>
      </w:r>
    </w:p>
    <w:p w14:paraId="2B22072C">
      <w:pPr>
        <w:snapToGrid w:val="0"/>
        <w:spacing w:line="360" w:lineRule="auto"/>
        <w:ind w:firstLine="470" w:firstLineChars="196"/>
        <w:rPr>
          <w:sz w:val="24"/>
          <w:highlight w:val="none"/>
        </w:rPr>
      </w:pPr>
      <w:r>
        <w:rPr>
          <w:rFonts w:hAnsi="宋体"/>
          <w:bCs/>
          <w:sz w:val="24"/>
          <w:highlight w:val="none"/>
        </w:rPr>
        <w:t>（</w:t>
      </w:r>
      <w:r>
        <w:rPr>
          <w:rFonts w:hint="eastAsia" w:hAnsi="宋体"/>
          <w:bCs/>
          <w:sz w:val="24"/>
          <w:highlight w:val="none"/>
        </w:rPr>
        <w:t>7</w:t>
      </w:r>
      <w:r>
        <w:rPr>
          <w:rFonts w:hAnsi="宋体"/>
          <w:bCs/>
          <w:sz w:val="24"/>
          <w:highlight w:val="none"/>
        </w:rPr>
        <w:t>）</w:t>
      </w:r>
      <w:r>
        <w:rPr>
          <w:rFonts w:hint="eastAsia" w:hAnsi="宋体"/>
          <w:bCs/>
          <w:sz w:val="24"/>
          <w:highlight w:val="none"/>
        </w:rPr>
        <w:t>未实质性</w:t>
      </w:r>
      <w:r>
        <w:rPr>
          <w:rFonts w:hAnsi="宋体"/>
          <w:bCs/>
          <w:sz w:val="24"/>
          <w:highlight w:val="none"/>
        </w:rPr>
        <w:t>响应招标文件要求或者投标文件有招标方不能接受</w:t>
      </w:r>
      <w:r>
        <w:rPr>
          <w:sz w:val="24"/>
          <w:highlight w:val="none"/>
        </w:rPr>
        <w:t>的附加条件的；</w:t>
      </w:r>
    </w:p>
    <w:p w14:paraId="7271B651">
      <w:pPr>
        <w:snapToGrid w:val="0"/>
        <w:spacing w:line="360" w:lineRule="auto"/>
        <w:ind w:firstLine="470" w:firstLineChars="196"/>
        <w:rPr>
          <w:rFonts w:hint="eastAsia" w:hAnsi="宋体"/>
          <w:bCs/>
          <w:sz w:val="24"/>
          <w:highlight w:val="none"/>
        </w:rPr>
      </w:pPr>
      <w:r>
        <w:rPr>
          <w:rFonts w:hint="eastAsia"/>
          <w:sz w:val="24"/>
          <w:highlight w:val="none"/>
        </w:rPr>
        <w:t>（8）</w:t>
      </w:r>
      <w:r>
        <w:rPr>
          <w:rFonts w:hint="eastAsia" w:hAnsi="宋体"/>
          <w:bCs/>
          <w:sz w:val="24"/>
          <w:highlight w:val="none"/>
        </w:rPr>
        <w:t>供应商提供的《中小企业声明函》未采用本采购文件的模板或提供的《中小企业声明函》未填写完整的或未如实填写《中小企业声明函》的。</w:t>
      </w:r>
    </w:p>
    <w:p w14:paraId="6CC91633">
      <w:pPr>
        <w:snapToGrid w:val="0"/>
        <w:spacing w:line="360" w:lineRule="auto"/>
        <w:ind w:firstLine="470" w:firstLineChars="196"/>
        <w:rPr>
          <w:rFonts w:hint="eastAsia" w:hAnsi="宋体" w:cs="宋体"/>
          <w:sz w:val="24"/>
          <w:highlight w:val="none"/>
        </w:rPr>
      </w:pPr>
      <w:r>
        <w:rPr>
          <w:rFonts w:hint="eastAsia" w:hAnsi="宋体"/>
          <w:bCs/>
          <w:sz w:val="24"/>
          <w:highlight w:val="none"/>
        </w:rPr>
        <w:t>（9）</w:t>
      </w:r>
      <w:r>
        <w:rPr>
          <w:rFonts w:hAnsi="宋体" w:cs="宋体"/>
          <w:sz w:val="24"/>
          <w:highlight w:val="none"/>
        </w:rPr>
        <w:t>供应商在《中小企业声明函》中所填企业规模不是中型、小型或微型企业的。</w:t>
      </w:r>
    </w:p>
    <w:p w14:paraId="02E20743">
      <w:pPr>
        <w:snapToGrid w:val="0"/>
        <w:spacing w:line="360" w:lineRule="auto"/>
        <w:ind w:firstLine="472" w:firstLineChars="196"/>
        <w:rPr>
          <w:rFonts w:hint="eastAsia" w:hAnsi="宋体"/>
          <w:b/>
          <w:bCs/>
          <w:sz w:val="24"/>
          <w:highlight w:val="none"/>
        </w:rPr>
      </w:pPr>
      <w:r>
        <w:rPr>
          <w:rFonts w:hAnsi="宋体"/>
          <w:b/>
          <w:bCs/>
          <w:sz w:val="24"/>
          <w:highlight w:val="none"/>
        </w:rPr>
        <w:t>2</w:t>
      </w:r>
      <w:r>
        <w:rPr>
          <w:rFonts w:hint="eastAsia" w:hAnsi="宋体"/>
          <w:b/>
          <w:bCs/>
          <w:sz w:val="24"/>
          <w:highlight w:val="none"/>
        </w:rPr>
        <w:t>.</w:t>
      </w:r>
      <w:r>
        <w:rPr>
          <w:rFonts w:hAnsi="宋体"/>
          <w:b/>
          <w:bCs/>
          <w:sz w:val="24"/>
          <w:highlight w:val="none"/>
        </w:rPr>
        <w:t>在技术评审时，如发现下列情形之一的，投标文件将被视为无效：</w:t>
      </w:r>
    </w:p>
    <w:p w14:paraId="489A50FA">
      <w:pPr>
        <w:snapToGrid w:val="0"/>
        <w:spacing w:line="360" w:lineRule="auto"/>
        <w:ind w:firstLine="472" w:firstLineChars="196"/>
        <w:rPr>
          <w:rFonts w:hint="eastAsia" w:hAnsi="宋体"/>
          <w:sz w:val="24"/>
          <w:highlight w:val="none"/>
        </w:rPr>
      </w:pPr>
      <w:r>
        <w:rPr>
          <w:rFonts w:hAnsi="宋体"/>
          <w:b/>
          <w:sz w:val="24"/>
          <w:highlight w:val="none"/>
        </w:rPr>
        <w:t>（</w:t>
      </w:r>
      <w:r>
        <w:rPr>
          <w:rFonts w:hAnsi="宋体"/>
          <w:sz w:val="24"/>
          <w:highlight w:val="none"/>
        </w:rPr>
        <w:t>1）未提供或未如实提供投标项目的技术参数，或者投标文件标明的响应或偏离与事实不符或虚假投标的；</w:t>
      </w:r>
    </w:p>
    <w:p w14:paraId="31C83108">
      <w:pPr>
        <w:snapToGrid w:val="0"/>
        <w:spacing w:line="360" w:lineRule="auto"/>
        <w:ind w:firstLine="470" w:firstLineChars="196"/>
        <w:rPr>
          <w:sz w:val="24"/>
          <w:highlight w:val="none"/>
        </w:rPr>
      </w:pPr>
      <w:r>
        <w:rPr>
          <w:sz w:val="24"/>
          <w:highlight w:val="none"/>
        </w:rPr>
        <w:t>（2）明显不符合招标文件</w:t>
      </w:r>
      <w:r>
        <w:rPr>
          <w:rFonts w:hint="eastAsia"/>
          <w:sz w:val="24"/>
          <w:highlight w:val="none"/>
        </w:rPr>
        <w:t>要求</w:t>
      </w:r>
      <w:r>
        <w:rPr>
          <w:sz w:val="24"/>
          <w:highlight w:val="none"/>
        </w:rPr>
        <w:t>的规格型号、质量标准，或者</w:t>
      </w:r>
      <w:r>
        <w:rPr>
          <w:rFonts w:hint="eastAsia"/>
          <w:sz w:val="24"/>
          <w:highlight w:val="none"/>
        </w:rPr>
        <w:t>与</w:t>
      </w:r>
      <w:r>
        <w:rPr>
          <w:sz w:val="24"/>
          <w:highlight w:val="none"/>
        </w:rPr>
        <w:t>招标文件中标“▲”的技术指标、主要功能项目发生实质性偏离的；</w:t>
      </w:r>
    </w:p>
    <w:p w14:paraId="314DB89F">
      <w:pPr>
        <w:snapToGrid w:val="0"/>
        <w:spacing w:line="360" w:lineRule="auto"/>
        <w:ind w:firstLine="470" w:firstLineChars="196"/>
        <w:rPr>
          <w:sz w:val="24"/>
          <w:highlight w:val="none"/>
        </w:rPr>
      </w:pPr>
      <w:r>
        <w:rPr>
          <w:sz w:val="24"/>
          <w:highlight w:val="none"/>
        </w:rPr>
        <w:t>（3）投标技术方案不明确，存在一个或一个以上备选（替代）投标方案的；</w:t>
      </w:r>
    </w:p>
    <w:p w14:paraId="50DC4FF7">
      <w:pPr>
        <w:snapToGrid w:val="0"/>
        <w:spacing w:line="360" w:lineRule="auto"/>
        <w:ind w:firstLine="470" w:firstLineChars="196"/>
        <w:rPr>
          <w:sz w:val="24"/>
          <w:highlight w:val="none"/>
        </w:rPr>
      </w:pPr>
      <w:r>
        <w:rPr>
          <w:sz w:val="24"/>
          <w:highlight w:val="none"/>
        </w:rPr>
        <w:t>（4）</w:t>
      </w:r>
      <w:r>
        <w:rPr>
          <w:rFonts w:hint="eastAsia"/>
          <w:sz w:val="24"/>
          <w:highlight w:val="none"/>
        </w:rPr>
        <w:t>与其他参加本次投标供应商的投标文件（技术文件）的文字表述内容相同连续20行以上或者差错相同2处以上的；</w:t>
      </w:r>
    </w:p>
    <w:p w14:paraId="7F1BE869">
      <w:pPr>
        <w:snapToGrid w:val="0"/>
        <w:spacing w:line="360" w:lineRule="auto"/>
        <w:ind w:firstLine="472" w:firstLineChars="196"/>
        <w:rPr>
          <w:rFonts w:hint="eastAsia" w:hAnsi="宋体"/>
          <w:b/>
          <w:bCs/>
          <w:sz w:val="24"/>
          <w:highlight w:val="none"/>
        </w:rPr>
      </w:pPr>
      <w:r>
        <w:rPr>
          <w:rFonts w:hAnsi="宋体"/>
          <w:b/>
          <w:bCs/>
          <w:sz w:val="24"/>
          <w:highlight w:val="none"/>
        </w:rPr>
        <w:t>3</w:t>
      </w:r>
      <w:r>
        <w:rPr>
          <w:rFonts w:hint="eastAsia" w:hAnsi="宋体"/>
          <w:b/>
          <w:bCs/>
          <w:sz w:val="24"/>
          <w:highlight w:val="none"/>
        </w:rPr>
        <w:t>.</w:t>
      </w:r>
      <w:r>
        <w:rPr>
          <w:rFonts w:hAnsi="宋体"/>
          <w:b/>
          <w:bCs/>
          <w:sz w:val="24"/>
          <w:highlight w:val="none"/>
        </w:rPr>
        <w:t>在报价评审时，如发现下列情形之一的，投标文件将被视为无效：</w:t>
      </w:r>
    </w:p>
    <w:p w14:paraId="4C88BDE8">
      <w:pPr>
        <w:snapToGrid w:val="0"/>
        <w:spacing w:line="360" w:lineRule="auto"/>
        <w:ind w:firstLine="472" w:firstLineChars="196"/>
        <w:rPr>
          <w:rFonts w:hint="eastAsia" w:hAnsi="宋体"/>
          <w:sz w:val="24"/>
          <w:highlight w:val="none"/>
        </w:rPr>
      </w:pPr>
      <w:r>
        <w:rPr>
          <w:rFonts w:hAnsi="宋体"/>
          <w:b/>
          <w:sz w:val="24"/>
          <w:highlight w:val="none"/>
        </w:rPr>
        <w:t>（</w:t>
      </w:r>
      <w:r>
        <w:rPr>
          <w:rFonts w:hAnsi="宋体"/>
          <w:sz w:val="24"/>
          <w:highlight w:val="none"/>
        </w:rPr>
        <w:t>1）未采用人民币报价或者未按照招标文件标明的币种报价的；</w:t>
      </w:r>
    </w:p>
    <w:p w14:paraId="234EC7F4">
      <w:pPr>
        <w:snapToGrid w:val="0"/>
        <w:spacing w:line="360" w:lineRule="auto"/>
        <w:ind w:firstLine="472" w:firstLineChars="196"/>
        <w:rPr>
          <w:rFonts w:hint="eastAsia" w:hAnsi="宋体"/>
          <w:sz w:val="24"/>
          <w:highlight w:val="none"/>
        </w:rPr>
      </w:pPr>
      <w:r>
        <w:rPr>
          <w:rFonts w:hAnsi="宋体"/>
          <w:b/>
          <w:sz w:val="24"/>
          <w:highlight w:val="none"/>
        </w:rPr>
        <w:t>（</w:t>
      </w:r>
      <w:r>
        <w:rPr>
          <w:rFonts w:hAnsi="宋体"/>
          <w:sz w:val="24"/>
          <w:highlight w:val="none"/>
        </w:rPr>
        <w:t>2）报价超出最高限价的</w:t>
      </w:r>
      <w:r>
        <w:rPr>
          <w:rFonts w:hint="eastAsia" w:hAnsi="宋体"/>
          <w:sz w:val="24"/>
          <w:highlight w:val="none"/>
        </w:rPr>
        <w:t>；</w:t>
      </w:r>
    </w:p>
    <w:p w14:paraId="27E03DD4">
      <w:pPr>
        <w:snapToGrid w:val="0"/>
        <w:spacing w:line="360" w:lineRule="auto"/>
        <w:ind w:firstLine="470" w:firstLineChars="196"/>
        <w:rPr>
          <w:rFonts w:hint="eastAsia" w:hAnsi="宋体"/>
          <w:sz w:val="24"/>
          <w:highlight w:val="none"/>
        </w:rPr>
      </w:pPr>
      <w:r>
        <w:rPr>
          <w:rFonts w:hint="eastAsia" w:hAnsi="宋体"/>
          <w:sz w:val="24"/>
          <w:highlight w:val="none"/>
        </w:rPr>
        <w:t>（3）投标报价具有选择性，或者开标价格与投标文件承诺的优惠（折扣）价格不一致的；</w:t>
      </w:r>
    </w:p>
    <w:p w14:paraId="7545DD25">
      <w:pPr>
        <w:snapToGrid w:val="0"/>
        <w:spacing w:line="360" w:lineRule="auto"/>
        <w:ind w:firstLine="472" w:firstLineChars="196"/>
        <w:rPr>
          <w:rFonts w:hint="eastAsia" w:hAnsi="宋体"/>
          <w:b/>
          <w:sz w:val="24"/>
          <w:highlight w:val="none"/>
        </w:rPr>
      </w:pPr>
      <w:r>
        <w:rPr>
          <w:rFonts w:hAnsi="宋体"/>
          <w:b/>
          <w:sz w:val="24"/>
          <w:highlight w:val="none"/>
        </w:rPr>
        <w:t>4</w:t>
      </w:r>
      <w:r>
        <w:rPr>
          <w:rFonts w:hint="eastAsia" w:hAnsi="宋体"/>
          <w:b/>
          <w:sz w:val="24"/>
          <w:highlight w:val="none"/>
        </w:rPr>
        <w:t>.</w:t>
      </w:r>
      <w:r>
        <w:rPr>
          <w:rFonts w:hAnsi="宋体"/>
          <w:b/>
          <w:sz w:val="24"/>
          <w:highlight w:val="none"/>
        </w:rPr>
        <w:t>被拒绝的投标文件为无效。</w:t>
      </w:r>
    </w:p>
    <w:p w14:paraId="001E4BF4">
      <w:pPr>
        <w:snapToGrid w:val="0"/>
        <w:spacing w:line="360" w:lineRule="auto"/>
        <w:ind w:firstLine="472" w:firstLineChars="196"/>
        <w:rPr>
          <w:rFonts w:hint="eastAsia" w:hAnsi="宋体"/>
          <w:b/>
          <w:sz w:val="24"/>
          <w:highlight w:val="none"/>
        </w:rPr>
      </w:pPr>
      <w:r>
        <w:rPr>
          <w:rFonts w:hint="eastAsia" w:hAnsi="宋体"/>
          <w:b/>
          <w:sz w:val="24"/>
          <w:highlight w:val="none"/>
        </w:rPr>
        <w:t>5.仅提供备份投标文件的无效。</w:t>
      </w:r>
    </w:p>
    <w:p w14:paraId="1F777CE4">
      <w:pPr>
        <w:snapToGrid w:val="0"/>
        <w:spacing w:line="360" w:lineRule="auto"/>
        <w:ind w:firstLine="472" w:firstLineChars="196"/>
        <w:rPr>
          <w:rFonts w:hint="eastAsia" w:hAnsi="宋体"/>
          <w:b/>
          <w:sz w:val="24"/>
          <w:highlight w:val="none"/>
        </w:rPr>
      </w:pPr>
      <w:r>
        <w:rPr>
          <w:rFonts w:hint="eastAsia" w:hAnsi="宋体"/>
          <w:b/>
          <w:sz w:val="24"/>
          <w:highlight w:val="none"/>
        </w:rPr>
        <w:t>四、开标</w:t>
      </w:r>
    </w:p>
    <w:p w14:paraId="47A9AF4B">
      <w:pPr>
        <w:snapToGrid w:val="0"/>
        <w:spacing w:line="360" w:lineRule="auto"/>
        <w:ind w:firstLine="472" w:firstLineChars="196"/>
        <w:rPr>
          <w:rFonts w:hint="eastAsia" w:hAnsi="宋体"/>
          <w:b/>
          <w:sz w:val="24"/>
          <w:highlight w:val="none"/>
        </w:rPr>
      </w:pPr>
      <w:r>
        <w:rPr>
          <w:rFonts w:hAnsi="宋体"/>
          <w:b/>
          <w:sz w:val="24"/>
          <w:highlight w:val="none"/>
        </w:rPr>
        <w:t>（一）开标准备</w:t>
      </w:r>
    </w:p>
    <w:p w14:paraId="3DA272CA">
      <w:pPr>
        <w:snapToGrid w:val="0"/>
        <w:spacing w:line="360" w:lineRule="auto"/>
        <w:ind w:firstLine="470" w:firstLineChars="196"/>
        <w:rPr>
          <w:rFonts w:hint="eastAsia" w:hAnsi="宋体"/>
          <w:sz w:val="24"/>
          <w:highlight w:val="none"/>
        </w:rPr>
      </w:pPr>
      <w:r>
        <w:rPr>
          <w:rFonts w:hint="eastAsia" w:hAnsi="宋体"/>
          <w:sz w:val="24"/>
          <w:highlight w:val="none"/>
        </w:rPr>
        <w:t>1.组织机构将按照招标文件规定的时间通过“政府采购云平台”组织开标、开启投标文件，所有供应商均应当准时在线参加。</w:t>
      </w:r>
    </w:p>
    <w:p w14:paraId="5C43E095">
      <w:pPr>
        <w:snapToGrid w:val="0"/>
        <w:spacing w:line="360" w:lineRule="auto"/>
        <w:ind w:firstLine="470" w:firstLineChars="196"/>
        <w:rPr>
          <w:rFonts w:hint="eastAsia" w:hAnsi="宋体"/>
          <w:sz w:val="24"/>
          <w:highlight w:val="none"/>
        </w:rPr>
      </w:pPr>
      <w:r>
        <w:rPr>
          <w:rFonts w:hint="eastAsia" w:hAnsi="宋体"/>
          <w:sz w:val="24"/>
          <w:highlight w:val="none"/>
        </w:rPr>
        <w:t>2.按照“不见面、少接触”的原则，本项目原则上采取“不见面”形式进行开评标活动，法定代表人或其授权代表无须到场，在线响应即可（通过指定的电子邮箱、传真等），但也允许供应商派授权代表出席开标会议。</w:t>
      </w:r>
    </w:p>
    <w:p w14:paraId="6C7BE41B">
      <w:pPr>
        <w:snapToGrid w:val="0"/>
        <w:spacing w:line="360" w:lineRule="auto"/>
        <w:ind w:firstLine="472" w:firstLineChars="196"/>
        <w:rPr>
          <w:rFonts w:hint="eastAsia" w:hAnsi="宋体"/>
          <w:b/>
          <w:sz w:val="24"/>
          <w:highlight w:val="none"/>
        </w:rPr>
      </w:pPr>
      <w:r>
        <w:rPr>
          <w:rFonts w:hAnsi="宋体"/>
          <w:b/>
          <w:sz w:val="24"/>
          <w:highlight w:val="none"/>
        </w:rPr>
        <w:t>（二）开标程序：</w:t>
      </w:r>
    </w:p>
    <w:p w14:paraId="5E83C42D">
      <w:pPr>
        <w:snapToGrid w:val="0"/>
        <w:spacing w:line="360" w:lineRule="auto"/>
        <w:ind w:firstLine="470" w:firstLineChars="196"/>
        <w:rPr>
          <w:rFonts w:hint="eastAsia" w:hAnsi="宋体"/>
          <w:sz w:val="24"/>
          <w:highlight w:val="none"/>
        </w:rPr>
      </w:pPr>
      <w:r>
        <w:rPr>
          <w:rFonts w:hint="eastAsia" w:hAnsi="宋体"/>
          <w:sz w:val="24"/>
          <w:highlight w:val="none"/>
        </w:rPr>
        <w:t>1.开标的准备工作由采购组织机构负责落实；</w:t>
      </w:r>
    </w:p>
    <w:p w14:paraId="692E8F11">
      <w:pPr>
        <w:snapToGrid w:val="0"/>
        <w:spacing w:line="360" w:lineRule="auto"/>
        <w:ind w:firstLine="470" w:firstLineChars="196"/>
        <w:rPr>
          <w:rFonts w:hint="eastAsia" w:hAnsi="宋体"/>
          <w:sz w:val="24"/>
          <w:highlight w:val="none"/>
        </w:rPr>
      </w:pPr>
      <w:r>
        <w:rPr>
          <w:rFonts w:hint="eastAsia" w:hAnsi="宋体"/>
          <w:sz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C7EE1DF">
      <w:pPr>
        <w:snapToGrid w:val="0"/>
        <w:spacing w:line="360" w:lineRule="auto"/>
        <w:ind w:firstLine="472" w:firstLineChars="196"/>
        <w:rPr>
          <w:rFonts w:hint="eastAsia" w:hAnsi="宋体"/>
          <w:b/>
          <w:sz w:val="24"/>
          <w:highlight w:val="none"/>
        </w:rPr>
      </w:pPr>
      <w:r>
        <w:rPr>
          <w:rFonts w:hint="eastAsia" w:hAnsi="宋体"/>
          <w:b/>
          <w:sz w:val="24"/>
          <w:highlight w:val="none"/>
        </w:rPr>
        <w:t>（三）开标流程</w:t>
      </w:r>
    </w:p>
    <w:p w14:paraId="10F8161A">
      <w:pPr>
        <w:snapToGrid w:val="0"/>
        <w:spacing w:line="360" w:lineRule="auto"/>
        <w:ind w:firstLine="470" w:firstLineChars="196"/>
        <w:rPr>
          <w:rFonts w:hint="eastAsia" w:hAnsi="宋体"/>
          <w:sz w:val="24"/>
          <w:highlight w:val="none"/>
        </w:rPr>
      </w:pPr>
      <w:r>
        <w:rPr>
          <w:rFonts w:hint="eastAsia" w:hAnsi="宋体"/>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D359CC4">
      <w:pPr>
        <w:snapToGrid w:val="0"/>
        <w:spacing w:line="360" w:lineRule="auto"/>
        <w:ind w:firstLine="470" w:firstLineChars="196"/>
        <w:rPr>
          <w:rFonts w:hint="eastAsia" w:hAnsi="宋体"/>
          <w:sz w:val="24"/>
          <w:highlight w:val="none"/>
        </w:rPr>
      </w:pPr>
      <w:r>
        <w:rPr>
          <w:rFonts w:hint="eastAsia" w:hAnsi="宋体"/>
          <w:sz w:val="24"/>
          <w:highlight w:val="none"/>
        </w:rPr>
        <w:t>2.投标文件解密结束；</w:t>
      </w:r>
    </w:p>
    <w:p w14:paraId="596ECF0F">
      <w:pPr>
        <w:snapToGrid w:val="0"/>
        <w:spacing w:line="360" w:lineRule="auto"/>
        <w:ind w:firstLine="470" w:firstLineChars="196"/>
        <w:rPr>
          <w:rFonts w:hint="eastAsia" w:hAnsi="宋体"/>
          <w:sz w:val="24"/>
          <w:highlight w:val="none"/>
        </w:rPr>
      </w:pPr>
      <w:r>
        <w:rPr>
          <w:rFonts w:hint="eastAsia" w:hAnsi="宋体"/>
          <w:sz w:val="24"/>
          <w:highlight w:val="none"/>
        </w:rPr>
        <w:t>3.开启投标文件，进入资格审查；</w:t>
      </w:r>
    </w:p>
    <w:p w14:paraId="3299588A">
      <w:pPr>
        <w:snapToGrid w:val="0"/>
        <w:spacing w:line="360" w:lineRule="auto"/>
        <w:ind w:firstLine="470" w:firstLineChars="196"/>
        <w:rPr>
          <w:rFonts w:hint="eastAsia" w:hAnsi="宋体"/>
          <w:sz w:val="24"/>
          <w:highlight w:val="none"/>
        </w:rPr>
      </w:pPr>
      <w:r>
        <w:rPr>
          <w:rFonts w:hint="eastAsia" w:hAnsi="宋体"/>
          <w:sz w:val="24"/>
          <w:highlight w:val="none"/>
        </w:rPr>
        <w:t>4.开启资格审查通过的投标供应商的商务技术文件进入符合性审查、商务技术评审；</w:t>
      </w:r>
    </w:p>
    <w:p w14:paraId="2B9D844E">
      <w:pPr>
        <w:snapToGrid w:val="0"/>
        <w:spacing w:line="360" w:lineRule="auto"/>
        <w:ind w:firstLine="470" w:firstLineChars="196"/>
        <w:rPr>
          <w:rFonts w:hint="eastAsia" w:hAnsi="宋体"/>
          <w:sz w:val="24"/>
          <w:highlight w:val="none"/>
        </w:rPr>
      </w:pPr>
      <w:r>
        <w:rPr>
          <w:rFonts w:hint="eastAsia" w:hAnsi="宋体"/>
          <w:sz w:val="24"/>
          <w:highlight w:val="none"/>
        </w:rPr>
        <w:t>1）符合性审查、商务技术评审结束后，公布符合性审查、商务技术评审无效供应商名称及理由；公布经商务技术评审后有效投标供应商的名单，同时公布其商务技术部分得分情况。</w:t>
      </w:r>
    </w:p>
    <w:p w14:paraId="298CDE42">
      <w:pPr>
        <w:snapToGrid w:val="0"/>
        <w:spacing w:line="360" w:lineRule="auto"/>
        <w:ind w:firstLine="470" w:firstLineChars="196"/>
        <w:rPr>
          <w:rFonts w:hint="eastAsia" w:hAnsi="宋体"/>
          <w:sz w:val="24"/>
          <w:highlight w:val="none"/>
        </w:rPr>
      </w:pPr>
      <w:r>
        <w:rPr>
          <w:rFonts w:hint="eastAsia" w:hAnsi="宋体"/>
          <w:sz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7CDD4770">
      <w:pPr>
        <w:snapToGrid w:val="0"/>
        <w:spacing w:line="360" w:lineRule="auto"/>
        <w:ind w:firstLine="470" w:firstLineChars="196"/>
        <w:rPr>
          <w:rFonts w:hint="eastAsia" w:hAnsi="宋体"/>
          <w:sz w:val="24"/>
          <w:highlight w:val="none"/>
        </w:rPr>
      </w:pPr>
      <w:r>
        <w:rPr>
          <w:rFonts w:hint="eastAsia" w:hAnsi="宋体"/>
          <w:sz w:val="24"/>
          <w:highlight w:val="none"/>
        </w:rPr>
        <w:t>3）公布报价部分得分情况；</w:t>
      </w:r>
    </w:p>
    <w:p w14:paraId="21B83B84">
      <w:pPr>
        <w:snapToGrid w:val="0"/>
        <w:spacing w:line="360" w:lineRule="auto"/>
        <w:ind w:firstLine="470" w:firstLineChars="196"/>
        <w:rPr>
          <w:rFonts w:hint="eastAsia" w:hAnsi="宋体"/>
          <w:sz w:val="24"/>
          <w:highlight w:val="none"/>
        </w:rPr>
      </w:pPr>
      <w:r>
        <w:rPr>
          <w:rFonts w:hint="eastAsia" w:hAnsi="宋体"/>
          <w:sz w:val="24"/>
          <w:highlight w:val="none"/>
        </w:rPr>
        <w:t>4）评审结束后，公布中标（成交）候选供应商名单等。</w:t>
      </w:r>
    </w:p>
    <w:p w14:paraId="185A6BFD">
      <w:pPr>
        <w:snapToGrid w:val="0"/>
        <w:spacing w:line="360" w:lineRule="auto"/>
        <w:ind w:firstLine="470" w:firstLineChars="196"/>
        <w:rPr>
          <w:rFonts w:hint="eastAsia" w:hAnsi="宋体"/>
          <w:sz w:val="24"/>
          <w:highlight w:val="none"/>
        </w:rPr>
      </w:pPr>
      <w:r>
        <w:rPr>
          <w:rFonts w:hint="eastAsia" w:hAnsi="宋体"/>
          <w:sz w:val="24"/>
          <w:highlight w:val="none"/>
        </w:rPr>
        <w:t>5）开标结束。</w:t>
      </w:r>
    </w:p>
    <w:p w14:paraId="63F3D652">
      <w:pPr>
        <w:snapToGrid w:val="0"/>
        <w:spacing w:line="360" w:lineRule="auto"/>
        <w:rPr>
          <w:rFonts w:hint="eastAsia" w:hAnsi="宋体"/>
          <w:sz w:val="24"/>
          <w:highlight w:val="none"/>
        </w:rPr>
      </w:pPr>
      <w:r>
        <w:rPr>
          <w:rFonts w:hint="eastAsia" w:hAnsi="宋体"/>
          <w:sz w:val="24"/>
          <w:highlight w:val="none"/>
        </w:rPr>
        <w:t>特别说明：如遇“政府采购云平台”电子化开标或评审程序调整的，按调整后程序执行。</w:t>
      </w:r>
      <w:bookmarkStart w:id="28" w:name="_Toc33194393"/>
      <w:bookmarkStart w:id="29" w:name="_Toc24550037"/>
    </w:p>
    <w:p w14:paraId="632DD6C5">
      <w:pPr>
        <w:snapToGrid w:val="0"/>
        <w:spacing w:line="360" w:lineRule="auto"/>
        <w:ind w:firstLine="472" w:firstLineChars="196"/>
        <w:rPr>
          <w:rFonts w:hint="eastAsia" w:hAnsi="宋体"/>
          <w:b/>
          <w:sz w:val="24"/>
          <w:highlight w:val="none"/>
        </w:rPr>
      </w:pPr>
      <w:r>
        <w:rPr>
          <w:rFonts w:hint="eastAsia" w:hAnsi="宋体"/>
          <w:b/>
          <w:sz w:val="24"/>
          <w:highlight w:val="none"/>
        </w:rPr>
        <w:t>（四）投标供应商资格审查</w:t>
      </w:r>
      <w:bookmarkEnd w:id="28"/>
      <w:bookmarkEnd w:id="29"/>
    </w:p>
    <w:p w14:paraId="5213EC6F">
      <w:pPr>
        <w:snapToGrid w:val="0"/>
        <w:spacing w:line="360" w:lineRule="auto"/>
        <w:ind w:firstLine="470" w:firstLineChars="196"/>
        <w:rPr>
          <w:rFonts w:hint="eastAsia" w:hAnsi="宋体"/>
          <w:sz w:val="24"/>
          <w:highlight w:val="none"/>
        </w:rPr>
      </w:pPr>
      <w:r>
        <w:rPr>
          <w:rFonts w:hint="eastAsia" w:hAnsi="宋体"/>
          <w:sz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7DBB9ED">
      <w:pPr>
        <w:pStyle w:val="13"/>
        <w:snapToGrid w:val="0"/>
        <w:spacing w:beforeLines="0" w:afterLines="0" w:line="360" w:lineRule="auto"/>
        <w:ind w:firstLine="480" w:firstLineChars="200"/>
        <w:rPr>
          <w:rFonts w:hint="eastAsia" w:hAnsi="宋体"/>
          <w:sz w:val="24"/>
          <w:highlight w:val="none"/>
        </w:rPr>
      </w:pPr>
      <w:r>
        <w:rPr>
          <w:rFonts w:hint="eastAsia" w:hAnsi="宋体"/>
          <w:sz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9F563F2">
      <w:pPr>
        <w:pStyle w:val="13"/>
        <w:snapToGrid w:val="0"/>
        <w:spacing w:beforeLines="0" w:afterLines="0" w:line="360" w:lineRule="auto"/>
        <w:ind w:firstLine="480" w:firstLineChars="200"/>
        <w:rPr>
          <w:rFonts w:hint="eastAsia" w:hAnsi="宋体"/>
          <w:bCs/>
          <w:sz w:val="24"/>
          <w:highlight w:val="none"/>
        </w:rPr>
      </w:pPr>
      <w:r>
        <w:rPr>
          <w:rFonts w:hint="eastAsia" w:hAnsi="宋体"/>
          <w:sz w:val="24"/>
          <w:highlight w:val="none"/>
        </w:rPr>
        <w:t>3.单位负责人为同一人或者存在直接控股、管理关系的不同供应商参加同一合同项下的政府采购活动的，相关投标供应商均作资格无效处理。</w:t>
      </w:r>
    </w:p>
    <w:p w14:paraId="303D8E8C">
      <w:pPr>
        <w:pStyle w:val="13"/>
        <w:snapToGrid w:val="0"/>
        <w:spacing w:beforeLines="0" w:afterLines="0" w:line="360" w:lineRule="auto"/>
        <w:ind w:left="802" w:leftChars="267" w:hanging="241" w:hangingChars="100"/>
        <w:outlineLvl w:val="1"/>
        <w:rPr>
          <w:rFonts w:hint="eastAsia" w:hAnsi="宋体"/>
          <w:b/>
          <w:sz w:val="24"/>
          <w:highlight w:val="none"/>
        </w:rPr>
      </w:pPr>
      <w:r>
        <w:rPr>
          <w:rFonts w:hint="eastAsia" w:hAnsi="宋体"/>
          <w:b/>
          <w:sz w:val="24"/>
          <w:highlight w:val="none"/>
        </w:rPr>
        <w:t>五、评标</w:t>
      </w:r>
    </w:p>
    <w:p w14:paraId="180908D6">
      <w:pPr>
        <w:pStyle w:val="13"/>
        <w:snapToGrid w:val="0"/>
        <w:spacing w:beforeLines="0" w:afterLines="0" w:line="360" w:lineRule="auto"/>
        <w:ind w:left="720" w:leftChars="228" w:hanging="241" w:hangingChars="100"/>
        <w:rPr>
          <w:rFonts w:hint="eastAsia" w:hAnsi="宋体"/>
          <w:b/>
          <w:sz w:val="24"/>
          <w:highlight w:val="none"/>
        </w:rPr>
      </w:pPr>
      <w:r>
        <w:rPr>
          <w:rFonts w:hAnsi="宋体"/>
          <w:b/>
          <w:sz w:val="24"/>
          <w:highlight w:val="none"/>
        </w:rPr>
        <w:t>（一）组建评标委员会</w:t>
      </w:r>
    </w:p>
    <w:p w14:paraId="60CEB632">
      <w:pPr>
        <w:pStyle w:val="13"/>
        <w:snapToGrid w:val="0"/>
        <w:spacing w:beforeLines="0" w:afterLines="0" w:line="360" w:lineRule="auto"/>
        <w:ind w:firstLine="480" w:firstLineChars="200"/>
        <w:rPr>
          <w:rFonts w:hint="eastAsia" w:hAnsi="宋体"/>
          <w:sz w:val="24"/>
          <w:highlight w:val="none"/>
        </w:rPr>
      </w:pPr>
      <w:r>
        <w:rPr>
          <w:rFonts w:hAnsi="宋体"/>
          <w:sz w:val="24"/>
          <w:highlight w:val="none"/>
        </w:rPr>
        <w:t>本项目评标委员会由政府</w:t>
      </w:r>
      <w:r>
        <w:rPr>
          <w:rFonts w:hint="eastAsia" w:hAnsi="宋体"/>
          <w:sz w:val="24"/>
          <w:highlight w:val="none"/>
        </w:rPr>
        <w:t>采购评审专家</w:t>
      </w:r>
      <w:r>
        <w:rPr>
          <w:rFonts w:hint="eastAsia" w:hAnsi="宋体"/>
          <w:sz w:val="24"/>
          <w:highlight w:val="none"/>
          <w:u w:val="single"/>
        </w:rPr>
        <w:t>4</w:t>
      </w:r>
      <w:r>
        <w:rPr>
          <w:rFonts w:hint="eastAsia" w:hAnsi="宋体"/>
          <w:sz w:val="24"/>
          <w:highlight w:val="none"/>
        </w:rPr>
        <w:t>人和采购人代表</w:t>
      </w:r>
      <w:r>
        <w:rPr>
          <w:rFonts w:hint="eastAsia" w:hAnsi="宋体"/>
          <w:sz w:val="24"/>
          <w:highlight w:val="none"/>
          <w:u w:val="single"/>
        </w:rPr>
        <w:t>1</w:t>
      </w:r>
      <w:r>
        <w:rPr>
          <w:rFonts w:hint="eastAsia" w:hAnsi="宋体"/>
          <w:sz w:val="24"/>
          <w:highlight w:val="none"/>
        </w:rPr>
        <w:t>人，共</w:t>
      </w:r>
      <w:r>
        <w:rPr>
          <w:rFonts w:hint="eastAsia" w:hAnsi="宋体"/>
          <w:sz w:val="24"/>
          <w:highlight w:val="none"/>
          <w:u w:val="single"/>
        </w:rPr>
        <w:t>5</w:t>
      </w:r>
      <w:r>
        <w:rPr>
          <w:rFonts w:hint="eastAsia" w:hAnsi="宋体"/>
          <w:sz w:val="24"/>
          <w:highlight w:val="none"/>
        </w:rPr>
        <w:t>人组成。</w:t>
      </w:r>
    </w:p>
    <w:p w14:paraId="7F9C3845">
      <w:pPr>
        <w:pStyle w:val="13"/>
        <w:snapToGrid w:val="0"/>
        <w:spacing w:beforeLines="0" w:afterLines="0" w:line="360" w:lineRule="auto"/>
        <w:ind w:firstLine="482" w:firstLineChars="200"/>
        <w:rPr>
          <w:rFonts w:hint="eastAsia" w:hAnsi="宋体"/>
          <w:b/>
          <w:sz w:val="24"/>
          <w:highlight w:val="none"/>
        </w:rPr>
      </w:pPr>
      <w:r>
        <w:rPr>
          <w:rFonts w:hAnsi="宋体"/>
          <w:b/>
          <w:sz w:val="24"/>
          <w:highlight w:val="none"/>
        </w:rPr>
        <w:t>（二）评标的方式</w:t>
      </w:r>
    </w:p>
    <w:p w14:paraId="50525C7B">
      <w:pPr>
        <w:pStyle w:val="13"/>
        <w:snapToGrid w:val="0"/>
        <w:spacing w:beforeLines="0" w:afterLines="0" w:line="360" w:lineRule="auto"/>
        <w:ind w:left="719" w:leftChars="228" w:hanging="240" w:hangingChars="100"/>
        <w:rPr>
          <w:rFonts w:hint="eastAsia" w:hAnsi="宋体"/>
          <w:sz w:val="24"/>
          <w:highlight w:val="none"/>
        </w:rPr>
      </w:pPr>
      <w:r>
        <w:rPr>
          <w:rFonts w:hAnsi="宋体"/>
          <w:sz w:val="24"/>
          <w:highlight w:val="none"/>
        </w:rPr>
        <w:t>本项目采用不公开方式评标，评标的依据为招标文件和投标文件。</w:t>
      </w:r>
    </w:p>
    <w:p w14:paraId="55240A42">
      <w:pPr>
        <w:pStyle w:val="13"/>
        <w:snapToGrid w:val="0"/>
        <w:spacing w:beforeLines="0" w:afterLines="0" w:line="360" w:lineRule="auto"/>
        <w:ind w:left="720" w:leftChars="228" w:hanging="241" w:hangingChars="100"/>
        <w:rPr>
          <w:rFonts w:hint="eastAsia" w:hAnsi="宋体"/>
          <w:b/>
          <w:bCs/>
          <w:sz w:val="24"/>
          <w:highlight w:val="none"/>
        </w:rPr>
      </w:pPr>
      <w:r>
        <w:rPr>
          <w:rFonts w:hAnsi="宋体"/>
          <w:b/>
          <w:sz w:val="24"/>
          <w:highlight w:val="none"/>
        </w:rPr>
        <w:t>（三）</w:t>
      </w:r>
      <w:r>
        <w:rPr>
          <w:rFonts w:hAnsi="宋体"/>
          <w:b/>
          <w:bCs/>
          <w:sz w:val="24"/>
          <w:highlight w:val="none"/>
        </w:rPr>
        <w:t>评标程序</w:t>
      </w:r>
    </w:p>
    <w:p w14:paraId="04BF8A29">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1.对所有通过资格审查的投标供应商的投标文件进行初步审查，审查、评价投标文件是否符合招标文件的商务、技术、服务等实质性要求。</w:t>
      </w:r>
    </w:p>
    <w:p w14:paraId="59A8536C">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24CD649A">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7E3262AF">
      <w:pPr>
        <w:snapToGrid w:val="0"/>
        <w:spacing w:line="360" w:lineRule="auto"/>
        <w:ind w:firstLine="482" w:firstLineChars="200"/>
        <w:rPr>
          <w:rFonts w:hint="eastAsia" w:ascii="宋体" w:hAnsi="宋体"/>
          <w:b/>
          <w:sz w:val="24"/>
          <w:highlight w:val="none"/>
        </w:rPr>
      </w:pPr>
      <w:r>
        <w:rPr>
          <w:rFonts w:hint="eastAsia" w:ascii="宋体" w:hAnsi="宋体"/>
          <w:b/>
          <w:sz w:val="24"/>
          <w:highlight w:val="none"/>
        </w:rPr>
        <w:t>（四）澄清问题的形式</w:t>
      </w:r>
    </w:p>
    <w:p w14:paraId="4CA20422">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ECFE737">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5063B5E">
      <w:pPr>
        <w:snapToGrid w:val="0"/>
        <w:spacing w:line="360" w:lineRule="auto"/>
        <w:ind w:firstLine="482" w:firstLineChars="200"/>
        <w:rPr>
          <w:rFonts w:hint="eastAsia" w:ascii="宋体" w:hAnsi="宋体"/>
          <w:b/>
          <w:sz w:val="24"/>
          <w:highlight w:val="none"/>
        </w:rPr>
      </w:pPr>
      <w:r>
        <w:rPr>
          <w:rFonts w:ascii="宋体" w:hAnsi="宋体"/>
          <w:b/>
          <w:sz w:val="24"/>
          <w:highlight w:val="none"/>
        </w:rPr>
        <w:t>（五）错误修正</w:t>
      </w:r>
    </w:p>
    <w:p w14:paraId="4B557B78">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投标文件如果出现计算或表达上的错误，修正错误的原则如下：</w:t>
      </w:r>
    </w:p>
    <w:p w14:paraId="248004A6">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1</w:t>
      </w:r>
      <w:r>
        <w:rPr>
          <w:rFonts w:hint="eastAsia" w:hAnsi="宋体"/>
          <w:sz w:val="24"/>
          <w:highlight w:val="none"/>
        </w:rPr>
        <w:t>.开标一览表总价与投标报价明细表汇总数不一致的，以开标一览表为准；</w:t>
      </w:r>
    </w:p>
    <w:p w14:paraId="3B4904AE">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2</w:t>
      </w:r>
      <w:r>
        <w:rPr>
          <w:rFonts w:hint="eastAsia" w:hAnsi="宋体"/>
          <w:sz w:val="24"/>
          <w:highlight w:val="none"/>
        </w:rPr>
        <w:t>.</w:t>
      </w:r>
      <w:r>
        <w:rPr>
          <w:rFonts w:hAnsi="宋体"/>
          <w:sz w:val="24"/>
          <w:highlight w:val="none"/>
        </w:rPr>
        <w:t>投标文件的大写金额和小写金额不一致的，以大写金额为准；</w:t>
      </w:r>
    </w:p>
    <w:p w14:paraId="5368AD4C">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总价金额与按单价汇总金额不一致的，以单价金额计算结果为准；</w:t>
      </w:r>
    </w:p>
    <w:p w14:paraId="6D70BE19">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对不同文字文本投标文件的解释发生异议的，以中文文本为准。</w:t>
      </w:r>
    </w:p>
    <w:p w14:paraId="7EBE2F57">
      <w:pPr>
        <w:pStyle w:val="13"/>
        <w:snapToGrid w:val="0"/>
        <w:spacing w:beforeLines="0" w:afterLines="0" w:line="360" w:lineRule="auto"/>
        <w:ind w:firstLine="482" w:firstLineChars="200"/>
        <w:rPr>
          <w:rFonts w:hint="eastAsia" w:hAnsi="宋体"/>
          <w:b/>
          <w:bCs/>
          <w:sz w:val="24"/>
          <w:highlight w:val="none"/>
        </w:rPr>
      </w:pPr>
      <w:r>
        <w:rPr>
          <w:rFonts w:hAnsi="宋体"/>
          <w:b/>
          <w:bCs/>
          <w:sz w:val="24"/>
          <w:highlight w:val="none"/>
        </w:rPr>
        <w:t>按上述修正错误的原则及方法调整或修正投标文件的投标报价，投标人同意</w:t>
      </w:r>
      <w:r>
        <w:rPr>
          <w:rFonts w:hint="eastAsia" w:hAnsi="宋体"/>
          <w:b/>
          <w:bCs/>
          <w:sz w:val="24"/>
          <w:highlight w:val="none"/>
        </w:rPr>
        <w:t>并签字确认</w:t>
      </w:r>
      <w:r>
        <w:rPr>
          <w:rFonts w:hAnsi="宋体"/>
          <w:b/>
          <w:bCs/>
          <w:sz w:val="24"/>
          <w:highlight w:val="none"/>
        </w:rPr>
        <w:t>后，调整后的投标报价对投标人具有约束作用。如果投标人不接受修正后的报价，则其投标将</w:t>
      </w:r>
      <w:r>
        <w:rPr>
          <w:rFonts w:hint="eastAsia" w:hAnsi="宋体"/>
          <w:b/>
          <w:bCs/>
          <w:sz w:val="24"/>
          <w:highlight w:val="none"/>
        </w:rPr>
        <w:t>作为无效投标处理</w:t>
      </w:r>
      <w:r>
        <w:rPr>
          <w:rFonts w:hAnsi="宋体"/>
          <w:b/>
          <w:bCs/>
          <w:sz w:val="24"/>
          <w:highlight w:val="none"/>
        </w:rPr>
        <w:t>。</w:t>
      </w:r>
    </w:p>
    <w:p w14:paraId="70A8DE22">
      <w:pPr>
        <w:pStyle w:val="13"/>
        <w:tabs>
          <w:tab w:val="left" w:pos="630"/>
        </w:tabs>
        <w:snapToGrid w:val="0"/>
        <w:spacing w:beforeLines="0" w:afterLines="0" w:line="360" w:lineRule="auto"/>
        <w:ind w:firstLine="472" w:firstLineChars="196"/>
        <w:rPr>
          <w:rFonts w:hint="eastAsia" w:hAnsi="宋体"/>
          <w:b/>
          <w:sz w:val="24"/>
          <w:highlight w:val="none"/>
        </w:rPr>
      </w:pPr>
      <w:r>
        <w:rPr>
          <w:rFonts w:hAnsi="宋体"/>
          <w:b/>
          <w:sz w:val="24"/>
          <w:highlight w:val="none"/>
        </w:rPr>
        <w:t>（六）评标原则和评标办法</w:t>
      </w:r>
    </w:p>
    <w:p w14:paraId="105509E9">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1</w:t>
      </w:r>
      <w:r>
        <w:rPr>
          <w:rFonts w:hint="eastAsia" w:hAnsi="宋体"/>
          <w:sz w:val="24"/>
          <w:highlight w:val="none"/>
        </w:rPr>
        <w:t>.</w:t>
      </w:r>
      <w:r>
        <w:rPr>
          <w:rFonts w:hAnsi="宋体"/>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0C2084F">
      <w:pPr>
        <w:pStyle w:val="13"/>
        <w:snapToGrid w:val="0"/>
        <w:spacing w:beforeLines="0" w:afterLines="0" w:line="360" w:lineRule="auto"/>
        <w:ind w:firstLine="470" w:firstLineChars="196"/>
        <w:rPr>
          <w:rFonts w:hint="eastAsia" w:hAnsi="宋体"/>
          <w:sz w:val="24"/>
          <w:highlight w:val="none"/>
        </w:rPr>
      </w:pPr>
      <w:r>
        <w:rPr>
          <w:rFonts w:hAnsi="宋体"/>
          <w:sz w:val="24"/>
          <w:highlight w:val="none"/>
        </w:rPr>
        <w:t>2</w:t>
      </w:r>
      <w:r>
        <w:rPr>
          <w:rFonts w:hint="eastAsia" w:hAnsi="宋体"/>
          <w:sz w:val="24"/>
          <w:highlight w:val="none"/>
        </w:rPr>
        <w:t>.</w:t>
      </w:r>
      <w:r>
        <w:rPr>
          <w:rFonts w:hAnsi="宋体"/>
          <w:sz w:val="24"/>
          <w:highlight w:val="none"/>
        </w:rPr>
        <w:t>评标办法。本项目评标办法是本项目采取综合评分法，具体评标内容及评分标准等详见《第四章：评标办法及评分标准》。</w:t>
      </w:r>
    </w:p>
    <w:p w14:paraId="755A9001">
      <w:pPr>
        <w:pStyle w:val="13"/>
        <w:snapToGrid w:val="0"/>
        <w:spacing w:beforeLines="0" w:afterLines="0" w:line="360" w:lineRule="auto"/>
        <w:ind w:firstLine="482" w:firstLineChars="200"/>
        <w:rPr>
          <w:rFonts w:hint="eastAsia" w:hAnsi="宋体"/>
          <w:b/>
          <w:sz w:val="24"/>
          <w:highlight w:val="none"/>
        </w:rPr>
      </w:pPr>
      <w:r>
        <w:rPr>
          <w:rFonts w:hint="eastAsia" w:hAnsi="宋体"/>
          <w:b/>
          <w:sz w:val="24"/>
          <w:highlight w:val="none"/>
        </w:rPr>
        <w:t>（七）废标</w:t>
      </w:r>
    </w:p>
    <w:p w14:paraId="6BAC1EAB">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在采购中，出现下列情形之一的，应予废标：</w:t>
      </w:r>
    </w:p>
    <w:p w14:paraId="679EB597">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1.符合专业条件的供应商或者对招标文件作实质响应的供应商不足3家的；</w:t>
      </w:r>
    </w:p>
    <w:p w14:paraId="73D9F3B3">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2.出现影响采购公正的违法、违规行为的；</w:t>
      </w:r>
    </w:p>
    <w:p w14:paraId="1257ED50">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3.报价均超过预算，不能支付的；</w:t>
      </w:r>
    </w:p>
    <w:p w14:paraId="32E5C5F3">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4.因重大变故，采购任务取消的。</w:t>
      </w:r>
    </w:p>
    <w:p w14:paraId="7D74B74E">
      <w:pPr>
        <w:pStyle w:val="13"/>
        <w:snapToGrid w:val="0"/>
        <w:spacing w:beforeLines="0" w:afterLines="0" w:line="360" w:lineRule="auto"/>
        <w:ind w:firstLine="482" w:firstLineChars="200"/>
        <w:rPr>
          <w:rFonts w:hint="eastAsia" w:hAnsi="宋体"/>
          <w:b/>
          <w:sz w:val="24"/>
          <w:highlight w:val="none"/>
        </w:rPr>
      </w:pPr>
      <w:r>
        <w:rPr>
          <w:rFonts w:hint="eastAsia" w:hAnsi="宋体"/>
          <w:b/>
          <w:sz w:val="24"/>
          <w:highlight w:val="none"/>
        </w:rPr>
        <w:t>（八）可中止电子交易活动的情形</w:t>
      </w:r>
    </w:p>
    <w:p w14:paraId="17713381">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采购过程中出现以下情形，导致电子交易平台无法正常运行，或者无法保证电子交易的公平、公正和安全时，采购组织机构可中止电子交易活动：</w:t>
      </w:r>
    </w:p>
    <w:p w14:paraId="3A98B416">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1、电子交易平台发生故障而无法登录访问的；</w:t>
      </w:r>
    </w:p>
    <w:p w14:paraId="4F89FB05">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2、电子交易平台应用或数据库出现错误，不能进行正常操作的；</w:t>
      </w:r>
    </w:p>
    <w:p w14:paraId="2E43A9F6">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3、电子交易平台发现严重安全漏洞，有潜在泄密危险的；</w:t>
      </w:r>
    </w:p>
    <w:p w14:paraId="126351D7">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4、病毒发作导致不能进行正常操作的；</w:t>
      </w:r>
    </w:p>
    <w:p w14:paraId="1AE7CD7F">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5、其他无法保证电子交易的公平、公正和安全的情况。</w:t>
      </w:r>
    </w:p>
    <w:p w14:paraId="0D6BB2C8">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出现前款规定情形，不影响采购公平、公正性的，采购组织机构可以待上述情形消除后继续组织电子交易活动；影响或可能影响采购公平、公正性的，应当重新采购。</w:t>
      </w:r>
    </w:p>
    <w:p w14:paraId="23FE90DC">
      <w:pPr>
        <w:pStyle w:val="13"/>
        <w:snapToGrid w:val="0"/>
        <w:spacing w:beforeLines="0" w:afterLines="0" w:line="360" w:lineRule="auto"/>
        <w:ind w:firstLine="472" w:firstLineChars="196"/>
        <w:outlineLvl w:val="1"/>
        <w:rPr>
          <w:rFonts w:hint="eastAsia" w:hAnsi="宋体"/>
          <w:b/>
          <w:sz w:val="24"/>
          <w:highlight w:val="none"/>
        </w:rPr>
      </w:pPr>
      <w:r>
        <w:rPr>
          <w:rFonts w:hint="eastAsia" w:hAnsi="宋体"/>
          <w:b/>
          <w:sz w:val="24"/>
          <w:highlight w:val="none"/>
        </w:rPr>
        <w:t>六、定标</w:t>
      </w:r>
    </w:p>
    <w:p w14:paraId="10BE15F5">
      <w:pPr>
        <w:pStyle w:val="13"/>
        <w:snapToGrid w:val="0"/>
        <w:spacing w:beforeLines="0" w:afterLines="0" w:line="360" w:lineRule="auto"/>
        <w:ind w:firstLine="472" w:firstLineChars="196"/>
        <w:rPr>
          <w:rFonts w:hint="eastAsia" w:hAnsi="宋体"/>
          <w:b/>
          <w:bCs/>
          <w:sz w:val="24"/>
          <w:highlight w:val="none"/>
        </w:rPr>
      </w:pPr>
      <w:r>
        <w:rPr>
          <w:rFonts w:hint="eastAsia" w:hAnsi="宋体"/>
          <w:b/>
          <w:bCs/>
          <w:sz w:val="24"/>
          <w:highlight w:val="none"/>
        </w:rPr>
        <w:t>（一）确定中标人。</w:t>
      </w:r>
      <w:r>
        <w:rPr>
          <w:rFonts w:hint="eastAsia" w:hAnsi="宋体"/>
          <w:b/>
          <w:sz w:val="24"/>
          <w:highlight w:val="none"/>
        </w:rPr>
        <w:t>本项目由采购人授权评标委员会确定中标人。</w:t>
      </w:r>
    </w:p>
    <w:p w14:paraId="77AA2F8B">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1.采购人在收到评标报告后五个工作日内，依法确认中标供应商。</w:t>
      </w:r>
    </w:p>
    <w:p w14:paraId="13F0A72C">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2.中标供应商确定后，中标结果在财政部门指定的政府采购信息发布媒体上公告。</w:t>
      </w:r>
    </w:p>
    <w:p w14:paraId="2D17A2C9">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3.在发布公告的同时，招标采购单位向中标供应商发出中标通知书，中标通知书对采购人和中标供应商具有同等法律效力。</w:t>
      </w:r>
    </w:p>
    <w:p w14:paraId="797FB8B1">
      <w:pPr>
        <w:pStyle w:val="13"/>
        <w:snapToGrid w:val="0"/>
        <w:spacing w:beforeLines="0" w:afterLines="0" w:line="360" w:lineRule="auto"/>
        <w:ind w:firstLine="472" w:firstLineChars="196"/>
        <w:rPr>
          <w:rFonts w:hint="eastAsia" w:hAnsi="宋体"/>
          <w:b/>
          <w:sz w:val="24"/>
          <w:highlight w:val="none"/>
        </w:rPr>
      </w:pPr>
      <w:r>
        <w:rPr>
          <w:rFonts w:hint="eastAsia" w:hAnsi="宋体"/>
          <w:b/>
          <w:sz w:val="24"/>
          <w:highlight w:val="none"/>
        </w:rPr>
        <w:t>4根据浙江省财政厅《</w:t>
      </w:r>
      <w:r>
        <w:rPr>
          <w:rFonts w:hAnsi="宋体"/>
          <w:b/>
          <w:sz w:val="24"/>
          <w:highlight w:val="none"/>
        </w:rPr>
        <w:t>关于印发浙江省政府采购供应商注册及诚信管理暂行办法的通知</w:t>
      </w:r>
      <w:r>
        <w:rPr>
          <w:rFonts w:hint="eastAsia" w:hAnsi="宋体"/>
          <w:b/>
          <w:sz w:val="24"/>
          <w:highlight w:val="none"/>
        </w:rPr>
        <w:t>》[</w:t>
      </w:r>
      <w:r>
        <w:rPr>
          <w:rFonts w:hAnsi="宋体"/>
          <w:b/>
          <w:sz w:val="24"/>
          <w:highlight w:val="none"/>
        </w:rPr>
        <w:t>浙财采监字〔2009〕28号</w:t>
      </w:r>
      <w:r>
        <w:rPr>
          <w:rFonts w:hint="eastAsia" w:hAnsi="宋体"/>
          <w:b/>
          <w:sz w:val="24"/>
          <w:highlight w:val="none"/>
        </w:rPr>
        <w:t>]精神，中标供应商在领取中标通知书前，必须在《浙江政府采购网》上完成供应商的注册工作，经初审、终审及公示后方可正式领取中标通知书。</w:t>
      </w:r>
    </w:p>
    <w:p w14:paraId="5C159CA9">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5.中标通知书发出后，采购人改变中标结果，或者中标供应商放弃中标，应当承担相应的法律责任。</w:t>
      </w:r>
    </w:p>
    <w:p w14:paraId="7C4D85BE">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508F5F2C">
      <w:pPr>
        <w:pStyle w:val="13"/>
        <w:snapToGrid w:val="0"/>
        <w:spacing w:beforeLines="0" w:afterLines="0" w:line="360" w:lineRule="auto"/>
        <w:ind w:firstLine="472" w:firstLineChars="196"/>
        <w:rPr>
          <w:rFonts w:hint="eastAsia" w:hAnsi="宋体"/>
          <w:b/>
          <w:sz w:val="24"/>
          <w:highlight w:val="none"/>
        </w:rPr>
      </w:pPr>
      <w:r>
        <w:rPr>
          <w:rFonts w:hint="eastAsia" w:hAnsi="宋体"/>
          <w:b/>
          <w:sz w:val="24"/>
          <w:highlight w:val="none"/>
        </w:rPr>
        <w:t>（二）中标通知书</w:t>
      </w:r>
    </w:p>
    <w:p w14:paraId="6F22B42A">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1.确定中标供应商后，招标采购单位将以书面形式发出中标通知书，通知中标的投标人其投标被接受。</w:t>
      </w:r>
    </w:p>
    <w:p w14:paraId="1B52B87B">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2.中标通知书为双方签订合同的依据。</w:t>
      </w:r>
    </w:p>
    <w:p w14:paraId="38680661">
      <w:pPr>
        <w:pStyle w:val="13"/>
        <w:snapToGrid w:val="0"/>
        <w:spacing w:beforeLines="0" w:afterLines="0" w:line="360" w:lineRule="auto"/>
        <w:ind w:firstLine="470" w:firstLineChars="196"/>
        <w:rPr>
          <w:rFonts w:hint="eastAsia" w:hAnsi="宋体"/>
          <w:sz w:val="24"/>
          <w:highlight w:val="none"/>
        </w:rPr>
      </w:pPr>
      <w:r>
        <w:rPr>
          <w:rFonts w:hint="eastAsia" w:hAnsi="宋体"/>
          <w:sz w:val="24"/>
          <w:highlight w:val="none"/>
        </w:rPr>
        <w:t>3.中标供应商应根据中标通知书中规定的时间内，由法定代表人或其授权代理人与采购人签订合同。</w:t>
      </w:r>
    </w:p>
    <w:p w14:paraId="4AA22045">
      <w:pPr>
        <w:pStyle w:val="13"/>
        <w:snapToGrid w:val="0"/>
        <w:spacing w:beforeLines="0" w:afterLines="0" w:line="360" w:lineRule="auto"/>
        <w:ind w:firstLine="472" w:firstLineChars="196"/>
        <w:outlineLvl w:val="1"/>
        <w:rPr>
          <w:rFonts w:hint="eastAsia" w:hAnsi="宋体"/>
          <w:b/>
          <w:sz w:val="24"/>
          <w:highlight w:val="none"/>
        </w:rPr>
      </w:pPr>
      <w:r>
        <w:rPr>
          <w:rFonts w:hint="eastAsia" w:hAnsi="宋体"/>
          <w:b/>
          <w:sz w:val="24"/>
          <w:highlight w:val="none"/>
        </w:rPr>
        <w:t>七、合同授予</w:t>
      </w:r>
    </w:p>
    <w:p w14:paraId="1BA5CA76">
      <w:pPr>
        <w:snapToGrid w:val="0"/>
        <w:spacing w:line="360" w:lineRule="auto"/>
        <w:ind w:firstLine="472" w:firstLineChars="196"/>
        <w:rPr>
          <w:rFonts w:hint="eastAsia" w:ascii="宋体" w:hAnsi="宋体"/>
          <w:b/>
          <w:bCs/>
          <w:sz w:val="24"/>
          <w:highlight w:val="none"/>
        </w:rPr>
      </w:pPr>
      <w:r>
        <w:rPr>
          <w:rFonts w:hint="eastAsia" w:ascii="宋体" w:hAnsi="宋体"/>
          <w:b/>
          <w:bCs/>
          <w:sz w:val="24"/>
          <w:highlight w:val="none"/>
        </w:rPr>
        <w:t>（一）签订合同</w:t>
      </w:r>
    </w:p>
    <w:p w14:paraId="06BCF52A">
      <w:pPr>
        <w:snapToGrid w:val="0"/>
        <w:spacing w:line="360" w:lineRule="auto"/>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.采购人与</w:t>
      </w:r>
      <w:r>
        <w:rPr>
          <w:rFonts w:ascii="宋体" w:hAnsi="宋体"/>
          <w:sz w:val="24"/>
          <w:highlight w:val="none"/>
        </w:rPr>
        <w:t>中标人应</w:t>
      </w:r>
      <w:r>
        <w:rPr>
          <w:rFonts w:hint="eastAsia" w:ascii="宋体" w:hAnsi="宋体"/>
          <w:sz w:val="24"/>
          <w:highlight w:val="none"/>
        </w:rPr>
        <w:t>当在《</w:t>
      </w:r>
      <w:r>
        <w:rPr>
          <w:rFonts w:ascii="宋体" w:hAnsi="宋体"/>
          <w:sz w:val="24"/>
          <w:highlight w:val="none"/>
        </w:rPr>
        <w:t>中标通知书</w:t>
      </w:r>
      <w:r>
        <w:rPr>
          <w:rFonts w:hint="eastAsia" w:ascii="宋体" w:hAnsi="宋体"/>
          <w:sz w:val="24"/>
          <w:highlight w:val="none"/>
        </w:rPr>
        <w:t>》发出之日起30日内签订政府采购合同。同时，采购代理机构对合同内容进行审查，如发现与采购结果和投标承诺内容不一致的，应予以纠正。</w:t>
      </w:r>
    </w:p>
    <w:p w14:paraId="384FA28D">
      <w:pPr>
        <w:snapToGrid w:val="0"/>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中标人拖延、拒签合同的</w:t>
      </w:r>
      <w:r>
        <w:rPr>
          <w:rFonts w:hint="eastAsia" w:ascii="宋体" w:hAnsi="宋体"/>
          <w:sz w:val="24"/>
          <w:highlight w:val="none"/>
        </w:rPr>
        <w:t>，</w:t>
      </w:r>
      <w:r>
        <w:rPr>
          <w:rFonts w:ascii="宋体" w:hAnsi="宋体"/>
          <w:sz w:val="24"/>
          <w:highlight w:val="none"/>
        </w:rPr>
        <w:t>将被取消中标资格。</w:t>
      </w:r>
    </w:p>
    <w:p w14:paraId="2C2E94B5">
      <w:pPr>
        <w:pStyle w:val="13"/>
        <w:snapToGrid w:val="0"/>
        <w:spacing w:beforeLines="0" w:afterLines="0" w:line="360" w:lineRule="auto"/>
        <w:ind w:firstLine="472" w:firstLineChars="196"/>
        <w:rPr>
          <w:rFonts w:hint="eastAsia" w:hAnsi="宋体"/>
          <w:b/>
          <w:sz w:val="24"/>
          <w:highlight w:val="none"/>
        </w:rPr>
      </w:pPr>
      <w:r>
        <w:rPr>
          <w:rFonts w:hAnsi="宋体"/>
          <w:b/>
          <w:sz w:val="24"/>
          <w:highlight w:val="none"/>
        </w:rPr>
        <w:t>（二）履约保证金</w:t>
      </w:r>
    </w:p>
    <w:p w14:paraId="6C3AECF7">
      <w:pPr>
        <w:pStyle w:val="13"/>
        <w:snapToGrid w:val="0"/>
        <w:spacing w:beforeLines="0" w:afterLines="0" w:line="360" w:lineRule="auto"/>
        <w:ind w:firstLine="470" w:firstLineChars="196"/>
        <w:outlineLvl w:val="1"/>
        <w:rPr>
          <w:rFonts w:hint="eastAsia" w:hAnsi="宋体"/>
          <w:sz w:val="24"/>
          <w:highlight w:val="none"/>
        </w:rPr>
      </w:pPr>
      <w:r>
        <w:rPr>
          <w:rFonts w:hAnsi="宋体"/>
          <w:sz w:val="24"/>
          <w:highlight w:val="none"/>
        </w:rPr>
        <w:t>本项目的履约保证金为合同价的1%；履约保证金形式为：</w:t>
      </w:r>
      <w:r>
        <w:rPr>
          <w:rFonts w:hint="eastAsia" w:hAnsi="宋体"/>
          <w:sz w:val="24"/>
          <w:highlight w:val="none"/>
        </w:rPr>
        <w:t>银行转账</w:t>
      </w:r>
      <w:r>
        <w:rPr>
          <w:rFonts w:hAnsi="宋体"/>
          <w:sz w:val="24"/>
          <w:highlight w:val="none"/>
        </w:rPr>
        <w:t>或银行、保险公司出具的保函；中标人应根据采购人要求汇入采购人指定账号或提供保函。项目终验合格后，退还履约保证金。</w:t>
      </w:r>
    </w:p>
    <w:p w14:paraId="0F8E2682">
      <w:pPr>
        <w:pStyle w:val="13"/>
        <w:snapToGrid w:val="0"/>
        <w:spacing w:beforeLines="0" w:afterLines="0" w:line="360" w:lineRule="auto"/>
        <w:ind w:firstLine="472" w:firstLineChars="196"/>
        <w:outlineLvl w:val="1"/>
        <w:rPr>
          <w:rFonts w:hint="eastAsia" w:hAnsi="宋体"/>
          <w:b/>
          <w:sz w:val="24"/>
          <w:highlight w:val="none"/>
        </w:rPr>
      </w:pPr>
      <w:r>
        <w:rPr>
          <w:rFonts w:hint="eastAsia" w:hAnsi="宋体"/>
          <w:b/>
          <w:sz w:val="24"/>
          <w:highlight w:val="none"/>
        </w:rPr>
        <w:t>（三）其他</w:t>
      </w:r>
    </w:p>
    <w:p w14:paraId="2EE09EE1">
      <w:pPr>
        <w:snapToGrid w:val="0"/>
        <w:spacing w:line="360" w:lineRule="auto"/>
        <w:ind w:firstLine="470" w:firstLineChars="196"/>
        <w:jc w:val="left"/>
        <w:rPr>
          <w:rFonts w:hint="eastAsia" w:ascii="宋体" w:hAnsi="宋体"/>
          <w:sz w:val="24"/>
          <w:highlight w:val="none"/>
        </w:rPr>
      </w:pPr>
      <w:r>
        <w:rPr>
          <w:rFonts w:hint="eastAsia" w:ascii="宋体" w:hAnsi="宋体"/>
          <w:sz w:val="24"/>
          <w:highlight w:val="none"/>
        </w:rPr>
        <w:t>供应商有下列情形之一的，自愿接受取消投标资格；如已中标的，自动放弃中标资格，并承担全部法律责任；给采购人造成损失的，依法承担赔偿责任：</w:t>
      </w:r>
    </w:p>
    <w:p w14:paraId="14DD9800">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（1）供应商在投标有效期内撤回投标文件的；</w:t>
      </w:r>
    </w:p>
    <w:p w14:paraId="7261F29D">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（2）供应商在投标过程中弄虚作假，提供虚假材料的；</w:t>
      </w:r>
    </w:p>
    <w:p w14:paraId="35E126C6">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（3）中标供应商无正当理由不与采购人签订合同的；</w:t>
      </w:r>
    </w:p>
    <w:p w14:paraId="5A119978">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（4）将中标项目转让给他人或者在投标文件中未说明且未经招标采购人同意，将中标项目分包给他人的；</w:t>
      </w:r>
    </w:p>
    <w:p w14:paraId="60D179A1">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（5）拒绝履行合同义务的；</w:t>
      </w:r>
    </w:p>
    <w:p w14:paraId="33B7046C">
      <w:pPr>
        <w:snapToGrid w:val="0"/>
        <w:spacing w:line="360" w:lineRule="auto"/>
        <w:ind w:firstLine="470" w:firstLineChars="196"/>
        <w:rPr>
          <w:rFonts w:hint="eastAsia" w:ascii="宋体" w:hAnsi="宋体"/>
          <w:sz w:val="24"/>
          <w:highlight w:val="none"/>
        </w:rPr>
      </w:pPr>
      <w:r>
        <w:rPr>
          <w:rFonts w:hint="eastAsia" w:ascii="宋体" w:hAnsi="宋体"/>
          <w:sz w:val="24"/>
          <w:highlight w:val="none"/>
        </w:rPr>
        <w:t>（6）其他严重扰乱招投标程序的。</w:t>
      </w:r>
    </w:p>
    <w:p w14:paraId="2AB5AF87">
      <w:pPr>
        <w:pStyle w:val="11"/>
        <w:rPr>
          <w:highlight w:val="none"/>
        </w:rPr>
      </w:pPr>
    </w:p>
    <w:p w14:paraId="517E7AD9">
      <w:pPr>
        <w:pStyle w:val="11"/>
        <w:rPr>
          <w:highlight w:val="none"/>
        </w:rPr>
      </w:pPr>
      <w:r>
        <w:rPr>
          <w:highlight w:val="none"/>
        </w:rPr>
        <w:br w:type="page"/>
      </w:r>
    </w:p>
    <w:p w14:paraId="1421291E">
      <w:pPr>
        <w:pStyle w:val="13"/>
        <w:snapToGrid w:val="0"/>
        <w:spacing w:beforeLines="0" w:afterLines="0" w:line="360" w:lineRule="auto"/>
        <w:jc w:val="center"/>
        <w:rPr>
          <w:rFonts w:hint="eastAsia" w:ascii="黑体" w:hAnsi="宋体" w:eastAsia="黑体"/>
          <w:sz w:val="30"/>
          <w:szCs w:val="30"/>
          <w:highlight w:val="none"/>
        </w:rPr>
      </w:pPr>
      <w:r>
        <w:rPr>
          <w:rFonts w:hint="eastAsia" w:ascii="黑体" w:hAnsi="宋体" w:eastAsia="黑体"/>
          <w:sz w:val="30"/>
          <w:szCs w:val="30"/>
          <w:highlight w:val="none"/>
        </w:rPr>
        <w:t>第四章  评标办法及评分标准</w:t>
      </w:r>
    </w:p>
    <w:p w14:paraId="2F546BBA">
      <w:pPr>
        <w:spacing w:line="360" w:lineRule="auto"/>
        <w:ind w:firstLine="420"/>
        <w:rPr>
          <w:rFonts w:hint="eastAsia" w:ascii="宋体" w:hAnsi="宋体"/>
          <w:sz w:val="24"/>
          <w:highlight w:val="none"/>
        </w:rPr>
      </w:pPr>
      <w:r>
        <w:rPr>
          <w:rFonts w:hint="eastAsia" w:ascii="宋体" w:hAnsi="宋体"/>
          <w:sz w:val="24"/>
          <w:highlight w:val="none"/>
        </w:rPr>
        <w:t>为公正、公平、科学地选择中标人，根据《中华人民共和国政府采购法》等有关法律法规的规定和《</w:t>
      </w:r>
      <w:r>
        <w:rPr>
          <w:rFonts w:hint="eastAsia"/>
          <w:sz w:val="24"/>
          <w:highlight w:val="none"/>
        </w:rPr>
        <w:t>湖州市中心医院智慧运营管理平台项目</w:t>
      </w:r>
      <w:r>
        <w:rPr>
          <w:rFonts w:hint="eastAsia" w:ascii="宋体" w:hAnsi="宋体"/>
          <w:sz w:val="24"/>
          <w:highlight w:val="none"/>
        </w:rPr>
        <w:t>》</w:t>
      </w:r>
      <w:r>
        <w:rPr>
          <w:rFonts w:hint="eastAsia"/>
          <w:sz w:val="24"/>
          <w:highlight w:val="none"/>
        </w:rPr>
        <w:t>采购文件</w:t>
      </w:r>
      <w:r>
        <w:rPr>
          <w:rFonts w:hint="eastAsia" w:ascii="宋体" w:hAnsi="宋体"/>
          <w:sz w:val="24"/>
          <w:highlight w:val="none"/>
        </w:rPr>
        <w:t>规定，并结合本项目的实际，制定本办法。</w:t>
      </w:r>
    </w:p>
    <w:p w14:paraId="754723D9">
      <w:pPr>
        <w:spacing w:line="360" w:lineRule="auto"/>
        <w:ind w:firstLine="420"/>
        <w:rPr>
          <w:rFonts w:hint="eastAsia" w:ascii="宋体" w:hAnsi="宋体"/>
          <w:bCs/>
          <w:sz w:val="24"/>
          <w:szCs w:val="48"/>
          <w:highlight w:val="none"/>
        </w:rPr>
      </w:pPr>
      <w:r>
        <w:rPr>
          <w:rFonts w:hint="eastAsia" w:ascii="宋体" w:hAnsi="宋体"/>
          <w:sz w:val="24"/>
          <w:highlight w:val="none"/>
        </w:rPr>
        <w:t>本办法适用于</w:t>
      </w:r>
      <w:r>
        <w:rPr>
          <w:rFonts w:hint="eastAsia"/>
          <w:b/>
          <w:sz w:val="24"/>
          <w:highlight w:val="none"/>
        </w:rPr>
        <w:t>湖州市中心医院智慧运营管理平台项目</w:t>
      </w:r>
      <w:r>
        <w:rPr>
          <w:rFonts w:hint="eastAsia" w:ascii="宋体" w:hAnsi="宋体"/>
          <w:bCs/>
          <w:sz w:val="24"/>
          <w:szCs w:val="48"/>
          <w:highlight w:val="none"/>
        </w:rPr>
        <w:t>的评标。</w:t>
      </w:r>
    </w:p>
    <w:p w14:paraId="7AE27414">
      <w:pPr>
        <w:spacing w:line="360" w:lineRule="auto"/>
        <w:ind w:firstLine="551" w:firstLineChars="196"/>
        <w:rPr>
          <w:rFonts w:hint="eastAsia" w:ascii="宋体" w:hAnsi="宋体"/>
          <w:b/>
          <w:sz w:val="28"/>
          <w:szCs w:val="28"/>
          <w:highlight w:val="none"/>
        </w:rPr>
      </w:pPr>
      <w:r>
        <w:rPr>
          <w:rFonts w:hint="eastAsia" w:ascii="宋体" w:hAnsi="宋体"/>
          <w:b/>
          <w:sz w:val="28"/>
          <w:szCs w:val="28"/>
          <w:highlight w:val="none"/>
        </w:rPr>
        <w:t>一、总则</w:t>
      </w:r>
    </w:p>
    <w:p w14:paraId="064D8F40">
      <w:pPr>
        <w:spacing w:line="360" w:lineRule="auto"/>
        <w:ind w:firstLine="480" w:firstLineChars="200"/>
        <w:rPr>
          <w:rFonts w:hint="eastAsia" w:ascii="宋体" w:hAnsi="宋体"/>
          <w:sz w:val="24"/>
          <w:highlight w:val="none"/>
        </w:rPr>
      </w:pPr>
      <w:r>
        <w:rPr>
          <w:rFonts w:hint="eastAsia" w:ascii="宋体" w:hAnsi="宋体"/>
          <w:sz w:val="24"/>
          <w:highlight w:val="none"/>
        </w:rPr>
        <w:t>本次评标采用综合评分法，</w:t>
      </w:r>
      <w:r>
        <w:rPr>
          <w:rFonts w:hint="eastAsia" w:ascii="宋体" w:hAnsi="宋体"/>
          <w:b/>
          <w:sz w:val="24"/>
          <w:highlight w:val="none"/>
        </w:rPr>
        <w:t>总分为100分，包含：价格分（10分）、技术、商务、资信及其他分（90分）</w:t>
      </w:r>
      <w:r>
        <w:rPr>
          <w:rFonts w:hint="eastAsia" w:ascii="宋体" w:hAnsi="宋体"/>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sz w:val="24"/>
          <w:highlight w:val="none"/>
        </w:rPr>
        <w:t>评分过程中采用四舍五入法，并保留小数2位。</w:t>
      </w:r>
    </w:p>
    <w:p w14:paraId="3C0E54BA">
      <w:pPr>
        <w:spacing w:line="360" w:lineRule="auto"/>
        <w:ind w:firstLine="480" w:firstLineChars="200"/>
        <w:rPr>
          <w:rFonts w:hint="eastAsia" w:ascii="宋体" w:hAnsi="宋体"/>
          <w:sz w:val="24"/>
          <w:highlight w:val="none"/>
        </w:rPr>
      </w:pPr>
      <w:r>
        <w:rPr>
          <w:rFonts w:hint="eastAsia" w:ascii="宋体" w:hAnsi="宋体"/>
          <w:sz w:val="24"/>
          <w:highlight w:val="none"/>
        </w:rPr>
        <w:t>投标人评标</w:t>
      </w:r>
      <w:r>
        <w:rPr>
          <w:rFonts w:hint="eastAsia" w:ascii="宋体" w:hAnsi="宋体"/>
          <w:bCs/>
          <w:sz w:val="24"/>
          <w:highlight w:val="none"/>
        </w:rPr>
        <w:t>综合得分=价格分+</w:t>
      </w:r>
      <w:r>
        <w:rPr>
          <w:rFonts w:hint="eastAsia" w:ascii="宋体" w:hAnsi="宋体"/>
          <w:bCs/>
          <w:sz w:val="24"/>
          <w:highlight w:val="none"/>
          <w:lang w:eastAsia="zh-CN"/>
        </w:rPr>
        <w:t>（</w:t>
      </w:r>
      <w:r>
        <w:rPr>
          <w:rFonts w:hint="eastAsia" w:ascii="宋体" w:hAnsi="宋体"/>
          <w:bCs/>
          <w:sz w:val="24"/>
          <w:highlight w:val="none"/>
        </w:rPr>
        <w:t>技术分+商务、资信及其他分)</w:t>
      </w:r>
    </w:p>
    <w:p w14:paraId="28160DF0">
      <w:pPr>
        <w:spacing w:line="360" w:lineRule="auto"/>
        <w:ind w:firstLine="562" w:firstLineChars="200"/>
        <w:outlineLvl w:val="0"/>
        <w:rPr>
          <w:rFonts w:hint="eastAsia" w:ascii="宋体" w:hAnsi="宋体"/>
          <w:b/>
          <w:sz w:val="28"/>
          <w:szCs w:val="28"/>
          <w:highlight w:val="none"/>
        </w:rPr>
      </w:pPr>
      <w:r>
        <w:rPr>
          <w:rFonts w:hint="eastAsia" w:ascii="宋体" w:hAnsi="宋体"/>
          <w:b/>
          <w:sz w:val="28"/>
          <w:szCs w:val="28"/>
          <w:highlight w:val="none"/>
        </w:rPr>
        <w:t>二、评标内容及标准</w:t>
      </w:r>
    </w:p>
    <w:p w14:paraId="08C0D5C0">
      <w:pPr>
        <w:pStyle w:val="12"/>
        <w:spacing w:line="360" w:lineRule="auto"/>
        <w:rPr>
          <w:rFonts w:hint="eastAsia" w:ascii="宋体" w:hAnsi="宋体"/>
          <w:b/>
          <w:bCs/>
          <w:kern w:val="2"/>
          <w:sz w:val="24"/>
          <w:szCs w:val="24"/>
          <w:highlight w:val="none"/>
        </w:rPr>
      </w:pPr>
      <w:r>
        <w:rPr>
          <w:rFonts w:hint="eastAsia" w:ascii="宋体" w:hAnsi="宋体"/>
          <w:b/>
          <w:bCs/>
          <w:kern w:val="2"/>
          <w:sz w:val="24"/>
          <w:szCs w:val="24"/>
          <w:highlight w:val="none"/>
        </w:rPr>
        <w:t>（一）价格分（10分）</w:t>
      </w:r>
    </w:p>
    <w:p w14:paraId="09D4412C">
      <w:pPr>
        <w:pStyle w:val="12"/>
        <w:spacing w:line="360" w:lineRule="auto"/>
        <w:ind w:firstLine="480" w:firstLineChars="200"/>
        <w:rPr>
          <w:rFonts w:hint="eastAsia" w:hAnsi="宋体"/>
          <w:bCs/>
          <w:sz w:val="24"/>
          <w:szCs w:val="24"/>
          <w:highlight w:val="none"/>
        </w:rPr>
      </w:pPr>
      <w:r>
        <w:rPr>
          <w:rFonts w:hint="eastAsia" w:hAnsi="宋体"/>
          <w:bCs/>
          <w:sz w:val="24"/>
          <w:highlight w:val="none"/>
        </w:rPr>
        <w:t>价格分</w:t>
      </w:r>
      <w:r>
        <w:rPr>
          <w:rFonts w:hint="eastAsia" w:hAnsi="宋体"/>
          <w:bCs/>
          <w:sz w:val="24"/>
          <w:szCs w:val="24"/>
          <w:highlight w:val="none"/>
        </w:rPr>
        <w:t>采用低价优先法计算，即满足招标文件要求且投标价格最低的投标报价为评标基准价，其他投标人的价格分按照下列公式计算：</w:t>
      </w:r>
    </w:p>
    <w:p w14:paraId="273425B3">
      <w:pPr>
        <w:pStyle w:val="12"/>
        <w:spacing w:line="360" w:lineRule="auto"/>
        <w:ind w:firstLine="480" w:firstLineChars="200"/>
        <w:rPr>
          <w:highlight w:val="none"/>
        </w:rPr>
      </w:pPr>
      <w:r>
        <w:rPr>
          <w:rFonts w:hint="eastAsia" w:ascii="宋体" w:hAnsi="宋体"/>
          <w:sz w:val="24"/>
          <w:highlight w:val="none"/>
        </w:rPr>
        <w:t>价格分=（评标基准价/投标报价）×10%×100</w:t>
      </w:r>
    </w:p>
    <w:tbl>
      <w:tblPr>
        <w:tblStyle w:val="28"/>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655"/>
        <w:gridCol w:w="850"/>
      </w:tblGrid>
      <w:tr w14:paraId="68D1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02" w:type="dxa"/>
            <w:vAlign w:val="center"/>
          </w:tcPr>
          <w:p w14:paraId="05C7A0DD">
            <w:pPr>
              <w:pStyle w:val="12"/>
              <w:spacing w:before="120" w:beforeLines="50" w:afterLines="50" w:line="360" w:lineRule="auto"/>
              <w:ind w:left="0" w:leftChars="0"/>
              <w:rPr>
                <w:rFonts w:hint="eastAsia" w:hAnsi="宋体" w:cs="宋体"/>
                <w:b/>
                <w:bCs/>
                <w:sz w:val="24"/>
                <w:szCs w:val="24"/>
                <w:highlight w:val="none"/>
              </w:rPr>
            </w:pPr>
            <w:r>
              <w:rPr>
                <w:rFonts w:hint="eastAsia" w:hAnsi="宋体" w:cs="宋体"/>
                <w:b/>
                <w:bCs/>
                <w:sz w:val="24"/>
                <w:szCs w:val="24"/>
                <w:highlight w:val="none"/>
              </w:rPr>
              <w:t>评定项目</w:t>
            </w:r>
          </w:p>
        </w:tc>
        <w:tc>
          <w:tcPr>
            <w:tcW w:w="7655" w:type="dxa"/>
            <w:vAlign w:val="center"/>
          </w:tcPr>
          <w:p w14:paraId="48AD85B1">
            <w:pPr>
              <w:pStyle w:val="12"/>
              <w:spacing w:before="120" w:beforeLines="50" w:afterLines="50" w:line="360" w:lineRule="auto"/>
              <w:ind w:firstLine="482" w:firstLineChars="200"/>
              <w:rPr>
                <w:rFonts w:hint="eastAsia" w:hAnsi="宋体" w:cs="宋体"/>
                <w:b/>
                <w:bCs/>
                <w:sz w:val="24"/>
                <w:szCs w:val="24"/>
                <w:highlight w:val="none"/>
              </w:rPr>
            </w:pPr>
            <w:r>
              <w:rPr>
                <w:rFonts w:hint="eastAsia" w:hAnsi="宋体" w:cs="宋体"/>
                <w:b/>
                <w:bCs/>
                <w:sz w:val="24"/>
                <w:szCs w:val="24"/>
                <w:highlight w:val="none"/>
              </w:rPr>
              <w:t>评定内容</w:t>
            </w:r>
          </w:p>
        </w:tc>
        <w:tc>
          <w:tcPr>
            <w:tcW w:w="850" w:type="dxa"/>
            <w:vAlign w:val="center"/>
          </w:tcPr>
          <w:p w14:paraId="62BE99C4">
            <w:pPr>
              <w:pStyle w:val="12"/>
              <w:spacing w:before="120" w:beforeLines="50" w:afterLines="50" w:line="360" w:lineRule="auto"/>
              <w:ind w:left="0" w:leftChars="0"/>
              <w:rPr>
                <w:rFonts w:hint="eastAsia" w:hAnsi="宋体" w:cs="宋体"/>
                <w:b/>
                <w:bCs/>
                <w:sz w:val="24"/>
                <w:szCs w:val="24"/>
                <w:highlight w:val="none"/>
              </w:rPr>
            </w:pPr>
            <w:r>
              <w:rPr>
                <w:rFonts w:hint="eastAsia" w:hAnsi="宋体" w:cs="宋体"/>
                <w:b/>
                <w:bCs/>
                <w:sz w:val="24"/>
                <w:szCs w:val="24"/>
                <w:highlight w:val="none"/>
              </w:rPr>
              <w:t>分值</w:t>
            </w:r>
          </w:p>
        </w:tc>
      </w:tr>
      <w:tr w14:paraId="038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57" w:type="dxa"/>
            <w:gridSpan w:val="2"/>
            <w:vAlign w:val="center"/>
          </w:tcPr>
          <w:p w14:paraId="133E0D33">
            <w:pPr>
              <w:pStyle w:val="12"/>
              <w:spacing w:before="120" w:beforeLines="50" w:afterLines="50" w:line="360" w:lineRule="auto"/>
              <w:ind w:firstLine="480" w:firstLineChars="200"/>
              <w:rPr>
                <w:rFonts w:hint="eastAsia" w:hAnsi="宋体" w:cs="宋体"/>
                <w:sz w:val="24"/>
                <w:szCs w:val="24"/>
                <w:highlight w:val="none"/>
              </w:rPr>
            </w:pPr>
            <w:r>
              <w:rPr>
                <w:rFonts w:hint="eastAsia" w:hAnsi="宋体" w:cs="宋体"/>
                <w:sz w:val="24"/>
                <w:szCs w:val="24"/>
                <w:highlight w:val="none"/>
              </w:rPr>
              <w:t>技术部分</w:t>
            </w:r>
          </w:p>
        </w:tc>
        <w:tc>
          <w:tcPr>
            <w:tcW w:w="850" w:type="dxa"/>
            <w:vAlign w:val="center"/>
          </w:tcPr>
          <w:p w14:paraId="54AC1281">
            <w:pPr>
              <w:pStyle w:val="12"/>
              <w:spacing w:before="120" w:beforeLines="50" w:afterLines="50" w:line="360" w:lineRule="auto"/>
              <w:ind w:left="0" w:leftChars="0"/>
              <w:rPr>
                <w:rFonts w:hint="eastAsia" w:hAnsi="宋体" w:cs="宋体"/>
                <w:sz w:val="24"/>
                <w:szCs w:val="24"/>
                <w:highlight w:val="none"/>
              </w:rPr>
            </w:pPr>
            <w:r>
              <w:rPr>
                <w:rFonts w:hint="eastAsia" w:ascii="宋体" w:hAnsi="宋体" w:cs="宋体"/>
                <w:sz w:val="24"/>
                <w:szCs w:val="24"/>
                <w:highlight w:val="none"/>
                <w:lang w:val="en-US" w:eastAsia="zh-CN"/>
              </w:rPr>
              <w:t>60</w:t>
            </w:r>
            <w:r>
              <w:rPr>
                <w:rFonts w:hint="eastAsia" w:hAnsi="宋体" w:cs="宋体"/>
                <w:sz w:val="24"/>
                <w:szCs w:val="24"/>
                <w:highlight w:val="none"/>
              </w:rPr>
              <w:t>分</w:t>
            </w:r>
          </w:p>
        </w:tc>
      </w:tr>
      <w:tr w14:paraId="2803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2" w:type="dxa"/>
            <w:shd w:val="clear" w:color="auto" w:fill="auto"/>
            <w:vAlign w:val="center"/>
          </w:tcPr>
          <w:p w14:paraId="2705253E">
            <w:pPr>
              <w:adjustRightInd w:val="0"/>
              <w:snapToGrid w:val="0"/>
              <w:textAlignment w:val="center"/>
              <w:rPr>
                <w:rFonts w:hint="eastAsia" w:ascii="宋体" w:hAnsi="宋体" w:cs="仿宋"/>
                <w:bCs/>
                <w:kern w:val="0"/>
                <w:sz w:val="24"/>
                <w:highlight w:val="none"/>
                <w:lang w:val="zh-CN" w:bidi="zh-CN"/>
              </w:rPr>
            </w:pPr>
            <w:r>
              <w:rPr>
                <w:rFonts w:hint="eastAsia" w:ascii="宋体" w:hAnsi="宋体" w:cs="仿宋"/>
                <w:bCs/>
                <w:kern w:val="0"/>
                <w:sz w:val="24"/>
                <w:highlight w:val="none"/>
                <w:lang w:val="zh-CN" w:bidi="zh-CN"/>
              </w:rPr>
              <w:t>满足招标货物的性能及技术指标要求</w:t>
            </w:r>
          </w:p>
        </w:tc>
        <w:tc>
          <w:tcPr>
            <w:tcW w:w="7655" w:type="dxa"/>
            <w:shd w:val="clear" w:color="auto" w:fill="auto"/>
          </w:tcPr>
          <w:p w14:paraId="54D63C93">
            <w:pPr>
              <w:spacing w:before="120" w:beforeLines="50" w:after="120" w:afterLines="50" w:line="360" w:lineRule="auto"/>
              <w:rPr>
                <w:rFonts w:hint="eastAsia" w:ascii="宋体" w:hAnsi="宋体" w:cs="仿宋"/>
                <w:bCs/>
                <w:kern w:val="0"/>
                <w:sz w:val="24"/>
                <w:highlight w:val="none"/>
                <w:lang w:val="zh-CN" w:bidi="zh-CN"/>
              </w:rPr>
            </w:pPr>
            <w:r>
              <w:rPr>
                <w:rFonts w:hint="eastAsia" w:ascii="宋体" w:hAnsi="宋体" w:cs="仿宋"/>
                <w:bCs/>
                <w:kern w:val="0"/>
                <w:sz w:val="24"/>
                <w:highlight w:val="none"/>
                <w:lang w:val="zh-CN" w:bidi="zh-CN"/>
              </w:rPr>
              <w:t>任何一项不可偏离的性能指标或者技术指标低于招标需求的，投标无效；技术指标与招标需求基本一致的，得基本</w:t>
            </w:r>
            <w:r>
              <w:rPr>
                <w:rFonts w:hint="eastAsia" w:ascii="宋体" w:hAnsi="宋体" w:cs="仿宋"/>
                <w:bCs/>
                <w:kern w:val="0"/>
                <w:sz w:val="24"/>
                <w:highlight w:val="none"/>
                <w:lang w:val="en-US" w:bidi="zh-CN"/>
              </w:rPr>
              <w:t>30</w:t>
            </w:r>
            <w:r>
              <w:rPr>
                <w:rFonts w:hint="eastAsia" w:ascii="宋体" w:hAnsi="宋体" w:cs="仿宋"/>
                <w:bCs/>
                <w:kern w:val="0"/>
                <w:sz w:val="24"/>
                <w:highlight w:val="none"/>
                <w:lang w:val="zh-CN" w:bidi="zh-CN"/>
              </w:rPr>
              <w:t>分；允许偏离的打“★”的重要指标低于招标需求（负偏离）的，每低于一项扣</w:t>
            </w:r>
            <w:r>
              <w:rPr>
                <w:rFonts w:hint="eastAsia" w:ascii="宋体" w:hAnsi="宋体" w:cs="仿宋"/>
                <w:bCs/>
                <w:kern w:val="0"/>
                <w:sz w:val="24"/>
                <w:highlight w:val="none"/>
                <w:lang w:val="en-US" w:bidi="zh-CN"/>
              </w:rPr>
              <w:t>0.7</w:t>
            </w:r>
            <w:r>
              <w:rPr>
                <w:rFonts w:hint="eastAsia" w:ascii="宋体" w:hAnsi="宋体" w:cs="仿宋"/>
                <w:bCs/>
                <w:kern w:val="0"/>
                <w:sz w:val="24"/>
                <w:highlight w:val="none"/>
                <w:lang w:val="zh-CN" w:bidi="zh-CN"/>
              </w:rPr>
              <w:t>分；允许偏离的一般指标低于招标需求（负偏离）的，每低于一项扣</w:t>
            </w:r>
            <w:r>
              <w:rPr>
                <w:rFonts w:hint="eastAsia" w:ascii="宋体" w:hAnsi="宋体" w:cs="仿宋"/>
                <w:bCs/>
                <w:kern w:val="0"/>
                <w:sz w:val="24"/>
                <w:highlight w:val="none"/>
                <w:lang w:val="en-US" w:bidi="zh-CN"/>
              </w:rPr>
              <w:t>0.5</w:t>
            </w:r>
            <w:r>
              <w:rPr>
                <w:rFonts w:hint="eastAsia" w:ascii="宋体" w:hAnsi="宋体" w:cs="仿宋"/>
                <w:bCs/>
                <w:kern w:val="0"/>
                <w:sz w:val="24"/>
                <w:highlight w:val="none"/>
                <w:lang w:val="zh-CN" w:bidi="zh-CN"/>
              </w:rPr>
              <w:t>分；扣完该项得分为止。</w:t>
            </w:r>
          </w:p>
        </w:tc>
        <w:tc>
          <w:tcPr>
            <w:tcW w:w="850" w:type="dxa"/>
            <w:shd w:val="clear" w:color="auto" w:fill="auto"/>
            <w:vAlign w:val="center"/>
          </w:tcPr>
          <w:p w14:paraId="290100EA">
            <w:pPr>
              <w:widowControl/>
              <w:spacing w:line="440" w:lineRule="exact"/>
              <w:jc w:val="center"/>
              <w:rPr>
                <w:rFonts w:hint="eastAsia" w:hAnsi="宋体"/>
                <w:sz w:val="24"/>
                <w:highlight w:val="none"/>
              </w:rPr>
            </w:pPr>
            <w:r>
              <w:rPr>
                <w:rFonts w:hint="eastAsia" w:ascii="宋体" w:hAnsi="宋体" w:cs="宋体"/>
                <w:sz w:val="24"/>
                <w:highlight w:val="none"/>
                <w:lang w:val="en-US" w:eastAsia="zh-CN"/>
              </w:rPr>
              <w:t>30</w:t>
            </w:r>
            <w:r>
              <w:rPr>
                <w:rFonts w:hint="eastAsia" w:ascii="宋体" w:hAnsi="宋体" w:cs="宋体"/>
                <w:sz w:val="24"/>
                <w:highlight w:val="none"/>
              </w:rPr>
              <w:t>分</w:t>
            </w:r>
          </w:p>
        </w:tc>
      </w:tr>
      <w:tr w14:paraId="75C1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2" w:type="dxa"/>
            <w:vAlign w:val="center"/>
          </w:tcPr>
          <w:p w14:paraId="1FDA40A5">
            <w:pPr>
              <w:widowControl/>
              <w:spacing w:line="440" w:lineRule="exact"/>
              <w:jc w:val="center"/>
              <w:rPr>
                <w:rFonts w:hint="eastAsia" w:ascii="宋体" w:hAnsi="宋体" w:cs="宋体"/>
                <w:sz w:val="24"/>
                <w:highlight w:val="none"/>
              </w:rPr>
            </w:pPr>
            <w:r>
              <w:rPr>
                <w:rFonts w:hint="eastAsia" w:ascii="宋体" w:hAnsi="宋体" w:cs="宋体"/>
                <w:sz w:val="24"/>
                <w:highlight w:val="none"/>
              </w:rPr>
              <w:t>系统设计方案</w:t>
            </w:r>
          </w:p>
        </w:tc>
        <w:tc>
          <w:tcPr>
            <w:tcW w:w="7655" w:type="dxa"/>
            <w:vAlign w:val="center"/>
          </w:tcPr>
          <w:p w14:paraId="733F9464">
            <w:pPr>
              <w:widowControl/>
              <w:spacing w:line="440" w:lineRule="exact"/>
              <w:rPr>
                <w:rFonts w:hint="eastAsia" w:ascii="宋体" w:hAnsi="宋体" w:cs="宋体"/>
                <w:sz w:val="24"/>
                <w:highlight w:val="none"/>
              </w:rPr>
            </w:pPr>
            <w:r>
              <w:rPr>
                <w:rFonts w:hint="eastAsia" w:ascii="宋体" w:hAnsi="宋体" w:cs="宋体"/>
                <w:sz w:val="24"/>
                <w:highlight w:val="none"/>
              </w:rPr>
              <w:t>1.针对本项目提供整体系统设计方案，符合政策规范性、本地化、实用性，方案设计合理、针对性强，</w:t>
            </w:r>
            <w:r>
              <w:rPr>
                <w:rFonts w:ascii="宋体" w:hAnsi="宋体" w:cs="宋体"/>
                <w:sz w:val="24"/>
                <w:highlight w:val="none"/>
              </w:rPr>
              <w:t>不漏项且有针对性解释说明得</w:t>
            </w:r>
            <w:r>
              <w:rPr>
                <w:rFonts w:hint="eastAsia" w:ascii="宋体" w:hAnsi="宋体" w:cs="宋体"/>
                <w:sz w:val="24"/>
                <w:highlight w:val="none"/>
              </w:rPr>
              <w:t>5</w:t>
            </w:r>
            <w:r>
              <w:rPr>
                <w:rFonts w:ascii="宋体" w:hAnsi="宋体" w:cs="宋体"/>
                <w:sz w:val="24"/>
                <w:highlight w:val="none"/>
              </w:rPr>
              <w:t>分；提供的方案漏缺1项或2项，有针对</w:t>
            </w:r>
            <w:bookmarkStart w:id="64" w:name="_GoBack"/>
            <w:bookmarkEnd w:id="64"/>
            <w:r>
              <w:rPr>
                <w:rFonts w:ascii="宋体" w:hAnsi="宋体" w:cs="宋体"/>
                <w:sz w:val="24"/>
                <w:highlight w:val="none"/>
              </w:rPr>
              <w:t>性解释说明得</w:t>
            </w:r>
            <w:r>
              <w:rPr>
                <w:rFonts w:hint="eastAsia" w:ascii="宋体" w:hAnsi="宋体" w:cs="宋体"/>
                <w:sz w:val="24"/>
                <w:highlight w:val="none"/>
              </w:rPr>
              <w:t>4</w:t>
            </w:r>
            <w:r>
              <w:rPr>
                <w:rFonts w:ascii="宋体" w:hAnsi="宋体" w:cs="宋体"/>
                <w:sz w:val="24"/>
                <w:highlight w:val="none"/>
              </w:rPr>
              <w:t>分；提供的方案基本全面，有针对性解释说明得</w:t>
            </w:r>
            <w:r>
              <w:rPr>
                <w:rFonts w:hint="eastAsia" w:ascii="宋体" w:hAnsi="宋体" w:cs="宋体"/>
                <w:sz w:val="24"/>
                <w:highlight w:val="none"/>
              </w:rPr>
              <w:t>3</w:t>
            </w:r>
            <w:r>
              <w:rPr>
                <w:rFonts w:ascii="宋体" w:hAnsi="宋体" w:cs="宋体"/>
                <w:sz w:val="24"/>
                <w:highlight w:val="none"/>
              </w:rPr>
              <w:t>分；提供的方案不全面，有针对性解释说明得</w:t>
            </w:r>
            <w:r>
              <w:rPr>
                <w:rFonts w:hint="eastAsia" w:ascii="宋体" w:hAnsi="宋体" w:cs="宋体"/>
                <w:sz w:val="24"/>
                <w:highlight w:val="none"/>
              </w:rPr>
              <w:t>2</w:t>
            </w:r>
            <w:r>
              <w:rPr>
                <w:rFonts w:ascii="宋体" w:hAnsi="宋体" w:cs="宋体"/>
                <w:sz w:val="24"/>
                <w:highlight w:val="none"/>
              </w:rPr>
              <w:t>分；提供的方案不全面，没有解释说明得1分；未提供不得分。</w:t>
            </w:r>
          </w:p>
          <w:p w14:paraId="37D8BAAA">
            <w:pPr>
              <w:widowControl/>
              <w:spacing w:line="440" w:lineRule="exact"/>
              <w:rPr>
                <w:rFonts w:hint="eastAsia" w:ascii="宋体" w:hAnsi="宋体" w:cs="宋体"/>
                <w:sz w:val="24"/>
                <w:highlight w:val="none"/>
              </w:rPr>
            </w:pPr>
            <w:r>
              <w:rPr>
                <w:rFonts w:hint="eastAsia" w:ascii="宋体" w:hAnsi="宋体" w:cs="宋体"/>
                <w:sz w:val="24"/>
                <w:highlight w:val="none"/>
              </w:rPr>
              <w:t>2.系统所采用的技术框架先进、具有前瞻性、扩展性强、平台开放性强及安全性高，</w:t>
            </w:r>
            <w:r>
              <w:rPr>
                <w:rFonts w:ascii="宋体" w:hAnsi="宋体" w:cs="宋体"/>
                <w:sz w:val="24"/>
                <w:highlight w:val="none"/>
              </w:rPr>
              <w:t>不漏项且有针对性解释说明得</w:t>
            </w:r>
            <w:r>
              <w:rPr>
                <w:rFonts w:hint="eastAsia" w:ascii="宋体" w:hAnsi="宋体" w:cs="宋体"/>
                <w:sz w:val="24"/>
                <w:highlight w:val="none"/>
              </w:rPr>
              <w:t>5</w:t>
            </w:r>
            <w:r>
              <w:rPr>
                <w:rFonts w:ascii="宋体" w:hAnsi="宋体" w:cs="宋体"/>
                <w:sz w:val="24"/>
                <w:highlight w:val="none"/>
              </w:rPr>
              <w:t>分；提供的方案漏缺1项或2项，有针对性解释说明得</w:t>
            </w:r>
            <w:r>
              <w:rPr>
                <w:rFonts w:hint="eastAsia" w:ascii="宋体" w:hAnsi="宋体" w:cs="宋体"/>
                <w:sz w:val="24"/>
                <w:highlight w:val="none"/>
              </w:rPr>
              <w:t>4</w:t>
            </w:r>
            <w:r>
              <w:rPr>
                <w:rFonts w:ascii="宋体" w:hAnsi="宋体" w:cs="宋体"/>
                <w:sz w:val="24"/>
                <w:highlight w:val="none"/>
              </w:rPr>
              <w:t>分；提供的方案基本全面，有针对性解释说明得</w:t>
            </w:r>
            <w:r>
              <w:rPr>
                <w:rFonts w:hint="eastAsia" w:ascii="宋体" w:hAnsi="宋体" w:cs="宋体"/>
                <w:sz w:val="24"/>
                <w:highlight w:val="none"/>
              </w:rPr>
              <w:t>3</w:t>
            </w:r>
            <w:r>
              <w:rPr>
                <w:rFonts w:ascii="宋体" w:hAnsi="宋体" w:cs="宋体"/>
                <w:sz w:val="24"/>
                <w:highlight w:val="none"/>
              </w:rPr>
              <w:t>分；提供的方案不全面，有针对性解释说明得</w:t>
            </w:r>
            <w:r>
              <w:rPr>
                <w:rFonts w:hint="eastAsia" w:ascii="宋体" w:hAnsi="宋体" w:cs="宋体"/>
                <w:sz w:val="24"/>
                <w:highlight w:val="none"/>
              </w:rPr>
              <w:t>2</w:t>
            </w:r>
            <w:r>
              <w:rPr>
                <w:rFonts w:ascii="宋体" w:hAnsi="宋体" w:cs="宋体"/>
                <w:sz w:val="24"/>
                <w:highlight w:val="none"/>
              </w:rPr>
              <w:t>分；提供的方案不全面，没有解释说明得1分；未提供不得分。</w:t>
            </w:r>
          </w:p>
        </w:tc>
        <w:tc>
          <w:tcPr>
            <w:tcW w:w="850" w:type="dxa"/>
            <w:vAlign w:val="center"/>
          </w:tcPr>
          <w:p w14:paraId="64AC9799">
            <w:pPr>
              <w:widowControl/>
              <w:spacing w:line="440" w:lineRule="exact"/>
              <w:jc w:val="center"/>
              <w:rPr>
                <w:rFonts w:hint="eastAsia" w:hAnsi="宋体" w:cs="宋体"/>
                <w:sz w:val="24"/>
                <w:highlight w:val="none"/>
              </w:rPr>
            </w:pPr>
            <w:r>
              <w:rPr>
                <w:rFonts w:hint="eastAsia" w:ascii="宋体" w:hAnsi="宋体" w:cs="宋体"/>
                <w:sz w:val="24"/>
                <w:highlight w:val="none"/>
              </w:rPr>
              <w:t>10分</w:t>
            </w:r>
          </w:p>
        </w:tc>
      </w:tr>
      <w:tr w14:paraId="0F1F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14:paraId="577EF57A">
            <w:pPr>
              <w:widowControl/>
              <w:spacing w:line="440" w:lineRule="exact"/>
              <w:jc w:val="left"/>
              <w:rPr>
                <w:rFonts w:hint="eastAsia" w:ascii="宋体" w:hAnsi="宋体" w:cs="宋体"/>
                <w:sz w:val="24"/>
                <w:highlight w:val="none"/>
                <w:lang w:val="zh-CN"/>
              </w:rPr>
            </w:pPr>
            <w:r>
              <w:rPr>
                <w:rFonts w:hint="eastAsia" w:ascii="宋体" w:hAnsi="宋体" w:cs="宋体"/>
                <w:sz w:val="24"/>
                <w:highlight w:val="none"/>
              </w:rPr>
              <w:t>运营咨询方案设计</w:t>
            </w:r>
          </w:p>
        </w:tc>
        <w:tc>
          <w:tcPr>
            <w:tcW w:w="7655" w:type="dxa"/>
            <w:vAlign w:val="center"/>
          </w:tcPr>
          <w:p w14:paraId="6ED4496A">
            <w:pPr>
              <w:widowControl/>
              <w:spacing w:line="440" w:lineRule="exact"/>
              <w:jc w:val="left"/>
              <w:rPr>
                <w:rFonts w:hint="eastAsia" w:ascii="宋体" w:hAnsi="宋体" w:cs="宋体"/>
                <w:sz w:val="24"/>
                <w:highlight w:val="none"/>
              </w:rPr>
            </w:pPr>
            <w:r>
              <w:rPr>
                <w:rFonts w:hint="eastAsia" w:ascii="宋体" w:hAnsi="宋体" w:cs="宋体"/>
                <w:sz w:val="24"/>
                <w:highlight w:val="none"/>
              </w:rPr>
              <w:t>运营咨询方案包含但不限于运营管理目标度量体系、运营组织能力、资源配置规则、</w:t>
            </w:r>
            <w:r>
              <w:rPr>
                <w:rFonts w:hint="eastAsia" w:ascii="宋体" w:hAnsi="宋体" w:cs="宋体"/>
                <w:b w:val="0"/>
                <w:bCs w:val="0"/>
                <w:sz w:val="24"/>
                <w:highlight w:val="none"/>
              </w:rPr>
              <w:t>运营分析规则和流程、</w:t>
            </w:r>
            <w:bookmarkStart w:id="30" w:name="_Toc17212"/>
            <w:bookmarkStart w:id="31" w:name="_Toc31406"/>
            <w:bookmarkStart w:id="32" w:name="_Toc116252503"/>
            <w:bookmarkStart w:id="33" w:name="_Toc128047644"/>
            <w:bookmarkStart w:id="34" w:name="_Toc155627029"/>
            <w:bookmarkStart w:id="35" w:name="_Toc2928"/>
            <w:bookmarkStart w:id="36" w:name="_Toc3"/>
            <w:bookmarkStart w:id="37" w:name="_Toc32351"/>
            <w:bookmarkStart w:id="38" w:name="_Toc12968"/>
            <w:bookmarkStart w:id="39" w:name="_Toc25083"/>
            <w:bookmarkStart w:id="40" w:name="_Toc23559"/>
            <w:bookmarkStart w:id="41" w:name="_Toc12598"/>
            <w:bookmarkStart w:id="42" w:name="_Toc18095"/>
            <w:bookmarkStart w:id="43" w:name="_Toc9721"/>
            <w:bookmarkStart w:id="44" w:name="_Toc9013"/>
            <w:r>
              <w:rPr>
                <w:rFonts w:hint="eastAsia" w:ascii="宋体" w:hAnsi="宋体" w:cs="宋体"/>
                <w:b w:val="0"/>
                <w:bCs w:val="0"/>
                <w:sz w:val="24"/>
                <w:highlight w:val="none"/>
              </w:rPr>
              <w:t>运营体系的绩效评价</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宋体" w:hAnsi="宋体" w:cs="宋体"/>
                <w:b w:val="0"/>
                <w:bCs w:val="0"/>
                <w:sz w:val="24"/>
                <w:highlight w:val="none"/>
              </w:rPr>
              <w:t>、</w:t>
            </w:r>
            <w:bookmarkStart w:id="45" w:name="_Toc22018"/>
            <w:bookmarkStart w:id="46" w:name="_Toc16721"/>
            <w:bookmarkStart w:id="47" w:name="_Toc155627030"/>
            <w:bookmarkStart w:id="48" w:name="_Toc29586"/>
            <w:bookmarkStart w:id="49" w:name="_Toc116252504"/>
            <w:bookmarkStart w:id="50" w:name="_Toc3602"/>
            <w:bookmarkStart w:id="51" w:name="_Toc128047645"/>
            <w:bookmarkStart w:id="52" w:name="_Toc8822"/>
            <w:bookmarkStart w:id="53" w:name="_Toc27342"/>
            <w:bookmarkStart w:id="54" w:name="_Toc17445"/>
            <w:bookmarkStart w:id="55" w:name="_Toc13062"/>
            <w:bookmarkStart w:id="56" w:name="_Toc28941"/>
            <w:bookmarkStart w:id="57" w:name="_Toc23534"/>
            <w:bookmarkStart w:id="58" w:name="_Toc27038"/>
            <w:bookmarkStart w:id="59" w:name="_Toc19815"/>
            <w:r>
              <w:rPr>
                <w:rFonts w:ascii="宋体" w:hAnsi="宋体" w:cs="宋体"/>
                <w:b w:val="0"/>
                <w:bCs w:val="0"/>
                <w:sz w:val="24"/>
                <w:highlight w:val="none"/>
              </w:rPr>
              <w:t>运营体系</w:t>
            </w:r>
            <w:r>
              <w:rPr>
                <w:rFonts w:hint="eastAsia" w:ascii="宋体" w:hAnsi="宋体" w:cs="宋体"/>
                <w:b w:val="0"/>
                <w:bCs w:val="0"/>
                <w:sz w:val="24"/>
                <w:highlight w:val="none"/>
              </w:rPr>
              <w:t>的改进</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ascii="宋体" w:hAnsi="宋体" w:cs="宋体"/>
                <w:b w:val="0"/>
                <w:bCs w:val="0"/>
                <w:sz w:val="24"/>
                <w:highlight w:val="none"/>
              </w:rPr>
              <w:t>等</w:t>
            </w:r>
            <w:r>
              <w:rPr>
                <w:rFonts w:hint="eastAsia" w:ascii="宋体" w:hAnsi="宋体" w:cs="宋体"/>
                <w:sz w:val="24"/>
                <w:highlight w:val="none"/>
              </w:rPr>
              <w:t>咨询服务内容，方案科学、严密、合理的，不漏项且有针对性解释说明得</w:t>
            </w:r>
            <w:r>
              <w:rPr>
                <w:rFonts w:hint="eastAsia" w:ascii="宋体" w:hAnsi="宋体" w:cs="宋体"/>
                <w:sz w:val="24"/>
                <w:highlight w:val="none"/>
                <w:lang w:val="en-US" w:eastAsia="zh-CN"/>
              </w:rPr>
              <w:t>5</w:t>
            </w:r>
            <w:r>
              <w:rPr>
                <w:rFonts w:hint="eastAsia" w:ascii="宋体" w:hAnsi="宋体" w:cs="宋体"/>
                <w:sz w:val="24"/>
                <w:highlight w:val="none"/>
              </w:rPr>
              <w:t>分；提供的方案漏缺1项或2项，有针对性解释说明得</w:t>
            </w:r>
            <w:r>
              <w:rPr>
                <w:rFonts w:hint="eastAsia" w:ascii="宋体" w:hAnsi="宋体" w:cs="宋体"/>
                <w:sz w:val="24"/>
                <w:highlight w:val="none"/>
                <w:lang w:val="en-US" w:eastAsia="zh-CN"/>
              </w:rPr>
              <w:t>4</w:t>
            </w:r>
            <w:r>
              <w:rPr>
                <w:rFonts w:hint="eastAsia" w:ascii="宋体" w:hAnsi="宋体" w:cs="宋体"/>
                <w:sz w:val="24"/>
                <w:highlight w:val="none"/>
              </w:rPr>
              <w:t>分；提供的方案基本全面，有针对性解释说明得</w:t>
            </w:r>
            <w:r>
              <w:rPr>
                <w:rFonts w:hint="eastAsia" w:ascii="宋体" w:hAnsi="宋体" w:cs="宋体"/>
                <w:sz w:val="24"/>
                <w:highlight w:val="none"/>
                <w:lang w:val="en-US" w:eastAsia="zh-CN"/>
              </w:rPr>
              <w:t>3</w:t>
            </w:r>
            <w:r>
              <w:rPr>
                <w:rFonts w:hint="eastAsia" w:ascii="宋体" w:hAnsi="宋体" w:cs="宋体"/>
                <w:sz w:val="24"/>
                <w:highlight w:val="none"/>
              </w:rPr>
              <w:t>分；提供的方案不全面，有针对性解释说明得</w:t>
            </w:r>
            <w:r>
              <w:rPr>
                <w:rFonts w:hint="eastAsia" w:ascii="宋体" w:hAnsi="宋体" w:cs="宋体"/>
                <w:sz w:val="24"/>
                <w:highlight w:val="none"/>
                <w:lang w:val="en-US" w:eastAsia="zh-CN"/>
              </w:rPr>
              <w:t>2</w:t>
            </w:r>
            <w:r>
              <w:rPr>
                <w:rFonts w:hint="eastAsia" w:ascii="宋体" w:hAnsi="宋体" w:cs="宋体"/>
                <w:sz w:val="24"/>
                <w:highlight w:val="none"/>
              </w:rPr>
              <w:t>分；提供的方案不全面，没有解释说明得1分；未提供不得分。</w:t>
            </w:r>
          </w:p>
        </w:tc>
        <w:tc>
          <w:tcPr>
            <w:tcW w:w="850" w:type="dxa"/>
            <w:vAlign w:val="center"/>
          </w:tcPr>
          <w:p w14:paraId="2B83EC12">
            <w:pPr>
              <w:widowControl/>
              <w:spacing w:line="440" w:lineRule="exact"/>
              <w:jc w:val="center"/>
              <w:rPr>
                <w:rFonts w:hint="eastAsia"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0ED3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14:paraId="3B3C3E96">
            <w:pPr>
              <w:widowControl/>
              <w:spacing w:line="440" w:lineRule="exact"/>
              <w:jc w:val="center"/>
              <w:rPr>
                <w:rFonts w:hint="eastAsia" w:hAnsi="宋体" w:cs="宋体"/>
                <w:kern w:val="0"/>
                <w:sz w:val="24"/>
                <w:highlight w:val="none"/>
              </w:rPr>
            </w:pPr>
            <w:r>
              <w:rPr>
                <w:highlight w:val="none"/>
              </w:rPr>
              <w:t>项目实施</w:t>
            </w:r>
            <w:r>
              <w:rPr>
                <w:rFonts w:hint="eastAsia"/>
                <w:highlight w:val="none"/>
              </w:rPr>
              <w:t>方案</w:t>
            </w:r>
          </w:p>
        </w:tc>
        <w:tc>
          <w:tcPr>
            <w:tcW w:w="7655" w:type="dxa"/>
          </w:tcPr>
          <w:p w14:paraId="08819920">
            <w:pPr>
              <w:spacing w:line="360" w:lineRule="auto"/>
              <w:rPr>
                <w:rFonts w:hint="eastAsia" w:ascii="宋体" w:hAnsi="宋体" w:cs="宋体"/>
                <w:sz w:val="24"/>
                <w:highlight w:val="none"/>
              </w:rPr>
            </w:pPr>
            <w:r>
              <w:rPr>
                <w:rFonts w:hint="eastAsia" w:ascii="宋体" w:hAnsi="宋体" w:cs="宋体"/>
                <w:sz w:val="24"/>
                <w:highlight w:val="none"/>
              </w:rPr>
              <w:t>项目实施方案包括但不限于项目的实施计划安排，工作程序和步骤，工期保障措施科学、合理、规范和可操作性强，</w:t>
            </w:r>
            <w:r>
              <w:rPr>
                <w:rFonts w:ascii="宋体" w:hAnsi="宋体" w:cs="宋体"/>
                <w:sz w:val="24"/>
                <w:highlight w:val="none"/>
              </w:rPr>
              <w:t>不漏项且有针对性解释说明得</w:t>
            </w:r>
            <w:r>
              <w:rPr>
                <w:rFonts w:hint="eastAsia" w:ascii="宋体" w:hAnsi="宋体" w:cs="宋体"/>
                <w:sz w:val="24"/>
                <w:highlight w:val="none"/>
              </w:rPr>
              <w:t>5</w:t>
            </w:r>
            <w:r>
              <w:rPr>
                <w:rFonts w:ascii="宋体" w:hAnsi="宋体" w:cs="宋体"/>
                <w:sz w:val="24"/>
                <w:highlight w:val="none"/>
              </w:rPr>
              <w:t>分；提供的方案漏缺1项或2项，有针对性解释说明得</w:t>
            </w:r>
            <w:r>
              <w:rPr>
                <w:rFonts w:hint="eastAsia" w:ascii="宋体" w:hAnsi="宋体" w:cs="宋体"/>
                <w:sz w:val="24"/>
                <w:highlight w:val="none"/>
              </w:rPr>
              <w:t>4</w:t>
            </w:r>
            <w:r>
              <w:rPr>
                <w:rFonts w:ascii="宋体" w:hAnsi="宋体" w:cs="宋体"/>
                <w:sz w:val="24"/>
                <w:highlight w:val="none"/>
              </w:rPr>
              <w:t>分；提供的方案基本全面，有针对性解释说明得</w:t>
            </w:r>
            <w:r>
              <w:rPr>
                <w:rFonts w:hint="eastAsia" w:ascii="宋体" w:hAnsi="宋体" w:cs="宋体"/>
                <w:sz w:val="24"/>
                <w:highlight w:val="none"/>
              </w:rPr>
              <w:t>3</w:t>
            </w:r>
            <w:r>
              <w:rPr>
                <w:rFonts w:ascii="宋体" w:hAnsi="宋体" w:cs="宋体"/>
                <w:sz w:val="24"/>
                <w:highlight w:val="none"/>
              </w:rPr>
              <w:t>分；提供的方案不全面，有针对性解释说明得</w:t>
            </w:r>
            <w:r>
              <w:rPr>
                <w:rFonts w:hint="eastAsia" w:ascii="宋体" w:hAnsi="宋体" w:cs="宋体"/>
                <w:sz w:val="24"/>
                <w:highlight w:val="none"/>
              </w:rPr>
              <w:t>2</w:t>
            </w:r>
            <w:r>
              <w:rPr>
                <w:rFonts w:ascii="宋体" w:hAnsi="宋体" w:cs="宋体"/>
                <w:sz w:val="24"/>
                <w:highlight w:val="none"/>
              </w:rPr>
              <w:t>分；提供的方案不全面，没有解释说明得1分；未提供不得分。</w:t>
            </w:r>
          </w:p>
        </w:tc>
        <w:tc>
          <w:tcPr>
            <w:tcW w:w="850" w:type="dxa"/>
            <w:vAlign w:val="center"/>
          </w:tcPr>
          <w:p w14:paraId="33F961DF">
            <w:pPr>
              <w:widowControl/>
              <w:spacing w:line="440" w:lineRule="exact"/>
              <w:jc w:val="center"/>
              <w:rPr>
                <w:rFonts w:hint="eastAsia" w:hAnsi="宋体" w:cs="宋体"/>
                <w:sz w:val="24"/>
                <w:highlight w:val="none"/>
              </w:rPr>
            </w:pPr>
            <w:r>
              <w:rPr>
                <w:rFonts w:hint="eastAsia" w:ascii="宋体" w:hAnsi="宋体" w:cs="宋体"/>
                <w:sz w:val="24"/>
                <w:highlight w:val="none"/>
              </w:rPr>
              <w:t>5分</w:t>
            </w:r>
          </w:p>
        </w:tc>
      </w:tr>
      <w:tr w14:paraId="3772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2" w:type="dxa"/>
            <w:vAlign w:val="center"/>
          </w:tcPr>
          <w:p w14:paraId="042C30CB">
            <w:pPr>
              <w:widowControl/>
              <w:spacing w:line="440" w:lineRule="exact"/>
              <w:jc w:val="left"/>
              <w:rPr>
                <w:rFonts w:hint="eastAsia" w:asciiTheme="majorEastAsia" w:hAnsiTheme="majorEastAsia" w:eastAsiaTheme="majorEastAsia"/>
                <w:sz w:val="24"/>
                <w:highlight w:val="none"/>
              </w:rPr>
            </w:pPr>
            <w:r>
              <w:rPr>
                <w:rFonts w:hint="eastAsia" w:asciiTheme="majorEastAsia" w:hAnsiTheme="majorEastAsia" w:eastAsiaTheme="majorEastAsia"/>
                <w:sz w:val="24"/>
                <w:highlight w:val="none"/>
              </w:rPr>
              <w:t>拟投入本</w:t>
            </w:r>
            <w:r>
              <w:rPr>
                <w:rFonts w:hint="eastAsia" w:asciiTheme="majorEastAsia" w:hAnsiTheme="majorEastAsia" w:eastAsiaTheme="majorEastAsia"/>
                <w:sz w:val="24"/>
                <w:highlight w:val="none"/>
                <w:lang w:eastAsia="zh-CN"/>
              </w:rPr>
              <w:t>项目</w:t>
            </w:r>
            <w:r>
              <w:rPr>
                <w:rFonts w:hint="eastAsia" w:asciiTheme="majorEastAsia" w:hAnsiTheme="majorEastAsia" w:eastAsiaTheme="majorEastAsia"/>
                <w:sz w:val="24"/>
                <w:highlight w:val="none"/>
              </w:rPr>
              <w:t>人员</w:t>
            </w:r>
          </w:p>
        </w:tc>
        <w:tc>
          <w:tcPr>
            <w:tcW w:w="7655" w:type="dxa"/>
            <w:vAlign w:val="center"/>
          </w:tcPr>
          <w:p w14:paraId="3F65F1A0">
            <w:pPr>
              <w:numPr>
                <w:ilvl w:val="0"/>
                <w:numId w:val="5"/>
              </w:numPr>
              <w:spacing w:line="360" w:lineRule="auto"/>
              <w:ind w:left="425" w:hanging="425"/>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项目团队项目总负责人实力要求：</w:t>
            </w:r>
          </w:p>
          <w:p w14:paraId="44F351C1">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（1）提供医学相关专业，硕士学位证书复印件加盖公章，得1分；</w:t>
            </w:r>
          </w:p>
          <w:p w14:paraId="45942FA8">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（2）有在医院任职经验，提供相关职称证书复印件加盖公章，得1分；</w:t>
            </w:r>
          </w:p>
          <w:p w14:paraId="60F51200">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（3）提供绩效或者成本同类项目实施经验证明材料复印件加盖公章，提供一个项目经验证明得0.5分，满分2分。</w:t>
            </w:r>
          </w:p>
          <w:p w14:paraId="34C07F44">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实施经验证明材料需同时提供以下证明：</w:t>
            </w:r>
          </w:p>
          <w:p w14:paraId="57DF1171">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1）合同复印件</w:t>
            </w:r>
          </w:p>
          <w:p w14:paraId="243AB263">
            <w:pPr>
              <w:widowControl/>
              <w:spacing w:line="360" w:lineRule="auto"/>
              <w:jc w:val="left"/>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2）医院盖章的验收报告或满意度评价证明</w:t>
            </w:r>
          </w:p>
          <w:p w14:paraId="721FEECD">
            <w:pPr>
              <w:spacing w:line="360" w:lineRule="auto"/>
              <w:rPr>
                <w:rFonts w:hint="eastAsia" w:ascii="Times New Roman" w:hAnsi="宋体" w:eastAsia="宋体" w:cs="宋体"/>
                <w:kern w:val="0"/>
                <w:sz w:val="24"/>
                <w:szCs w:val="24"/>
                <w:highlight w:val="none"/>
              </w:rPr>
            </w:pPr>
            <w:bookmarkStart w:id="60" w:name="OLE_LINK11"/>
            <w:r>
              <w:rPr>
                <w:rFonts w:hint="eastAsia" w:ascii="Times New Roman" w:hAnsi="宋体" w:eastAsia="宋体" w:cs="宋体"/>
                <w:kern w:val="0"/>
                <w:sz w:val="24"/>
                <w:szCs w:val="24"/>
                <w:highlight w:val="none"/>
              </w:rPr>
              <w:t>项目团队实施人员实力要求：</w:t>
            </w:r>
          </w:p>
          <w:p w14:paraId="4E1930C6">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 xml:space="preserve">（1）项目团队人员中有医学或者药学、公卫、护理、人力资源管理、财会、计算机科学与技术、软件技术、管理工程等专业且为本科或以上学历，全部满足专业要求得1分，不满足不得分；提供学历证书复印件加盖公章。 </w:t>
            </w:r>
          </w:p>
          <w:p w14:paraId="3770F0F9">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（2）团队人员中有数学或者统计学相关专业且为本科或以上学历，满足得1分</w:t>
            </w:r>
            <w:bookmarkStart w:id="61" w:name="OLE_LINK6"/>
            <w:r>
              <w:rPr>
                <w:rFonts w:hint="eastAsia" w:ascii="Times New Roman" w:hAnsi="宋体" w:eastAsia="宋体" w:cs="宋体"/>
                <w:kern w:val="0"/>
                <w:sz w:val="24"/>
                <w:szCs w:val="24"/>
                <w:highlight w:val="none"/>
              </w:rPr>
              <w:t>，不满足不得分</w:t>
            </w:r>
            <w:bookmarkEnd w:id="61"/>
            <w:r>
              <w:rPr>
                <w:rFonts w:hint="eastAsia" w:ascii="Times New Roman" w:hAnsi="宋体" w:eastAsia="宋体" w:cs="宋体"/>
                <w:kern w:val="0"/>
                <w:sz w:val="24"/>
                <w:szCs w:val="24"/>
                <w:highlight w:val="none"/>
              </w:rPr>
              <w:t>；提供学历证书复印件加盖公章。</w:t>
            </w:r>
          </w:p>
          <w:p w14:paraId="02D96085">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需同时提供绩效或者成本同类项目实施经验证明，否则不得分。</w:t>
            </w:r>
          </w:p>
          <w:p w14:paraId="68587C8C">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（3）团队人员中有信息系统项目管理师高级资质证书，</w:t>
            </w:r>
            <w:bookmarkStart w:id="62" w:name="OLE_LINK7"/>
            <w:r>
              <w:rPr>
                <w:rFonts w:hint="eastAsia" w:ascii="Times New Roman" w:hAnsi="宋体" w:eastAsia="宋体" w:cs="宋体"/>
                <w:kern w:val="0"/>
                <w:sz w:val="24"/>
                <w:szCs w:val="24"/>
                <w:highlight w:val="none"/>
              </w:rPr>
              <w:t>满足得1分，</w:t>
            </w:r>
            <w:bookmarkEnd w:id="62"/>
            <w:r>
              <w:rPr>
                <w:rFonts w:hint="eastAsia" w:ascii="Times New Roman" w:hAnsi="宋体" w:eastAsia="宋体" w:cs="宋体"/>
                <w:kern w:val="0"/>
                <w:sz w:val="24"/>
                <w:szCs w:val="24"/>
                <w:highlight w:val="none"/>
              </w:rPr>
              <w:t>不满足不得分，提供资质证书复印件加盖公章。需同时提供绩效或者成本同类项目实施经验证明，否则不得分。</w:t>
            </w:r>
          </w:p>
          <w:p w14:paraId="25AEE37A">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（4）团队人员中至少2人具有会计专业技术资格中级或以上资质，</w:t>
            </w:r>
            <w:bookmarkStart w:id="63" w:name="OLE_LINK9"/>
            <w:r>
              <w:rPr>
                <w:rFonts w:hint="eastAsia" w:ascii="Times New Roman" w:hAnsi="宋体" w:eastAsia="宋体" w:cs="宋体"/>
                <w:kern w:val="0"/>
                <w:sz w:val="24"/>
                <w:szCs w:val="24"/>
                <w:highlight w:val="none"/>
              </w:rPr>
              <w:t>满足得1分，不满足不得分，</w:t>
            </w:r>
            <w:bookmarkEnd w:id="63"/>
            <w:r>
              <w:rPr>
                <w:rFonts w:hint="eastAsia" w:ascii="Times New Roman" w:hAnsi="宋体" w:eastAsia="宋体" w:cs="宋体"/>
                <w:kern w:val="0"/>
                <w:sz w:val="24"/>
                <w:szCs w:val="24"/>
                <w:highlight w:val="none"/>
              </w:rPr>
              <w:t>提供资质证书复印件加盖公章。</w:t>
            </w:r>
          </w:p>
          <w:p w14:paraId="415976EB">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（5）团队人员中1人同时具有企业架构TOGAF Certified认证资质和系统分析师高级证书，满足得1分，不满足不得分，提供资质证书复印件加盖公章。</w:t>
            </w:r>
          </w:p>
          <w:p w14:paraId="2033E6AC">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（6）团队人员中具有一级企业人力资源管理师资质证书，满足得1分，不满足不得分，提供资质证书复印件加盖公章。</w:t>
            </w:r>
          </w:p>
          <w:p w14:paraId="1D2194B0">
            <w:pPr>
              <w:spacing w:line="360" w:lineRule="auto"/>
              <w:rPr>
                <w:rFonts w:hint="eastAsia" w:ascii="Times New Roman" w:hAnsi="宋体" w:eastAsia="宋体" w:cs="宋体"/>
                <w:b w:val="0"/>
                <w:bCs w:val="0"/>
                <w:kern w:val="0"/>
                <w:sz w:val="24"/>
                <w:szCs w:val="24"/>
                <w:highlight w:val="none"/>
              </w:rPr>
            </w:pPr>
            <w:r>
              <w:rPr>
                <w:rFonts w:hint="eastAsia" w:ascii="Times New Roman" w:hAnsi="宋体" w:eastAsia="宋体" w:cs="宋体"/>
                <w:b w:val="0"/>
                <w:bCs w:val="0"/>
                <w:kern w:val="0"/>
                <w:sz w:val="24"/>
                <w:szCs w:val="24"/>
                <w:highlight w:val="none"/>
              </w:rPr>
              <w:t>允许投标供应商的分公司人员参与项目实施。</w:t>
            </w:r>
          </w:p>
          <w:p w14:paraId="4182AF6B">
            <w:pPr>
              <w:spacing w:line="360" w:lineRule="auto"/>
              <w:rPr>
                <w:rFonts w:hint="eastAsia" w:ascii="Times New Roman" w:hAnsi="宋体" w:eastAsia="宋体" w:cs="宋体"/>
                <w:b w:val="0"/>
                <w:bCs w:val="0"/>
                <w:kern w:val="0"/>
                <w:sz w:val="24"/>
                <w:szCs w:val="24"/>
                <w:highlight w:val="none"/>
              </w:rPr>
            </w:pPr>
            <w:r>
              <w:rPr>
                <w:rFonts w:hint="eastAsia" w:ascii="Times New Roman" w:hAnsi="宋体" w:eastAsia="宋体" w:cs="宋体"/>
                <w:b w:val="0"/>
                <w:bCs w:val="0"/>
                <w:kern w:val="0"/>
                <w:sz w:val="24"/>
                <w:szCs w:val="24"/>
                <w:highlight w:val="none"/>
              </w:rPr>
              <w:t>投标供应商的子公司人员参与项目团队情况资质无效。</w:t>
            </w:r>
          </w:p>
          <w:p w14:paraId="02250B09">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其中项目实施经验证明材料需同时提供以下证明：</w:t>
            </w:r>
          </w:p>
          <w:p w14:paraId="622514BC">
            <w:pPr>
              <w:spacing w:line="360" w:lineRule="auto"/>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rPr>
              <w:t>1）人员合同复印件</w:t>
            </w:r>
          </w:p>
          <w:p w14:paraId="7BBC1816">
            <w:pPr>
              <w:widowControl/>
              <w:spacing w:line="360" w:lineRule="auto"/>
              <w:jc w:val="left"/>
              <w:rPr>
                <w:rFonts w:hint="eastAsia" w:asciiTheme="majorEastAsia" w:hAnsiTheme="majorEastAsia" w:eastAsiaTheme="majorEastAsia"/>
                <w:sz w:val="24"/>
                <w:highlight w:val="none"/>
              </w:rPr>
            </w:pPr>
            <w:r>
              <w:rPr>
                <w:rFonts w:hint="eastAsia" w:ascii="Times New Roman" w:hAnsi="宋体" w:eastAsia="宋体" w:cs="宋体"/>
                <w:kern w:val="0"/>
                <w:sz w:val="24"/>
                <w:szCs w:val="24"/>
                <w:highlight w:val="none"/>
              </w:rPr>
              <w:t>2）医院盖章的验收报告或满意度评价证明</w:t>
            </w:r>
            <w:bookmarkEnd w:id="60"/>
          </w:p>
        </w:tc>
        <w:tc>
          <w:tcPr>
            <w:tcW w:w="850" w:type="dxa"/>
            <w:vAlign w:val="center"/>
          </w:tcPr>
          <w:p w14:paraId="716B695E">
            <w:pPr>
              <w:widowControl/>
              <w:spacing w:line="440" w:lineRule="exact"/>
              <w:jc w:val="center"/>
              <w:rPr>
                <w:rFonts w:hint="eastAsia" w:ascii="宋体" w:hAnsi="宋体" w:cs="宋体"/>
                <w:color w:val="FF0000"/>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分</w:t>
            </w:r>
          </w:p>
        </w:tc>
      </w:tr>
      <w:tr w14:paraId="03B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2"/>
            <w:vAlign w:val="center"/>
          </w:tcPr>
          <w:p w14:paraId="124BB10F">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资信、商务及其他部分</w:t>
            </w:r>
          </w:p>
        </w:tc>
        <w:tc>
          <w:tcPr>
            <w:tcW w:w="850" w:type="dxa"/>
            <w:vAlign w:val="center"/>
          </w:tcPr>
          <w:p w14:paraId="47704C12">
            <w:pPr>
              <w:pStyle w:val="12"/>
              <w:spacing w:before="120" w:beforeLines="50" w:afterLines="50" w:line="360" w:lineRule="auto"/>
              <w:ind w:left="0" w:leftChars="0"/>
              <w:jc w:val="left"/>
              <w:rPr>
                <w:rFonts w:hint="eastAsia" w:hAnsi="宋体" w:cs="宋体"/>
                <w:sz w:val="24"/>
                <w:szCs w:val="24"/>
                <w:highlight w:val="none"/>
              </w:rPr>
            </w:pPr>
            <w:r>
              <w:rPr>
                <w:rFonts w:hint="eastAsia" w:ascii="宋体" w:hAnsi="宋体" w:cs="宋体"/>
                <w:sz w:val="24"/>
                <w:szCs w:val="24"/>
                <w:highlight w:val="none"/>
              </w:rPr>
              <w:t>20</w:t>
            </w:r>
            <w:r>
              <w:rPr>
                <w:rFonts w:ascii="宋体" w:hAnsi="宋体" w:cs="宋体"/>
                <w:sz w:val="24"/>
                <w:szCs w:val="24"/>
                <w:highlight w:val="none"/>
              </w:rPr>
              <w:t>分</w:t>
            </w:r>
          </w:p>
        </w:tc>
      </w:tr>
      <w:tr w14:paraId="7E55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702" w:type="dxa"/>
            <w:vAlign w:val="center"/>
          </w:tcPr>
          <w:p w14:paraId="6AC30F4E">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企业业绩</w:t>
            </w:r>
          </w:p>
        </w:tc>
        <w:tc>
          <w:tcPr>
            <w:tcW w:w="7655" w:type="dxa"/>
            <w:vAlign w:val="center"/>
          </w:tcPr>
          <w:p w14:paraId="50B94455">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投标人20</w:t>
            </w:r>
            <w:r>
              <w:rPr>
                <w:rFonts w:hAnsi="宋体" w:cs="宋体"/>
                <w:sz w:val="24"/>
                <w:szCs w:val="24"/>
                <w:highlight w:val="none"/>
              </w:rPr>
              <w:t>2</w:t>
            </w:r>
            <w:r>
              <w:rPr>
                <w:rFonts w:hint="eastAsia" w:hAnsi="宋体" w:cs="宋体"/>
                <w:sz w:val="24"/>
                <w:szCs w:val="24"/>
                <w:highlight w:val="none"/>
              </w:rPr>
              <w:t>1年1月1日至今（以合同签订时间为准），每提供1个同类项目业绩得1分，最高得1分。提供合同复印件。</w:t>
            </w:r>
          </w:p>
        </w:tc>
        <w:tc>
          <w:tcPr>
            <w:tcW w:w="850" w:type="dxa"/>
            <w:vAlign w:val="center"/>
          </w:tcPr>
          <w:p w14:paraId="13EA4509">
            <w:pPr>
              <w:pStyle w:val="12"/>
              <w:spacing w:before="120" w:beforeLines="50" w:afterLines="50" w:line="360" w:lineRule="auto"/>
              <w:ind w:left="0" w:leftChars="0"/>
              <w:jc w:val="left"/>
              <w:rPr>
                <w:rFonts w:hint="eastAsia"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分</w:t>
            </w:r>
          </w:p>
        </w:tc>
      </w:tr>
      <w:tr w14:paraId="6DF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14:paraId="01DF1F61">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权威认证及其他证书</w:t>
            </w:r>
          </w:p>
        </w:tc>
        <w:tc>
          <w:tcPr>
            <w:tcW w:w="7655" w:type="dxa"/>
            <w:vAlign w:val="center"/>
          </w:tcPr>
          <w:p w14:paraId="165DF6ED">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1.投标人具有有效期内的质量管理体系认证证书、环境管理体系认证证书、职业健康安全认证证书、</w:t>
            </w:r>
            <w:r>
              <w:rPr>
                <w:rFonts w:hAnsi="宋体" w:cs="宋体"/>
                <w:sz w:val="24"/>
                <w:szCs w:val="24"/>
                <w:highlight w:val="none"/>
              </w:rPr>
              <w:t>信息技术服务管理体系认证</w:t>
            </w:r>
            <w:r>
              <w:rPr>
                <w:rFonts w:hint="eastAsia" w:hAnsi="宋体" w:cs="宋体"/>
                <w:sz w:val="24"/>
                <w:szCs w:val="24"/>
                <w:highlight w:val="none"/>
              </w:rPr>
              <w:t>、</w:t>
            </w:r>
            <w:r>
              <w:rPr>
                <w:rFonts w:hAnsi="宋体" w:cs="宋体"/>
                <w:sz w:val="24"/>
                <w:szCs w:val="24"/>
                <w:highlight w:val="none"/>
              </w:rPr>
              <w:t>信息安全管理体系认证</w:t>
            </w:r>
            <w:r>
              <w:rPr>
                <w:rFonts w:hint="eastAsia" w:hAnsi="宋体" w:cs="宋体"/>
                <w:sz w:val="24"/>
                <w:szCs w:val="24"/>
                <w:highlight w:val="none"/>
              </w:rPr>
              <w:t>的、每项得1分，最高得5分。注：提供全国认证认可信息公共服务平台（</w:t>
            </w:r>
            <w:r>
              <w:rPr>
                <w:rFonts w:hAnsi="宋体" w:cs="宋体"/>
                <w:sz w:val="24"/>
                <w:szCs w:val="24"/>
                <w:highlight w:val="none"/>
              </w:rPr>
              <w:t>http://cx.cnca.cn/CertECloud/index/index/page</w:t>
            </w:r>
            <w:r>
              <w:rPr>
                <w:rFonts w:hint="eastAsia" w:hAnsi="宋体" w:cs="宋体"/>
                <w:sz w:val="24"/>
                <w:szCs w:val="24"/>
                <w:highlight w:val="none"/>
              </w:rPr>
              <w:t>）查询结果及认证证书复印件，未提供不得分。</w:t>
            </w:r>
          </w:p>
          <w:p w14:paraId="5F208A84">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2.具有</w:t>
            </w:r>
            <w:r>
              <w:rPr>
                <w:rFonts w:hAnsi="宋体" w:cs="宋体"/>
                <w:sz w:val="24"/>
                <w:szCs w:val="24"/>
                <w:highlight w:val="none"/>
              </w:rPr>
              <w:t>RBRVS绩效软件系统著作权</w:t>
            </w:r>
            <w:r>
              <w:rPr>
                <w:rFonts w:hint="eastAsia" w:hAnsi="宋体" w:cs="宋体"/>
                <w:sz w:val="24"/>
                <w:szCs w:val="24"/>
                <w:highlight w:val="none"/>
              </w:rPr>
              <w:t>证书、中国软件行业协会认定的软件产品证书或</w:t>
            </w:r>
            <w:r>
              <w:rPr>
                <w:rFonts w:hAnsi="宋体" w:cs="宋体"/>
                <w:sz w:val="24"/>
                <w:szCs w:val="24"/>
                <w:highlight w:val="none"/>
              </w:rPr>
              <w:t>软件测试报告得</w:t>
            </w:r>
            <w:r>
              <w:rPr>
                <w:rFonts w:hint="eastAsia" w:hAnsi="宋体" w:cs="宋体"/>
                <w:sz w:val="24"/>
                <w:szCs w:val="24"/>
                <w:highlight w:val="none"/>
              </w:rPr>
              <w:t>1</w:t>
            </w:r>
            <w:r>
              <w:rPr>
                <w:rFonts w:hAnsi="宋体" w:cs="宋体"/>
                <w:sz w:val="24"/>
                <w:szCs w:val="24"/>
                <w:highlight w:val="none"/>
              </w:rPr>
              <w:t>分</w:t>
            </w:r>
            <w:r>
              <w:rPr>
                <w:rFonts w:hint="eastAsia" w:hAnsi="宋体" w:cs="宋体"/>
                <w:sz w:val="24"/>
                <w:szCs w:val="24"/>
                <w:highlight w:val="none"/>
              </w:rPr>
              <w:t>。需</w:t>
            </w:r>
            <w:r>
              <w:rPr>
                <w:rFonts w:hAnsi="宋体" w:cs="宋体"/>
                <w:sz w:val="24"/>
                <w:szCs w:val="24"/>
                <w:highlight w:val="none"/>
              </w:rPr>
              <w:t>提供证明材料</w:t>
            </w:r>
            <w:r>
              <w:rPr>
                <w:rFonts w:hint="eastAsia" w:hAnsi="宋体" w:cs="宋体"/>
                <w:sz w:val="24"/>
                <w:szCs w:val="24"/>
                <w:highlight w:val="none"/>
              </w:rPr>
              <w:t>复印件，未提供不得分。</w:t>
            </w:r>
          </w:p>
          <w:p w14:paraId="0ED373B8">
            <w:pPr>
              <w:pStyle w:val="12"/>
              <w:spacing w:before="120" w:beforeLines="50" w:afterLines="50" w:line="360" w:lineRule="auto"/>
              <w:ind w:left="0" w:leftChars="0"/>
              <w:jc w:val="left"/>
              <w:rPr>
                <w:rFonts w:hint="eastAsia" w:hAnsi="宋体" w:cs="宋体"/>
                <w:sz w:val="24"/>
                <w:szCs w:val="24"/>
                <w:highlight w:val="none"/>
              </w:rPr>
            </w:pPr>
            <w:r>
              <w:rPr>
                <w:rFonts w:hint="eastAsia" w:hAnsi="宋体" w:cs="宋体"/>
                <w:sz w:val="24"/>
                <w:szCs w:val="24"/>
                <w:highlight w:val="none"/>
              </w:rPr>
              <w:t>3. 投标人</w:t>
            </w:r>
            <w:r>
              <w:rPr>
                <w:rFonts w:hint="eastAsia" w:asciiTheme="majorEastAsia" w:hAnsiTheme="majorEastAsia" w:eastAsiaTheme="majorEastAsia"/>
                <w:kern w:val="2"/>
                <w:sz w:val="24"/>
                <w:szCs w:val="24"/>
                <w:highlight w:val="none"/>
              </w:rPr>
              <w:t>具有有效期内的高新技术企业认证得1</w:t>
            </w:r>
            <w:r>
              <w:rPr>
                <w:rFonts w:hAnsi="宋体" w:cs="宋体"/>
                <w:sz w:val="24"/>
                <w:szCs w:val="24"/>
                <w:highlight w:val="none"/>
              </w:rPr>
              <w:t>分。</w:t>
            </w:r>
            <w:r>
              <w:rPr>
                <w:rFonts w:hint="eastAsia" w:hAnsi="宋体" w:cs="宋体"/>
                <w:sz w:val="24"/>
                <w:szCs w:val="24"/>
                <w:highlight w:val="none"/>
              </w:rPr>
              <w:t>需</w:t>
            </w:r>
            <w:r>
              <w:rPr>
                <w:rFonts w:hAnsi="宋体" w:cs="宋体"/>
                <w:sz w:val="24"/>
                <w:szCs w:val="24"/>
                <w:highlight w:val="none"/>
              </w:rPr>
              <w:t>提供</w:t>
            </w:r>
            <w:r>
              <w:rPr>
                <w:rFonts w:hint="eastAsia" w:hAnsi="宋体" w:cs="宋体"/>
                <w:sz w:val="24"/>
                <w:szCs w:val="24"/>
                <w:highlight w:val="none"/>
              </w:rPr>
              <w:t>认证证书复印件，未提供不得分。</w:t>
            </w:r>
          </w:p>
        </w:tc>
        <w:tc>
          <w:tcPr>
            <w:tcW w:w="850" w:type="dxa"/>
            <w:vAlign w:val="center"/>
          </w:tcPr>
          <w:p w14:paraId="33B6BE61">
            <w:pPr>
              <w:pStyle w:val="12"/>
              <w:spacing w:before="120" w:beforeLines="50" w:afterLines="50" w:line="360" w:lineRule="auto"/>
              <w:ind w:left="0" w:leftChars="0"/>
              <w:jc w:val="left"/>
              <w:rPr>
                <w:rFonts w:hint="eastAsia" w:hAnsi="宋体" w:cs="宋体"/>
                <w:sz w:val="24"/>
                <w:szCs w:val="24"/>
                <w:highlight w:val="none"/>
              </w:rPr>
            </w:pPr>
            <w:r>
              <w:rPr>
                <w:rFonts w:hint="eastAsia" w:ascii="宋体" w:hAnsi="宋体" w:cs="宋体"/>
                <w:sz w:val="24"/>
                <w:szCs w:val="24"/>
                <w:highlight w:val="none"/>
              </w:rPr>
              <w:t>7</w:t>
            </w:r>
            <w:r>
              <w:rPr>
                <w:rFonts w:ascii="宋体" w:hAnsi="宋体" w:cs="宋体"/>
                <w:sz w:val="24"/>
                <w:szCs w:val="24"/>
                <w:highlight w:val="none"/>
              </w:rPr>
              <w:t>分</w:t>
            </w:r>
          </w:p>
        </w:tc>
      </w:tr>
      <w:tr w14:paraId="209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14:paraId="76433036">
            <w:pPr>
              <w:widowControl/>
              <w:spacing w:line="440" w:lineRule="exact"/>
              <w:jc w:val="left"/>
              <w:rPr>
                <w:rFonts w:hint="eastAsia" w:ascii="宋体" w:hAnsi="宋体" w:cs="宋体"/>
                <w:sz w:val="24"/>
                <w:highlight w:val="none"/>
              </w:rPr>
            </w:pPr>
            <w:r>
              <w:rPr>
                <w:rFonts w:hint="eastAsia" w:ascii="宋体" w:hAnsi="宋体" w:cs="宋体"/>
                <w:sz w:val="24"/>
                <w:highlight w:val="none"/>
              </w:rPr>
              <w:t>服务承诺</w:t>
            </w:r>
          </w:p>
        </w:tc>
        <w:tc>
          <w:tcPr>
            <w:tcW w:w="7655" w:type="dxa"/>
            <w:vAlign w:val="center"/>
          </w:tcPr>
          <w:p w14:paraId="5DAC6311">
            <w:pPr>
              <w:widowControl/>
              <w:spacing w:line="440" w:lineRule="exact"/>
              <w:jc w:val="left"/>
              <w:rPr>
                <w:rFonts w:hint="eastAsia" w:ascii="宋体" w:hAnsi="宋体" w:cs="宋体"/>
                <w:sz w:val="24"/>
                <w:highlight w:val="none"/>
              </w:rPr>
            </w:pPr>
            <w:r>
              <w:rPr>
                <w:rFonts w:ascii="宋体" w:hAnsi="宋体" w:cs="宋体"/>
                <w:sz w:val="24"/>
                <w:highlight w:val="none"/>
              </w:rPr>
              <w:t>提供详细的售后服务方案，投标人的服务能力、服务保障措施、应急方案</w:t>
            </w:r>
            <w:r>
              <w:rPr>
                <w:rFonts w:hint="eastAsia" w:ascii="宋体" w:hAnsi="宋体" w:cs="宋体"/>
                <w:sz w:val="24"/>
                <w:highlight w:val="none"/>
              </w:rPr>
              <w:t>合理、可行，</w:t>
            </w:r>
            <w:r>
              <w:rPr>
                <w:rFonts w:ascii="宋体" w:hAnsi="宋体" w:cs="宋体"/>
                <w:sz w:val="24"/>
                <w:highlight w:val="none"/>
              </w:rPr>
              <w:t>不漏项且有针对性解释说明得</w:t>
            </w:r>
            <w:r>
              <w:rPr>
                <w:rFonts w:hint="eastAsia" w:ascii="宋体" w:hAnsi="宋体" w:cs="宋体"/>
                <w:sz w:val="24"/>
                <w:highlight w:val="none"/>
              </w:rPr>
              <w:t>5</w:t>
            </w:r>
            <w:r>
              <w:rPr>
                <w:rFonts w:ascii="宋体" w:hAnsi="宋体" w:cs="宋体"/>
                <w:sz w:val="24"/>
                <w:highlight w:val="none"/>
              </w:rPr>
              <w:t>分；提供的</w:t>
            </w:r>
            <w:r>
              <w:rPr>
                <w:rFonts w:hint="eastAsia" w:ascii="宋体" w:hAnsi="宋体" w:cs="宋体"/>
                <w:sz w:val="24"/>
                <w:highlight w:val="none"/>
              </w:rPr>
              <w:t>服务承诺</w:t>
            </w:r>
            <w:r>
              <w:rPr>
                <w:rFonts w:ascii="宋体" w:hAnsi="宋体" w:cs="宋体"/>
                <w:sz w:val="24"/>
                <w:highlight w:val="none"/>
              </w:rPr>
              <w:t>漏缺1项或2项，有针对性解释说明得</w:t>
            </w:r>
            <w:r>
              <w:rPr>
                <w:rFonts w:hint="eastAsia" w:ascii="宋体" w:hAnsi="宋体" w:cs="宋体"/>
                <w:sz w:val="24"/>
                <w:highlight w:val="none"/>
              </w:rPr>
              <w:t>4</w:t>
            </w:r>
            <w:r>
              <w:rPr>
                <w:rFonts w:ascii="宋体" w:hAnsi="宋体" w:cs="宋体"/>
                <w:sz w:val="24"/>
                <w:highlight w:val="none"/>
              </w:rPr>
              <w:t>分；提供的</w:t>
            </w:r>
            <w:r>
              <w:rPr>
                <w:rFonts w:hint="eastAsia" w:ascii="宋体" w:hAnsi="宋体" w:cs="宋体"/>
                <w:sz w:val="24"/>
                <w:highlight w:val="none"/>
              </w:rPr>
              <w:t>服务承诺</w:t>
            </w:r>
            <w:r>
              <w:rPr>
                <w:rFonts w:ascii="宋体" w:hAnsi="宋体" w:cs="宋体"/>
                <w:sz w:val="24"/>
                <w:highlight w:val="none"/>
              </w:rPr>
              <w:t>基本全面，有针对性解释说明得</w:t>
            </w:r>
            <w:r>
              <w:rPr>
                <w:rFonts w:hint="eastAsia" w:ascii="宋体" w:hAnsi="宋体" w:cs="宋体"/>
                <w:sz w:val="24"/>
                <w:highlight w:val="none"/>
              </w:rPr>
              <w:t>3</w:t>
            </w:r>
            <w:r>
              <w:rPr>
                <w:rFonts w:ascii="宋体" w:hAnsi="宋体" w:cs="宋体"/>
                <w:sz w:val="24"/>
                <w:highlight w:val="none"/>
              </w:rPr>
              <w:t>分；提供的</w:t>
            </w:r>
            <w:r>
              <w:rPr>
                <w:rFonts w:hint="eastAsia" w:ascii="宋体" w:hAnsi="宋体" w:cs="宋体"/>
                <w:sz w:val="24"/>
                <w:highlight w:val="none"/>
              </w:rPr>
              <w:t>服务承诺</w:t>
            </w:r>
            <w:r>
              <w:rPr>
                <w:rFonts w:ascii="宋体" w:hAnsi="宋体" w:cs="宋体"/>
                <w:sz w:val="24"/>
                <w:highlight w:val="none"/>
              </w:rPr>
              <w:t>不全面，有针对性解释说明得</w:t>
            </w:r>
            <w:r>
              <w:rPr>
                <w:rFonts w:hint="eastAsia" w:ascii="宋体" w:hAnsi="宋体" w:cs="宋体"/>
                <w:sz w:val="24"/>
                <w:highlight w:val="none"/>
              </w:rPr>
              <w:t>2</w:t>
            </w:r>
            <w:r>
              <w:rPr>
                <w:rFonts w:ascii="宋体" w:hAnsi="宋体" w:cs="宋体"/>
                <w:sz w:val="24"/>
                <w:highlight w:val="none"/>
              </w:rPr>
              <w:t>分；提供的</w:t>
            </w:r>
            <w:r>
              <w:rPr>
                <w:rFonts w:hint="eastAsia" w:ascii="宋体" w:hAnsi="宋体" w:cs="宋体"/>
                <w:sz w:val="24"/>
                <w:highlight w:val="none"/>
              </w:rPr>
              <w:t>服务承诺</w:t>
            </w:r>
            <w:r>
              <w:rPr>
                <w:rFonts w:ascii="宋体" w:hAnsi="宋体" w:cs="宋体"/>
                <w:sz w:val="24"/>
                <w:highlight w:val="none"/>
              </w:rPr>
              <w:t>不全面，没有解释说明得1分；未提供不得分。</w:t>
            </w:r>
          </w:p>
        </w:tc>
        <w:tc>
          <w:tcPr>
            <w:tcW w:w="850" w:type="dxa"/>
            <w:vAlign w:val="center"/>
          </w:tcPr>
          <w:p w14:paraId="04519029">
            <w:pPr>
              <w:widowControl/>
              <w:spacing w:line="440" w:lineRule="exact"/>
              <w:jc w:val="center"/>
              <w:rPr>
                <w:rFonts w:hint="eastAsia" w:ascii="宋体" w:hAnsi="宋体" w:cs="宋体"/>
                <w:sz w:val="24"/>
                <w:highlight w:val="none"/>
              </w:rPr>
            </w:pPr>
            <w:r>
              <w:rPr>
                <w:rFonts w:hint="eastAsia" w:ascii="宋体" w:hAnsi="宋体" w:cs="宋体"/>
                <w:sz w:val="24"/>
                <w:highlight w:val="none"/>
              </w:rPr>
              <w:t>5</w:t>
            </w:r>
            <w:r>
              <w:rPr>
                <w:rFonts w:ascii="宋体" w:hAnsi="宋体" w:cs="宋体"/>
                <w:sz w:val="24"/>
                <w:highlight w:val="none"/>
              </w:rPr>
              <w:t>分</w:t>
            </w:r>
          </w:p>
        </w:tc>
      </w:tr>
      <w:tr w14:paraId="41D4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2" w:type="dxa"/>
            <w:vAlign w:val="center"/>
          </w:tcPr>
          <w:p w14:paraId="46EFEDD5">
            <w:pPr>
              <w:widowControl/>
              <w:spacing w:line="440" w:lineRule="exact"/>
              <w:jc w:val="left"/>
              <w:rPr>
                <w:rFonts w:hint="eastAsia" w:ascii="宋体" w:hAnsi="宋体" w:cs="宋体"/>
                <w:sz w:val="24"/>
                <w:highlight w:val="none"/>
              </w:rPr>
            </w:pPr>
            <w:r>
              <w:rPr>
                <w:rFonts w:hint="eastAsia" w:ascii="宋体" w:hAnsi="宋体" w:cs="宋体"/>
                <w:sz w:val="24"/>
                <w:highlight w:val="none"/>
              </w:rPr>
              <w:t>培训方案</w:t>
            </w:r>
          </w:p>
        </w:tc>
        <w:tc>
          <w:tcPr>
            <w:tcW w:w="7655" w:type="dxa"/>
            <w:vAlign w:val="center"/>
          </w:tcPr>
          <w:p w14:paraId="01FB91E3">
            <w:pPr>
              <w:widowControl/>
              <w:spacing w:line="440" w:lineRule="exact"/>
              <w:jc w:val="left"/>
              <w:rPr>
                <w:rFonts w:hint="eastAsia" w:ascii="宋体" w:hAnsi="宋体" w:cs="宋体"/>
                <w:sz w:val="24"/>
                <w:highlight w:val="none"/>
              </w:rPr>
            </w:pPr>
            <w:r>
              <w:rPr>
                <w:rFonts w:hint="eastAsia" w:ascii="宋体" w:hAnsi="宋体" w:cs="宋体"/>
                <w:sz w:val="24"/>
                <w:highlight w:val="none"/>
              </w:rPr>
              <w:t>投标人提出培训计划、地点、组织、人员配备、资料等内容完整、科学合理、切实可行</w:t>
            </w:r>
            <w:r>
              <w:rPr>
                <w:rFonts w:ascii="宋体" w:hAnsi="宋体" w:cs="宋体"/>
                <w:sz w:val="24"/>
                <w:highlight w:val="none"/>
              </w:rPr>
              <w:t>，不漏项且有针对性解释说明得</w:t>
            </w:r>
            <w:r>
              <w:rPr>
                <w:rFonts w:hint="eastAsia" w:ascii="宋体" w:hAnsi="宋体" w:cs="宋体"/>
                <w:sz w:val="24"/>
                <w:highlight w:val="none"/>
              </w:rPr>
              <w:t>5</w:t>
            </w:r>
            <w:r>
              <w:rPr>
                <w:rFonts w:ascii="宋体" w:hAnsi="宋体" w:cs="宋体"/>
                <w:sz w:val="24"/>
                <w:highlight w:val="none"/>
              </w:rPr>
              <w:t>分；提供的方案漏缺1项或2项，有针对性解释说明得</w:t>
            </w:r>
            <w:r>
              <w:rPr>
                <w:rFonts w:hint="eastAsia" w:ascii="宋体" w:hAnsi="宋体" w:cs="宋体"/>
                <w:sz w:val="24"/>
                <w:highlight w:val="none"/>
              </w:rPr>
              <w:t>4</w:t>
            </w:r>
            <w:r>
              <w:rPr>
                <w:rFonts w:ascii="宋体" w:hAnsi="宋体" w:cs="宋体"/>
                <w:sz w:val="24"/>
                <w:highlight w:val="none"/>
              </w:rPr>
              <w:t>分；提供的方案基本全面，有针对性解释说明得</w:t>
            </w:r>
            <w:r>
              <w:rPr>
                <w:rFonts w:hint="eastAsia" w:ascii="宋体" w:hAnsi="宋体" w:cs="宋体"/>
                <w:sz w:val="24"/>
                <w:highlight w:val="none"/>
              </w:rPr>
              <w:t>3</w:t>
            </w:r>
            <w:r>
              <w:rPr>
                <w:rFonts w:ascii="宋体" w:hAnsi="宋体" w:cs="宋体"/>
                <w:sz w:val="24"/>
                <w:highlight w:val="none"/>
              </w:rPr>
              <w:t>分；提供的方案不全面，有针对性解释说明得</w:t>
            </w:r>
            <w:r>
              <w:rPr>
                <w:rFonts w:hint="eastAsia" w:ascii="宋体" w:hAnsi="宋体" w:cs="宋体"/>
                <w:sz w:val="24"/>
                <w:highlight w:val="none"/>
              </w:rPr>
              <w:t>2</w:t>
            </w:r>
            <w:r>
              <w:rPr>
                <w:rFonts w:ascii="宋体" w:hAnsi="宋体" w:cs="宋体"/>
                <w:sz w:val="24"/>
                <w:highlight w:val="none"/>
              </w:rPr>
              <w:t>分；提供的方案不全面，没有解释说明得1分；未提供不得分。</w:t>
            </w:r>
          </w:p>
        </w:tc>
        <w:tc>
          <w:tcPr>
            <w:tcW w:w="850" w:type="dxa"/>
            <w:vAlign w:val="center"/>
          </w:tcPr>
          <w:p w14:paraId="06EBE24F">
            <w:pPr>
              <w:widowControl/>
              <w:spacing w:line="440" w:lineRule="exact"/>
              <w:jc w:val="center"/>
              <w:rPr>
                <w:rFonts w:hint="eastAsia" w:ascii="宋体" w:hAnsi="宋体" w:cs="宋体"/>
                <w:sz w:val="24"/>
                <w:highlight w:val="none"/>
              </w:rPr>
            </w:pPr>
            <w:r>
              <w:rPr>
                <w:rFonts w:hint="eastAsia" w:ascii="宋体" w:hAnsi="宋体" w:cs="宋体"/>
                <w:sz w:val="24"/>
                <w:highlight w:val="none"/>
              </w:rPr>
              <w:t>5分</w:t>
            </w:r>
          </w:p>
        </w:tc>
      </w:tr>
      <w:tr w14:paraId="578A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Align w:val="center"/>
          </w:tcPr>
          <w:p w14:paraId="6527A76C">
            <w:pPr>
              <w:widowControl/>
              <w:spacing w:line="44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信创适配</w:t>
            </w:r>
          </w:p>
        </w:tc>
        <w:tc>
          <w:tcPr>
            <w:tcW w:w="7655" w:type="dxa"/>
            <w:vAlign w:val="center"/>
          </w:tcPr>
          <w:p w14:paraId="1E69E3A3">
            <w:pPr>
              <w:spacing w:before="120" w:beforeLines="50" w:after="120" w:afterLines="50" w:line="360" w:lineRule="auto"/>
              <w:rPr>
                <w:rFonts w:hint="default" w:ascii="宋体" w:hAnsi="宋体" w:eastAsia="宋体" w:cs="宋体"/>
                <w:sz w:val="24"/>
                <w:highlight w:val="none"/>
                <w:lang w:val="en-US" w:eastAsia="zh-CN"/>
              </w:rPr>
            </w:pPr>
            <w:r>
              <w:rPr>
                <w:rFonts w:hint="eastAsia" w:ascii="宋体" w:hAnsi="宋体" w:cs="宋体"/>
                <w:b w:val="0"/>
                <w:bCs w:val="0"/>
                <w:sz w:val="24"/>
                <w:highlight w:val="none"/>
              </w:rPr>
              <w:t>支持国产基础设施</w:t>
            </w:r>
            <w:r>
              <w:rPr>
                <w:rFonts w:hint="eastAsia" w:ascii="宋体" w:hAnsi="宋体" w:cs="宋体"/>
                <w:b w:val="0"/>
                <w:bCs w:val="0"/>
                <w:sz w:val="24"/>
                <w:highlight w:val="none"/>
                <w:lang w:eastAsia="zh-CN"/>
              </w:rPr>
              <w:t>，</w:t>
            </w:r>
            <w:r>
              <w:rPr>
                <w:rFonts w:hint="eastAsia" w:ascii="宋体" w:hAnsi="宋体" w:cs="宋体"/>
                <w:sz w:val="24"/>
                <w:highlight w:val="none"/>
              </w:rPr>
              <w:t>支持国产自主研发的芯片</w:t>
            </w:r>
            <w:r>
              <w:rPr>
                <w:rFonts w:hint="eastAsia" w:ascii="宋体" w:hAnsi="宋体" w:cs="宋体"/>
                <w:sz w:val="24"/>
                <w:highlight w:val="none"/>
                <w:lang w:eastAsia="zh-CN"/>
              </w:rPr>
              <w:t>，</w:t>
            </w:r>
            <w:r>
              <w:rPr>
                <w:rFonts w:hint="eastAsia" w:ascii="宋体" w:hAnsi="宋体" w:cs="宋体"/>
                <w:sz w:val="24"/>
                <w:highlight w:val="none"/>
                <w:lang w:val="en-US" w:eastAsia="zh-CN"/>
              </w:rPr>
              <w:t>每提供一家国产芯片服务器的生态兼容性测试证书的得1分；最高得2分，</w:t>
            </w:r>
            <w:r>
              <w:rPr>
                <w:rFonts w:ascii="宋体" w:hAnsi="宋体" w:cs="宋体"/>
                <w:sz w:val="24"/>
                <w:highlight w:val="none"/>
              </w:rPr>
              <w:t>未提供不得分。</w:t>
            </w:r>
          </w:p>
        </w:tc>
        <w:tc>
          <w:tcPr>
            <w:tcW w:w="850" w:type="dxa"/>
            <w:vAlign w:val="center"/>
          </w:tcPr>
          <w:p w14:paraId="1D00E04A">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rPr>
              <w:t>2分</w:t>
            </w:r>
          </w:p>
        </w:tc>
      </w:tr>
      <w:tr w14:paraId="71E1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57" w:type="dxa"/>
            <w:gridSpan w:val="2"/>
            <w:vAlign w:val="center"/>
          </w:tcPr>
          <w:p w14:paraId="41D3D9AD">
            <w:pPr>
              <w:widowControl/>
              <w:spacing w:line="440" w:lineRule="exact"/>
              <w:jc w:val="left"/>
              <w:rPr>
                <w:rFonts w:hint="eastAsia" w:ascii="宋体" w:hAnsi="宋体" w:cs="宋体"/>
                <w:sz w:val="24"/>
                <w:highlight w:val="none"/>
              </w:rPr>
            </w:pPr>
            <w:r>
              <w:rPr>
                <w:rFonts w:hint="eastAsia" w:ascii="宋体" w:hAnsi="宋体" w:cs="宋体"/>
                <w:sz w:val="24"/>
                <w:highlight w:val="none"/>
              </w:rPr>
              <w:t>演示评分</w:t>
            </w:r>
          </w:p>
          <w:p w14:paraId="2DC3719B">
            <w:pPr>
              <w:widowControl/>
              <w:spacing w:line="440" w:lineRule="exact"/>
              <w:jc w:val="left"/>
              <w:rPr>
                <w:rFonts w:hint="eastAsia" w:ascii="宋体" w:hAnsi="宋体" w:cs="宋体"/>
                <w:sz w:val="24"/>
                <w:highlight w:val="none"/>
              </w:rPr>
            </w:pPr>
            <w:r>
              <w:rPr>
                <w:rFonts w:hint="eastAsia" w:ascii="宋体" w:hAnsi="宋体" w:cs="宋体"/>
                <w:sz w:val="24"/>
                <w:highlight w:val="none"/>
              </w:rPr>
              <w:t>现场演示（投标人演示的必须为真实系统，非真实系统不得分。演示时间不超过10分钟）</w:t>
            </w:r>
          </w:p>
          <w:p w14:paraId="3B71D8F9">
            <w:pPr>
              <w:widowControl/>
              <w:spacing w:line="440" w:lineRule="exact"/>
              <w:jc w:val="left"/>
              <w:rPr>
                <w:rFonts w:hint="eastAsia" w:ascii="宋体" w:hAnsi="宋体" w:cs="宋体"/>
                <w:sz w:val="24"/>
                <w:highlight w:val="none"/>
              </w:rPr>
            </w:pPr>
            <w:r>
              <w:rPr>
                <w:rFonts w:hint="eastAsia" w:ascii="宋体" w:hAnsi="宋体" w:cs="宋体"/>
                <w:sz w:val="24"/>
                <w:highlight w:val="none"/>
              </w:rPr>
              <w:t>提供录制视频，视频大小不超过500M，视频演示中须真人对演示点进行声音讲解。</w:t>
            </w:r>
          </w:p>
        </w:tc>
        <w:tc>
          <w:tcPr>
            <w:tcW w:w="850" w:type="dxa"/>
            <w:vAlign w:val="center"/>
          </w:tcPr>
          <w:p w14:paraId="73A5AE34">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0分</w:t>
            </w:r>
          </w:p>
        </w:tc>
      </w:tr>
      <w:tr w14:paraId="1A7C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restart"/>
            <w:vAlign w:val="center"/>
          </w:tcPr>
          <w:p w14:paraId="59EC4878">
            <w:pPr>
              <w:widowControl/>
              <w:spacing w:line="440" w:lineRule="exact"/>
              <w:jc w:val="left"/>
              <w:rPr>
                <w:rFonts w:hint="eastAsia" w:ascii="宋体" w:hAnsi="宋体" w:cs="宋体"/>
                <w:sz w:val="24"/>
                <w:highlight w:val="none"/>
              </w:rPr>
            </w:pPr>
            <w:r>
              <w:rPr>
                <w:rFonts w:hint="eastAsia" w:ascii="宋体" w:hAnsi="宋体" w:cs="宋体"/>
                <w:sz w:val="24"/>
                <w:highlight w:val="none"/>
              </w:rPr>
              <w:t>院级运营管理平台下，收入异常探查分析场景</w:t>
            </w:r>
          </w:p>
        </w:tc>
        <w:tc>
          <w:tcPr>
            <w:tcW w:w="7655" w:type="dxa"/>
            <w:vAlign w:val="center"/>
          </w:tcPr>
          <w:p w14:paraId="5217FCDF">
            <w:pPr>
              <w:spacing w:before="0" w:beforeLines="-2147483648" w:after="0" w:afterLines="-2147483648" w:line="360" w:lineRule="auto"/>
              <w:rPr>
                <w:rFonts w:ascii="宋体" w:hAnsi="宋体" w:cs="宋体"/>
                <w:b/>
                <w:bCs/>
                <w:color w:val="000000"/>
                <w:kern w:val="0"/>
                <w:sz w:val="24"/>
                <w:highlight w:val="none"/>
              </w:rPr>
            </w:pPr>
            <w:r>
              <w:rPr>
                <w:rFonts w:hint="eastAsia" w:ascii="宋体" w:hAnsi="宋体" w:cs="宋体"/>
                <w:sz w:val="24"/>
                <w:highlight w:val="none"/>
              </w:rPr>
              <w:t>1、展示在全院范围内进行“收入异常探查”，探查结果须叠加四分位法分析，支持下钻到科室平台进一步分析异常原因。</w:t>
            </w:r>
          </w:p>
        </w:tc>
        <w:tc>
          <w:tcPr>
            <w:tcW w:w="850" w:type="dxa"/>
            <w:vAlign w:val="center"/>
          </w:tcPr>
          <w:p w14:paraId="476D0D3C">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54C0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continue"/>
            <w:vAlign w:val="center"/>
          </w:tcPr>
          <w:p w14:paraId="52B30DDB">
            <w:pPr>
              <w:widowControl/>
              <w:spacing w:line="440" w:lineRule="exact"/>
              <w:jc w:val="left"/>
              <w:rPr>
                <w:rFonts w:hint="eastAsia" w:ascii="宋体" w:hAnsi="宋体" w:cs="宋体"/>
                <w:sz w:val="24"/>
                <w:highlight w:val="none"/>
              </w:rPr>
            </w:pPr>
          </w:p>
        </w:tc>
        <w:tc>
          <w:tcPr>
            <w:tcW w:w="7655" w:type="dxa"/>
            <w:vAlign w:val="center"/>
          </w:tcPr>
          <w:p w14:paraId="3A275CFB">
            <w:pPr>
              <w:widowControl/>
              <w:spacing w:line="360" w:lineRule="auto"/>
              <w:jc w:val="left"/>
              <w:rPr>
                <w:rFonts w:hint="eastAsia" w:ascii="宋体" w:hAnsi="宋体" w:cs="宋体"/>
                <w:sz w:val="24"/>
                <w:highlight w:val="none"/>
              </w:rPr>
            </w:pPr>
            <w:r>
              <w:rPr>
                <w:rFonts w:hint="eastAsia" w:ascii="宋体" w:hAnsi="宋体" w:cs="宋体"/>
                <w:sz w:val="24"/>
                <w:highlight w:val="none"/>
              </w:rPr>
              <w:t>2、支持按照院区、开单科室、执行科室、门诊科室、医技科室、利润中心、成本中心、临床操作类、非操作类、病区护理、平台护理、放射影像以及国家专科等不同科室选项组合筛选异常探查科室范围。</w:t>
            </w:r>
          </w:p>
        </w:tc>
        <w:tc>
          <w:tcPr>
            <w:tcW w:w="850" w:type="dxa"/>
            <w:vAlign w:val="center"/>
          </w:tcPr>
          <w:p w14:paraId="1326DB88">
            <w:pPr>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591A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702" w:type="dxa"/>
            <w:vMerge w:val="continue"/>
            <w:vAlign w:val="center"/>
          </w:tcPr>
          <w:p w14:paraId="1659B3BE">
            <w:pPr>
              <w:widowControl/>
              <w:spacing w:line="440" w:lineRule="exact"/>
              <w:jc w:val="left"/>
              <w:rPr>
                <w:rFonts w:hint="eastAsia" w:ascii="宋体" w:hAnsi="宋体" w:cs="宋体"/>
                <w:sz w:val="24"/>
                <w:highlight w:val="none"/>
              </w:rPr>
            </w:pPr>
          </w:p>
        </w:tc>
        <w:tc>
          <w:tcPr>
            <w:tcW w:w="7655" w:type="dxa"/>
            <w:vAlign w:val="center"/>
          </w:tcPr>
          <w:p w14:paraId="5290346E">
            <w:pPr>
              <w:widowControl/>
              <w:spacing w:line="360" w:lineRule="auto"/>
              <w:jc w:val="left"/>
              <w:rPr>
                <w:rFonts w:hint="eastAsia" w:ascii="宋体" w:hAnsi="宋体" w:cs="宋体"/>
                <w:sz w:val="24"/>
                <w:highlight w:val="none"/>
              </w:rPr>
            </w:pPr>
            <w:r>
              <w:rPr>
                <w:rFonts w:hint="eastAsia" w:ascii="宋体" w:hAnsi="宋体" w:cs="宋体"/>
                <w:sz w:val="24"/>
                <w:highlight w:val="none"/>
              </w:rPr>
              <w:t>3、支持指定年季月周天等不同时间周期。</w:t>
            </w:r>
          </w:p>
          <w:p w14:paraId="01383828">
            <w:pPr>
              <w:widowControl/>
              <w:spacing w:line="360" w:lineRule="auto"/>
              <w:jc w:val="left"/>
              <w:rPr>
                <w:rFonts w:hint="eastAsia" w:ascii="宋体" w:hAnsi="宋体" w:cs="宋体"/>
                <w:sz w:val="24"/>
                <w:highlight w:val="none"/>
              </w:rPr>
            </w:pPr>
            <w:r>
              <w:rPr>
                <w:rFonts w:hint="eastAsia" w:ascii="宋体" w:hAnsi="宋体" w:cs="宋体"/>
                <w:sz w:val="24"/>
                <w:highlight w:val="none"/>
              </w:rPr>
              <w:t>4、支持指定医疗服务收入、有效收入、全部收入等不同收入口径。</w:t>
            </w:r>
          </w:p>
          <w:p w14:paraId="64CF01FD">
            <w:pPr>
              <w:widowControl/>
              <w:spacing w:line="360" w:lineRule="auto"/>
              <w:jc w:val="left"/>
              <w:rPr>
                <w:rFonts w:hint="eastAsia" w:ascii="宋体" w:hAnsi="宋体" w:cs="宋体"/>
                <w:sz w:val="24"/>
                <w:highlight w:val="none"/>
              </w:rPr>
            </w:pPr>
            <w:r>
              <w:rPr>
                <w:rFonts w:hint="eastAsia" w:ascii="宋体" w:hAnsi="宋体" w:cs="宋体"/>
                <w:sz w:val="24"/>
                <w:highlight w:val="none"/>
              </w:rPr>
              <w:t>5、支持指定同比、环比等不同比较方式。</w:t>
            </w:r>
          </w:p>
          <w:p w14:paraId="0A512D82">
            <w:pPr>
              <w:spacing w:line="360" w:lineRule="auto"/>
              <w:jc w:val="left"/>
              <w:rPr>
                <w:rFonts w:hint="eastAsia" w:ascii="宋体" w:hAnsi="宋体" w:cs="宋体"/>
                <w:sz w:val="24"/>
                <w:highlight w:val="none"/>
              </w:rPr>
            </w:pPr>
            <w:r>
              <w:rPr>
                <w:rFonts w:hint="eastAsia" w:ascii="宋体" w:hAnsi="宋体" w:cs="宋体"/>
                <w:sz w:val="24"/>
                <w:highlight w:val="none"/>
              </w:rPr>
              <w:t>6、支持指定医、护、技等不同科室职类。</w:t>
            </w:r>
          </w:p>
        </w:tc>
        <w:tc>
          <w:tcPr>
            <w:tcW w:w="850" w:type="dxa"/>
            <w:vAlign w:val="center"/>
          </w:tcPr>
          <w:p w14:paraId="674B9184">
            <w:pPr>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5DE8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continue"/>
            <w:vAlign w:val="center"/>
          </w:tcPr>
          <w:p w14:paraId="042D4013">
            <w:pPr>
              <w:widowControl/>
              <w:spacing w:line="440" w:lineRule="exact"/>
              <w:jc w:val="left"/>
              <w:rPr>
                <w:rFonts w:hint="eastAsia" w:ascii="宋体" w:hAnsi="宋体" w:cs="宋体"/>
                <w:sz w:val="24"/>
                <w:highlight w:val="none"/>
              </w:rPr>
            </w:pPr>
          </w:p>
        </w:tc>
        <w:tc>
          <w:tcPr>
            <w:tcW w:w="7655" w:type="dxa"/>
            <w:vAlign w:val="center"/>
          </w:tcPr>
          <w:p w14:paraId="56FFCE8D">
            <w:pPr>
              <w:spacing w:line="360" w:lineRule="auto"/>
              <w:rPr>
                <w:rFonts w:hint="eastAsia" w:ascii="宋体" w:hAnsi="宋体" w:cs="宋体"/>
                <w:sz w:val="24"/>
                <w:highlight w:val="none"/>
              </w:rPr>
            </w:pPr>
            <w:r>
              <w:rPr>
                <w:rFonts w:hint="eastAsia" w:ascii="宋体" w:hAnsi="宋体" w:cs="宋体"/>
                <w:sz w:val="24"/>
                <w:highlight w:val="none"/>
              </w:rPr>
              <w:t>7、探查结果支持图表视图与表格视图切换，并支持Excel表格下载。</w:t>
            </w:r>
          </w:p>
        </w:tc>
        <w:tc>
          <w:tcPr>
            <w:tcW w:w="850" w:type="dxa"/>
            <w:vAlign w:val="center"/>
          </w:tcPr>
          <w:p w14:paraId="2EA3D329">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2DE2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restart"/>
            <w:vAlign w:val="center"/>
          </w:tcPr>
          <w:p w14:paraId="08D60C30">
            <w:pPr>
              <w:widowControl w:val="0"/>
              <w:spacing w:line="360" w:lineRule="auto"/>
              <w:jc w:val="both"/>
              <w:rPr>
                <w:rFonts w:hint="eastAsia" w:ascii="宋体" w:hAnsi="宋体" w:cs="宋体"/>
                <w:sz w:val="24"/>
                <w:highlight w:val="none"/>
              </w:rPr>
            </w:pPr>
            <w:r>
              <w:rPr>
                <w:rFonts w:hint="eastAsia" w:ascii="宋体" w:hAnsi="宋体" w:cs="宋体"/>
                <w:sz w:val="24"/>
                <w:highlight w:val="none"/>
              </w:rPr>
              <w:t>院级运营管理平台下，门诊异常探查分析场景</w:t>
            </w:r>
          </w:p>
        </w:tc>
        <w:tc>
          <w:tcPr>
            <w:tcW w:w="7655" w:type="dxa"/>
            <w:vAlign w:val="center"/>
          </w:tcPr>
          <w:p w14:paraId="6F8BA509">
            <w:pPr>
              <w:spacing w:before="0" w:beforeLines="-2147483648" w:after="0" w:afterLines="-2147483648" w:line="360" w:lineRule="auto"/>
              <w:rPr>
                <w:rFonts w:ascii="宋体" w:hAnsi="宋体" w:cs="宋体"/>
                <w:b/>
                <w:bCs/>
                <w:color w:val="000000"/>
                <w:kern w:val="0"/>
                <w:sz w:val="24"/>
                <w:highlight w:val="none"/>
              </w:rPr>
            </w:pPr>
            <w:r>
              <w:rPr>
                <w:rFonts w:hint="eastAsia" w:ascii="宋体" w:hAnsi="宋体" w:cs="宋体"/>
                <w:sz w:val="24"/>
                <w:highlight w:val="none"/>
              </w:rPr>
              <w:t>1、展示在全院范围内进行“门诊异常探查”，探查结果须叠加四分位法分析，支持下钻到科室平台进一步分析异常原因。</w:t>
            </w:r>
          </w:p>
        </w:tc>
        <w:tc>
          <w:tcPr>
            <w:tcW w:w="850" w:type="dxa"/>
            <w:vAlign w:val="center"/>
          </w:tcPr>
          <w:p w14:paraId="461FAFF0">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4ACD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02" w:type="dxa"/>
            <w:vMerge w:val="continue"/>
            <w:vAlign w:val="center"/>
          </w:tcPr>
          <w:p w14:paraId="5E1B9362">
            <w:pPr>
              <w:spacing w:line="360" w:lineRule="auto"/>
              <w:rPr>
                <w:rFonts w:hint="eastAsia" w:ascii="宋体" w:hAnsi="宋体" w:cs="宋体"/>
                <w:sz w:val="24"/>
                <w:highlight w:val="none"/>
              </w:rPr>
            </w:pPr>
          </w:p>
        </w:tc>
        <w:tc>
          <w:tcPr>
            <w:tcW w:w="7655" w:type="dxa"/>
            <w:vAlign w:val="center"/>
          </w:tcPr>
          <w:p w14:paraId="62F20831">
            <w:pPr>
              <w:pStyle w:val="57"/>
              <w:widowControl/>
              <w:spacing w:line="360" w:lineRule="auto"/>
              <w:ind w:left="360" w:hanging="360" w:firstLineChars="0"/>
              <w:jc w:val="left"/>
              <w:rPr>
                <w:rFonts w:hint="eastAsia" w:ascii="宋体" w:hAnsi="宋体" w:cs="宋体"/>
                <w:sz w:val="24"/>
                <w:highlight w:val="none"/>
              </w:rPr>
            </w:pPr>
            <w:r>
              <w:rPr>
                <w:rFonts w:hint="eastAsia" w:ascii="宋体" w:hAnsi="宋体" w:cs="宋体"/>
                <w:sz w:val="24"/>
                <w:highlight w:val="none"/>
              </w:rPr>
              <w:t>2、支持按照科系、责任中心以及手工输入科室名称等不同科室选项组合筛选异常探查科室范围。</w:t>
            </w:r>
          </w:p>
        </w:tc>
        <w:tc>
          <w:tcPr>
            <w:tcW w:w="850" w:type="dxa"/>
            <w:vAlign w:val="center"/>
          </w:tcPr>
          <w:p w14:paraId="7A3127B9">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rPr>
              <w:t>1分</w:t>
            </w:r>
          </w:p>
        </w:tc>
      </w:tr>
      <w:tr w14:paraId="57B6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702" w:type="dxa"/>
            <w:vMerge w:val="continue"/>
            <w:vAlign w:val="center"/>
          </w:tcPr>
          <w:p w14:paraId="265B8599">
            <w:pPr>
              <w:spacing w:line="360" w:lineRule="auto"/>
              <w:rPr>
                <w:rFonts w:hint="eastAsia" w:ascii="宋体" w:hAnsi="宋体" w:cs="宋体"/>
                <w:sz w:val="24"/>
                <w:highlight w:val="none"/>
              </w:rPr>
            </w:pPr>
          </w:p>
        </w:tc>
        <w:tc>
          <w:tcPr>
            <w:tcW w:w="7655" w:type="dxa"/>
            <w:vAlign w:val="center"/>
          </w:tcPr>
          <w:p w14:paraId="6D0968C2">
            <w:pPr>
              <w:widowControl/>
              <w:spacing w:line="360" w:lineRule="auto"/>
              <w:jc w:val="left"/>
              <w:rPr>
                <w:rFonts w:hint="eastAsia" w:ascii="宋体" w:hAnsi="宋体" w:cs="宋体"/>
                <w:sz w:val="24"/>
                <w:highlight w:val="none"/>
              </w:rPr>
            </w:pPr>
            <w:r>
              <w:rPr>
                <w:rFonts w:hint="eastAsia" w:ascii="宋体" w:hAnsi="宋体" w:cs="宋体"/>
                <w:sz w:val="24"/>
                <w:highlight w:val="none"/>
              </w:rPr>
              <w:t>3、支持指定年季月周天等不同时间周期。</w:t>
            </w:r>
          </w:p>
          <w:p w14:paraId="1D04DE21">
            <w:pPr>
              <w:widowControl/>
              <w:spacing w:line="360" w:lineRule="auto"/>
              <w:jc w:val="left"/>
              <w:rPr>
                <w:rFonts w:hint="eastAsia" w:ascii="宋体" w:hAnsi="宋体" w:cs="宋体"/>
                <w:sz w:val="24"/>
                <w:highlight w:val="none"/>
              </w:rPr>
            </w:pPr>
            <w:r>
              <w:rPr>
                <w:rFonts w:hint="eastAsia" w:ascii="宋体" w:hAnsi="宋体" w:cs="宋体"/>
                <w:sz w:val="24"/>
                <w:highlight w:val="none"/>
              </w:rPr>
              <w:t>4、支持指定同比、环比等不同比较方式。</w:t>
            </w:r>
          </w:p>
          <w:p w14:paraId="20210A56">
            <w:pPr>
              <w:spacing w:line="360" w:lineRule="auto"/>
              <w:rPr>
                <w:rFonts w:hint="eastAsia" w:ascii="宋体" w:hAnsi="宋体" w:cs="宋体"/>
                <w:sz w:val="24"/>
                <w:highlight w:val="none"/>
              </w:rPr>
            </w:pPr>
            <w:r>
              <w:rPr>
                <w:rFonts w:hint="eastAsia" w:ascii="宋体" w:hAnsi="宋体" w:cs="宋体"/>
                <w:sz w:val="24"/>
                <w:highlight w:val="none"/>
              </w:rPr>
              <w:t>5、探查结果支持图表视图与表格视图切换，并支持Excel表格下载。</w:t>
            </w:r>
          </w:p>
        </w:tc>
        <w:tc>
          <w:tcPr>
            <w:tcW w:w="850" w:type="dxa"/>
          </w:tcPr>
          <w:p w14:paraId="2E965139">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rPr>
              <w:t>1分</w:t>
            </w:r>
          </w:p>
        </w:tc>
      </w:tr>
      <w:tr w14:paraId="20A9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restart"/>
            <w:vAlign w:val="center"/>
          </w:tcPr>
          <w:p w14:paraId="5A2A8251">
            <w:pPr>
              <w:widowControl w:val="0"/>
              <w:spacing w:line="360" w:lineRule="auto"/>
              <w:jc w:val="both"/>
              <w:rPr>
                <w:rFonts w:hint="eastAsia" w:ascii="宋体" w:hAnsi="宋体" w:cs="宋体"/>
                <w:sz w:val="24"/>
                <w:highlight w:val="none"/>
              </w:rPr>
            </w:pPr>
            <w:r>
              <w:rPr>
                <w:rFonts w:hint="eastAsia" w:ascii="宋体" w:hAnsi="宋体" w:cs="宋体"/>
                <w:color w:val="auto"/>
                <w:kern w:val="2"/>
                <w:sz w:val="24"/>
                <w:highlight w:val="none"/>
              </w:rPr>
              <w:t>科室运营管理平台下，科室</w:t>
            </w:r>
            <w:r>
              <w:rPr>
                <w:rFonts w:hint="eastAsia" w:ascii="宋体" w:hAnsi="宋体" w:cs="宋体"/>
                <w:b w:val="0"/>
                <w:bCs w:val="0"/>
                <w:color w:val="auto"/>
                <w:kern w:val="2"/>
                <w:sz w:val="24"/>
                <w:highlight w:val="none"/>
              </w:rPr>
              <w:t>医疗盈余分析场景</w:t>
            </w:r>
          </w:p>
        </w:tc>
        <w:tc>
          <w:tcPr>
            <w:tcW w:w="7655" w:type="dxa"/>
            <w:vAlign w:val="center"/>
          </w:tcPr>
          <w:p w14:paraId="1401F98D">
            <w:pPr>
              <w:spacing w:before="0" w:beforeLines="-2147483648" w:after="0" w:afterLines="-2147483648" w:line="240" w:lineRule="auto"/>
              <w:rPr>
                <w:rFonts w:hint="eastAsia" w:ascii="宋体" w:hAnsi="宋体" w:cs="宋体"/>
                <w:sz w:val="24"/>
                <w:highlight w:val="none"/>
              </w:rPr>
            </w:pPr>
            <w:r>
              <w:rPr>
                <w:rFonts w:hint="eastAsia" w:ascii="宋体" w:hAnsi="宋体" w:cs="宋体"/>
                <w:color w:val="000000"/>
                <w:kern w:val="0"/>
                <w:sz w:val="24"/>
                <w:highlight w:val="none"/>
              </w:rPr>
              <w:t>1、展示科室门急诊医疗盈余分析表，支持同一窗口表格下同比、环比、科系比、全院比等。</w:t>
            </w:r>
          </w:p>
        </w:tc>
        <w:tc>
          <w:tcPr>
            <w:tcW w:w="850" w:type="dxa"/>
            <w:vAlign w:val="center"/>
          </w:tcPr>
          <w:p w14:paraId="3BF03274">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358E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continue"/>
            <w:vAlign w:val="center"/>
          </w:tcPr>
          <w:p w14:paraId="7FDA859C">
            <w:pPr>
              <w:widowControl w:val="0"/>
              <w:spacing w:line="360" w:lineRule="auto"/>
              <w:jc w:val="both"/>
              <w:rPr>
                <w:rFonts w:hint="eastAsia" w:ascii="宋体" w:hAnsi="宋体" w:cs="宋体"/>
                <w:color w:val="auto"/>
                <w:kern w:val="2"/>
                <w:sz w:val="24"/>
                <w:highlight w:val="none"/>
              </w:rPr>
            </w:pPr>
          </w:p>
        </w:tc>
        <w:tc>
          <w:tcPr>
            <w:tcW w:w="7655" w:type="dxa"/>
            <w:vAlign w:val="center"/>
          </w:tcPr>
          <w:p w14:paraId="7D44AA9A">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2、展示科室住院医疗盈余分析表，支持同一窗口表格下同比、环比、科系比、全院比等。</w:t>
            </w:r>
          </w:p>
        </w:tc>
        <w:tc>
          <w:tcPr>
            <w:tcW w:w="850" w:type="dxa"/>
            <w:vAlign w:val="center"/>
          </w:tcPr>
          <w:p w14:paraId="4E51DCBE">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cs="宋体"/>
                <w:kern w:val="2"/>
                <w:sz w:val="24"/>
                <w:szCs w:val="24"/>
                <w:highlight w:val="none"/>
              </w:rPr>
              <w:t>分</w:t>
            </w:r>
          </w:p>
        </w:tc>
      </w:tr>
      <w:tr w14:paraId="6AC0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2" w:type="dxa"/>
            <w:vMerge w:val="continue"/>
            <w:vAlign w:val="center"/>
          </w:tcPr>
          <w:p w14:paraId="5AE23CB9">
            <w:pPr>
              <w:widowControl w:val="0"/>
              <w:spacing w:line="360" w:lineRule="auto"/>
              <w:jc w:val="both"/>
              <w:rPr>
                <w:rFonts w:hint="eastAsia" w:ascii="宋体" w:hAnsi="宋体" w:cs="宋体"/>
                <w:color w:val="auto"/>
                <w:kern w:val="2"/>
                <w:sz w:val="24"/>
                <w:highlight w:val="none"/>
              </w:rPr>
            </w:pPr>
          </w:p>
        </w:tc>
        <w:tc>
          <w:tcPr>
            <w:tcW w:w="7655" w:type="dxa"/>
            <w:vAlign w:val="center"/>
          </w:tcPr>
          <w:p w14:paraId="3440674A">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3、展示科出院手术病人医疗盈余分析表，支持同一窗口表格下同比、环比、科系比、全院比等。</w:t>
            </w:r>
          </w:p>
        </w:tc>
        <w:tc>
          <w:tcPr>
            <w:tcW w:w="850" w:type="dxa"/>
            <w:vAlign w:val="center"/>
          </w:tcPr>
          <w:p w14:paraId="25C752CF">
            <w:pPr>
              <w:pStyle w:val="12"/>
              <w:widowControl/>
              <w:spacing w:before="120" w:beforeLines="50" w:afterLines="50" w:line="440" w:lineRule="exact"/>
              <w:ind w:left="0" w:leftChars="0"/>
              <w:jc w:val="left"/>
              <w:rPr>
                <w:rFonts w:hint="eastAsia" w:ascii="宋体" w:hAnsi="宋体" w:cs="宋体"/>
                <w:kern w:val="2"/>
                <w:sz w:val="24"/>
                <w:szCs w:val="24"/>
                <w:highlight w:val="none"/>
              </w:rPr>
            </w:pPr>
            <w:r>
              <w:rPr>
                <w:rFonts w:hint="eastAsia" w:ascii="宋体" w:hAnsi="宋体" w:cs="宋体"/>
                <w:kern w:val="2"/>
                <w:sz w:val="24"/>
                <w:szCs w:val="24"/>
                <w:highlight w:val="none"/>
              </w:rPr>
              <w:t>1分</w:t>
            </w:r>
          </w:p>
        </w:tc>
      </w:tr>
    </w:tbl>
    <w:p w14:paraId="45625640">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（四）技术、商务、资信及其他分的计算</w:t>
      </w:r>
    </w:p>
    <w:p w14:paraId="156E4D50">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技术、商务、资信及其他分按照评标委员会成员的独立评分结果汇总数的算术平均分计算，计算公式为：技术商务资信分=（评标委员会所有成员评分合计数）/（评标委员会组成人员数）</w:t>
      </w:r>
    </w:p>
    <w:p w14:paraId="59B98896">
      <w:pPr>
        <w:adjustRightInd w:val="0"/>
        <w:spacing w:line="360" w:lineRule="auto"/>
        <w:jc w:val="center"/>
        <w:rPr>
          <w:rFonts w:hint="eastAsia" w:ascii="黑体" w:hAnsi="宋体" w:eastAsia="黑体"/>
          <w:sz w:val="30"/>
          <w:szCs w:val="30"/>
          <w:highlight w:val="none"/>
        </w:rPr>
      </w:pPr>
    </w:p>
    <w:p w14:paraId="72A3A9A0">
      <w:pPr>
        <w:rPr>
          <w:rFonts w:hint="eastAsia" w:ascii="黑体" w:hAnsi="宋体" w:eastAsia="黑体"/>
          <w:sz w:val="30"/>
          <w:szCs w:val="30"/>
          <w:highlight w:val="none"/>
        </w:rPr>
      </w:pPr>
      <w:r>
        <w:rPr>
          <w:rFonts w:hint="eastAsia" w:ascii="黑体" w:hAnsi="宋体" w:eastAsia="黑体"/>
          <w:sz w:val="30"/>
          <w:szCs w:val="30"/>
          <w:highlight w:val="none"/>
        </w:rPr>
        <w:br w:type="page"/>
      </w:r>
    </w:p>
    <w:p w14:paraId="2B61DD21">
      <w:pPr>
        <w:adjustRightInd w:val="0"/>
        <w:spacing w:line="360" w:lineRule="auto"/>
        <w:jc w:val="center"/>
        <w:rPr>
          <w:rFonts w:hint="eastAsia" w:ascii="黑体" w:hAnsi="宋体" w:eastAsia="黑体"/>
          <w:bCs/>
          <w:sz w:val="30"/>
          <w:szCs w:val="30"/>
          <w:highlight w:val="none"/>
        </w:rPr>
      </w:pPr>
      <w:r>
        <w:rPr>
          <w:rFonts w:hint="eastAsia" w:ascii="黑体" w:hAnsi="宋体" w:eastAsia="黑体"/>
          <w:sz w:val="30"/>
          <w:szCs w:val="30"/>
          <w:highlight w:val="none"/>
        </w:rPr>
        <w:t xml:space="preserve">第五章  </w:t>
      </w:r>
      <w:r>
        <w:rPr>
          <w:rFonts w:hint="eastAsia" w:ascii="黑体" w:hAnsi="宋体" w:eastAsia="黑体"/>
          <w:bCs/>
          <w:sz w:val="30"/>
          <w:szCs w:val="30"/>
          <w:highlight w:val="none"/>
        </w:rPr>
        <w:t xml:space="preserve">合同主要条款（供参考）                           </w:t>
      </w:r>
    </w:p>
    <w:p w14:paraId="52310694">
      <w:pPr>
        <w:snapToGrid w:val="0"/>
        <w:spacing w:line="360" w:lineRule="auto"/>
        <w:jc w:val="center"/>
        <w:outlineLvl w:val="0"/>
        <w:rPr>
          <w:rFonts w:hint="eastAsia" w:ascii="宋体" w:hAnsi="宋体"/>
          <w:b/>
          <w:bCs/>
          <w:sz w:val="30"/>
          <w:szCs w:val="20"/>
          <w:highlight w:val="none"/>
        </w:rPr>
      </w:pPr>
      <w:r>
        <w:rPr>
          <w:rFonts w:hint="eastAsia" w:ascii="宋体" w:hAnsi="宋体"/>
          <w:b/>
          <w:sz w:val="30"/>
          <w:highlight w:val="none"/>
        </w:rPr>
        <w:t>浙江省政府采购合同指引</w:t>
      </w:r>
    </w:p>
    <w:p w14:paraId="2928DE1C">
      <w:pPr>
        <w:spacing w:line="460" w:lineRule="exact"/>
        <w:rPr>
          <w:rFonts w:ascii="宋体"/>
          <w:sz w:val="24"/>
          <w:highlight w:val="none"/>
        </w:rPr>
      </w:pPr>
      <w:r>
        <w:rPr>
          <w:rFonts w:hint="eastAsia" w:ascii="宋体" w:hAnsi="宋体" w:cs="宋体"/>
          <w:b/>
          <w:bCs/>
          <w:sz w:val="24"/>
          <w:highlight w:val="none"/>
        </w:rPr>
        <w:t>项目名称：</w:t>
      </w:r>
      <w:r>
        <w:rPr>
          <w:rFonts w:hint="eastAsia" w:ascii="宋体" w:hAnsi="宋体" w:cs="宋体"/>
          <w:spacing w:val="-4"/>
          <w:sz w:val="24"/>
          <w:highlight w:val="none"/>
        </w:rPr>
        <w:t>湖州市中心医院智慧运营管理平台项目</w:t>
      </w:r>
      <w:r>
        <w:rPr>
          <w:rFonts w:hint="eastAsia" w:ascii="宋体" w:hAnsi="宋体" w:cs="宋体"/>
          <w:b/>
          <w:bCs/>
          <w:sz w:val="24"/>
          <w:highlight w:val="none"/>
        </w:rPr>
        <w:t xml:space="preserve">                项目编号：</w:t>
      </w:r>
    </w:p>
    <w:p w14:paraId="319C363F">
      <w:pPr>
        <w:spacing w:line="460" w:lineRule="exact"/>
        <w:rPr>
          <w:rFonts w:ascii="宋体"/>
          <w:sz w:val="24"/>
          <w:highlight w:val="none"/>
        </w:rPr>
      </w:pPr>
      <w:r>
        <w:rPr>
          <w:rFonts w:hint="eastAsia" w:ascii="宋体" w:hAnsi="宋体" w:cs="宋体"/>
          <w:sz w:val="24"/>
          <w:highlight w:val="none"/>
        </w:rPr>
        <w:t>甲方：（采购人）</w:t>
      </w:r>
    </w:p>
    <w:p w14:paraId="0A23034A">
      <w:pPr>
        <w:spacing w:line="460" w:lineRule="exact"/>
        <w:rPr>
          <w:rFonts w:ascii="宋体"/>
          <w:sz w:val="24"/>
          <w:highlight w:val="none"/>
        </w:rPr>
      </w:pPr>
      <w:r>
        <w:rPr>
          <w:rFonts w:hint="eastAsia" w:ascii="宋体" w:hAnsi="宋体" w:cs="宋体"/>
          <w:sz w:val="24"/>
          <w:highlight w:val="none"/>
        </w:rPr>
        <w:t>乙方：（成交供应商）</w:t>
      </w:r>
    </w:p>
    <w:p w14:paraId="224CD00F">
      <w:pPr>
        <w:spacing w:line="460" w:lineRule="exact"/>
        <w:ind w:left="165" w:firstLine="480" w:firstLineChars="200"/>
        <w:rPr>
          <w:rFonts w:ascii="宋体"/>
          <w:color w:val="000000"/>
          <w:sz w:val="24"/>
          <w:highlight w:val="none"/>
        </w:rPr>
      </w:pPr>
      <w:r>
        <w:rPr>
          <w:rFonts w:hint="eastAsia" w:ascii="宋体" w:hAnsi="宋体" w:cs="宋体"/>
          <w:color w:val="000000"/>
          <w:sz w:val="24"/>
          <w:highlight w:val="none"/>
        </w:rPr>
        <w:t>乙双方根据</w:t>
      </w:r>
      <w:r>
        <w:rPr>
          <w:rFonts w:hint="eastAsia" w:ascii="宋体" w:hAnsi="宋体" w:cs="宋体"/>
          <w:color w:val="000000"/>
          <w:sz w:val="24"/>
          <w:highlight w:val="none"/>
          <w:u w:val="single"/>
        </w:rPr>
        <w:t>浙江华耀建设咨询有限公司</w:t>
      </w:r>
      <w:r>
        <w:rPr>
          <w:rFonts w:hint="eastAsia" w:ascii="宋体" w:hAnsi="宋体" w:cs="宋体"/>
          <w:color w:val="000000"/>
          <w:sz w:val="24"/>
          <w:highlight w:val="none"/>
        </w:rPr>
        <w:t>关于</w:t>
      </w:r>
      <w:r>
        <w:rPr>
          <w:rFonts w:hint="eastAsia" w:ascii="宋体" w:hAnsi="宋体" w:cs="宋体"/>
          <w:spacing w:val="-4"/>
          <w:sz w:val="24"/>
          <w:highlight w:val="none"/>
          <w:u w:val="single"/>
        </w:rPr>
        <w:t>湖州市中心医院智慧运营管理平台项目  公开招标</w:t>
      </w:r>
      <w:r>
        <w:rPr>
          <w:rFonts w:hint="eastAsia" w:ascii="宋体" w:hAnsi="宋体" w:cs="宋体"/>
          <w:color w:val="000000"/>
          <w:sz w:val="24"/>
          <w:highlight w:val="none"/>
        </w:rPr>
        <w:t>的结果，签署本合同。</w:t>
      </w:r>
    </w:p>
    <w:p w14:paraId="23BEA149">
      <w:pPr>
        <w:spacing w:line="460" w:lineRule="exact"/>
        <w:ind w:firstLine="482" w:firstLineChars="200"/>
        <w:rPr>
          <w:rFonts w:ascii="宋体"/>
          <w:b/>
          <w:bCs/>
          <w:sz w:val="24"/>
          <w:highlight w:val="none"/>
        </w:rPr>
      </w:pPr>
      <w:r>
        <w:rPr>
          <w:rFonts w:hint="eastAsia" w:ascii="宋体" w:hAnsi="宋体" w:cs="宋体"/>
          <w:b/>
          <w:bCs/>
          <w:sz w:val="24"/>
          <w:highlight w:val="none"/>
        </w:rPr>
        <w:t>一、服务内容</w:t>
      </w:r>
    </w:p>
    <w:p w14:paraId="041AC469">
      <w:pPr>
        <w:spacing w:line="520" w:lineRule="exact"/>
        <w:ind w:firstLine="227" w:firstLineChars="98"/>
        <w:rPr>
          <w:rFonts w:hint="eastAsia" w:ascii="宋体" w:hAnsi="宋体" w:cs="宋体"/>
          <w:spacing w:val="-4"/>
          <w:sz w:val="24"/>
          <w:highlight w:val="none"/>
          <w:u w:val="single"/>
        </w:rPr>
      </w:pPr>
      <w:r>
        <w:rPr>
          <w:rFonts w:hint="eastAsia" w:ascii="宋体" w:hAnsi="宋体" w:cs="宋体"/>
          <w:spacing w:val="-4"/>
          <w:sz w:val="24"/>
          <w:highlight w:val="none"/>
          <w:u w:val="single"/>
        </w:rPr>
        <w:t>湖州市中心医院智慧运营管理平台项目</w:t>
      </w:r>
    </w:p>
    <w:p w14:paraId="164B2C45">
      <w:pPr>
        <w:spacing w:line="460" w:lineRule="exact"/>
        <w:ind w:firstLine="482" w:firstLineChars="200"/>
        <w:rPr>
          <w:rFonts w:ascii="宋体"/>
          <w:b/>
          <w:bCs/>
          <w:sz w:val="24"/>
          <w:highlight w:val="none"/>
        </w:rPr>
      </w:pPr>
      <w:r>
        <w:rPr>
          <w:rFonts w:hint="eastAsia" w:ascii="宋体" w:hAnsi="宋体" w:cs="宋体"/>
          <w:b/>
          <w:bCs/>
          <w:sz w:val="24"/>
          <w:highlight w:val="none"/>
        </w:rPr>
        <w:t>二、合同金额</w:t>
      </w:r>
    </w:p>
    <w:p w14:paraId="25F4CF59">
      <w:pPr>
        <w:spacing w:line="460" w:lineRule="exact"/>
        <w:ind w:firstLine="480" w:firstLineChars="200"/>
        <w:rPr>
          <w:rFonts w:hint="eastAsia" w:hAnsi="宋体"/>
          <w:sz w:val="24"/>
          <w:highlight w:val="none"/>
        </w:rPr>
      </w:pPr>
      <w:r>
        <w:rPr>
          <w:rFonts w:hint="eastAsia" w:hAnsi="宋体" w:cs="宋体"/>
          <w:sz w:val="24"/>
          <w:highlight w:val="none"/>
        </w:rPr>
        <w:t>本合同金额为（大写）：</w:t>
      </w:r>
      <w:r>
        <w:rPr>
          <w:rFonts w:hAnsi="宋体"/>
          <w:sz w:val="24"/>
          <w:highlight w:val="none"/>
        </w:rPr>
        <w:t>_________________________________</w:t>
      </w:r>
      <w:r>
        <w:rPr>
          <w:rFonts w:hint="eastAsia" w:hAnsi="宋体" w:cs="宋体"/>
          <w:sz w:val="24"/>
          <w:highlight w:val="none"/>
        </w:rPr>
        <w:t>元（￥</w:t>
      </w:r>
      <w:r>
        <w:rPr>
          <w:rFonts w:hAnsi="宋体"/>
          <w:sz w:val="24"/>
          <w:highlight w:val="none"/>
        </w:rPr>
        <w:t>_______________</w:t>
      </w:r>
      <w:r>
        <w:rPr>
          <w:rFonts w:hint="eastAsia" w:hAnsi="宋体" w:cs="宋体"/>
          <w:sz w:val="24"/>
          <w:highlight w:val="none"/>
        </w:rPr>
        <w:t>元）人民币。</w:t>
      </w:r>
    </w:p>
    <w:p w14:paraId="2571F4CA">
      <w:pPr>
        <w:spacing w:line="460" w:lineRule="exact"/>
        <w:ind w:firstLine="482" w:firstLineChars="200"/>
        <w:rPr>
          <w:rFonts w:ascii="宋体"/>
          <w:sz w:val="24"/>
          <w:highlight w:val="none"/>
        </w:rPr>
      </w:pPr>
      <w:r>
        <w:rPr>
          <w:rFonts w:hint="eastAsia" w:ascii="宋体" w:hAnsi="宋体" w:cs="宋体"/>
          <w:b/>
          <w:bCs/>
          <w:sz w:val="24"/>
          <w:highlight w:val="none"/>
        </w:rPr>
        <w:t>三、技术资料</w:t>
      </w:r>
    </w:p>
    <w:p w14:paraId="5A78BADB">
      <w:pPr>
        <w:spacing w:line="460" w:lineRule="exact"/>
        <w:ind w:firstLine="480" w:firstLineChars="200"/>
        <w:rPr>
          <w:rFonts w:ascii="宋体"/>
          <w:sz w:val="24"/>
          <w:highlight w:val="none"/>
        </w:rPr>
      </w:pPr>
      <w:r>
        <w:rPr>
          <w:rFonts w:ascii="宋体" w:hAnsi="宋体" w:cs="宋体"/>
          <w:sz w:val="24"/>
          <w:highlight w:val="none"/>
        </w:rPr>
        <w:t>1</w:t>
      </w:r>
      <w:r>
        <w:rPr>
          <w:rFonts w:ascii="宋体" w:cs="宋体"/>
          <w:sz w:val="24"/>
          <w:highlight w:val="none"/>
        </w:rPr>
        <w:t>.</w:t>
      </w:r>
      <w:r>
        <w:rPr>
          <w:rFonts w:hint="eastAsia" w:ascii="宋体" w:hAnsi="宋体" w:cs="宋体"/>
          <w:sz w:val="24"/>
          <w:highlight w:val="none"/>
        </w:rPr>
        <w:t>乙方应按招标文件规定的时间向甲方提供有关技术资料。</w:t>
      </w:r>
    </w:p>
    <w:p w14:paraId="0CC6176D">
      <w:pPr>
        <w:spacing w:line="460" w:lineRule="exact"/>
        <w:ind w:firstLine="480" w:firstLineChars="200"/>
        <w:rPr>
          <w:rFonts w:ascii="宋体"/>
          <w:sz w:val="24"/>
          <w:highlight w:val="none"/>
        </w:rPr>
      </w:pPr>
      <w:r>
        <w:rPr>
          <w:rFonts w:ascii="宋体" w:hAnsi="宋体" w:cs="宋体"/>
          <w:sz w:val="24"/>
          <w:highlight w:val="none"/>
        </w:rPr>
        <w:t>2</w:t>
      </w:r>
      <w:r>
        <w:rPr>
          <w:rFonts w:ascii="宋体" w:cs="宋体"/>
          <w:sz w:val="24"/>
          <w:highlight w:val="none"/>
        </w:rPr>
        <w:t>.</w:t>
      </w:r>
      <w:r>
        <w:rPr>
          <w:rFonts w:hint="eastAsia" w:ascii="宋体" w:hAnsi="宋体" w:cs="宋体"/>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19AF10">
      <w:pPr>
        <w:spacing w:line="460" w:lineRule="exact"/>
        <w:ind w:firstLine="482" w:firstLineChars="200"/>
        <w:rPr>
          <w:rFonts w:ascii="宋体"/>
          <w:b/>
          <w:bCs/>
          <w:sz w:val="24"/>
          <w:highlight w:val="none"/>
        </w:rPr>
      </w:pPr>
      <w:r>
        <w:rPr>
          <w:rFonts w:hint="eastAsia" w:ascii="宋体" w:hAnsi="宋体" w:cs="宋体"/>
          <w:b/>
          <w:bCs/>
          <w:sz w:val="24"/>
          <w:highlight w:val="none"/>
        </w:rPr>
        <w:t>四、知识产权</w:t>
      </w:r>
    </w:p>
    <w:p w14:paraId="2959128C">
      <w:pPr>
        <w:spacing w:line="460" w:lineRule="exact"/>
        <w:ind w:firstLine="480" w:firstLineChars="200"/>
        <w:rPr>
          <w:rFonts w:ascii="宋体"/>
          <w:sz w:val="24"/>
          <w:highlight w:val="none"/>
        </w:rPr>
      </w:pPr>
      <w:r>
        <w:rPr>
          <w:rFonts w:hint="eastAsia" w:ascii="宋体" w:hAnsi="宋体" w:cs="宋体"/>
          <w:sz w:val="24"/>
          <w:highlight w:val="none"/>
        </w:rPr>
        <w:t>乙方应保证提供服务过程中不会侵犯任何第三方的知识产权。</w:t>
      </w:r>
    </w:p>
    <w:p w14:paraId="7E2DFE72">
      <w:pPr>
        <w:spacing w:line="460" w:lineRule="exact"/>
        <w:ind w:firstLine="482" w:firstLineChars="200"/>
        <w:rPr>
          <w:rFonts w:ascii="宋体"/>
          <w:b/>
          <w:bCs/>
          <w:sz w:val="24"/>
          <w:highlight w:val="none"/>
        </w:rPr>
      </w:pPr>
      <w:r>
        <w:rPr>
          <w:rFonts w:hint="eastAsia" w:ascii="宋体" w:hAnsi="宋体" w:cs="宋体"/>
          <w:b/>
          <w:bCs/>
          <w:sz w:val="24"/>
          <w:highlight w:val="none"/>
        </w:rPr>
        <w:t>五、转包或分包</w:t>
      </w:r>
    </w:p>
    <w:p w14:paraId="73A7F95D">
      <w:pPr>
        <w:spacing w:line="460" w:lineRule="exact"/>
        <w:ind w:firstLine="480" w:firstLineChars="200"/>
        <w:rPr>
          <w:rFonts w:hint="eastAsia" w:ascii="宋体" w:hAnsi="宋体" w:cs="宋体"/>
          <w:sz w:val="24"/>
          <w:highlight w:val="none"/>
        </w:rPr>
      </w:pPr>
      <w:r>
        <w:rPr>
          <w:rFonts w:ascii="宋体" w:hAnsi="宋体" w:cs="宋体"/>
          <w:sz w:val="24"/>
          <w:highlight w:val="none"/>
        </w:rPr>
        <w:t>1</w:t>
      </w:r>
      <w:r>
        <w:rPr>
          <w:rFonts w:ascii="宋体" w:cs="宋体"/>
          <w:sz w:val="24"/>
          <w:highlight w:val="none"/>
        </w:rPr>
        <w:t>.</w:t>
      </w:r>
      <w:r>
        <w:rPr>
          <w:rFonts w:hint="eastAsia" w:ascii="宋体" w:hAnsi="宋体" w:cs="宋体"/>
          <w:sz w:val="24"/>
          <w:highlight w:val="none"/>
        </w:rPr>
        <w:t>本合同范围的服务，应由乙方直接供应，不得转让他人供应。</w:t>
      </w:r>
    </w:p>
    <w:p w14:paraId="1D8DA896">
      <w:pPr>
        <w:spacing w:line="460" w:lineRule="exact"/>
        <w:ind w:firstLine="480" w:firstLineChars="200"/>
        <w:rPr>
          <w:rFonts w:hint="eastAsia" w:ascii="宋体" w:hAnsi="宋体"/>
          <w:sz w:val="24"/>
          <w:highlight w:val="none"/>
        </w:rPr>
      </w:pPr>
      <w:r>
        <w:rPr>
          <w:rFonts w:ascii="宋体" w:hAnsi="宋体" w:cs="宋体"/>
          <w:sz w:val="24"/>
          <w:highlight w:val="none"/>
        </w:rPr>
        <w:t>2</w:t>
      </w:r>
      <w:r>
        <w:rPr>
          <w:rFonts w:ascii="宋体" w:cs="宋体"/>
          <w:sz w:val="24"/>
          <w:highlight w:val="none"/>
        </w:rPr>
        <w:t>.</w:t>
      </w:r>
      <w:r>
        <w:rPr>
          <w:rFonts w:ascii="宋体" w:hAnsi="宋体" w:cs="宋体"/>
          <w:kern w:val="0"/>
          <w:sz w:val="24"/>
          <w:highlight w:val="none"/>
        </w:rPr>
        <w:t>本项目</w:t>
      </w:r>
      <w:r>
        <w:rPr>
          <w:rFonts w:hint="eastAsia" w:ascii="宋体" w:hAnsi="宋体" w:cs="宋体"/>
          <w:kern w:val="0"/>
          <w:sz w:val="24"/>
          <w:highlight w:val="none"/>
          <w:lang w:val="en-US" w:eastAsia="zh-CN"/>
        </w:rPr>
        <w:t>不允许</w:t>
      </w:r>
      <w:r>
        <w:rPr>
          <w:rFonts w:ascii="宋体" w:hAnsi="宋体" w:cs="宋体"/>
          <w:kern w:val="0"/>
          <w:sz w:val="24"/>
          <w:highlight w:val="none"/>
        </w:rPr>
        <w:t>分包</w:t>
      </w:r>
      <w:r>
        <w:rPr>
          <w:rFonts w:hint="eastAsia" w:ascii="宋体" w:hAnsi="宋体"/>
          <w:sz w:val="24"/>
          <w:highlight w:val="none"/>
        </w:rPr>
        <w:t>。</w:t>
      </w:r>
    </w:p>
    <w:p w14:paraId="6DAC434A">
      <w:pPr>
        <w:spacing w:line="460" w:lineRule="exact"/>
        <w:ind w:firstLine="480" w:firstLineChars="200"/>
        <w:rPr>
          <w:rFonts w:ascii="宋体"/>
          <w:sz w:val="24"/>
          <w:highlight w:val="none"/>
        </w:rPr>
      </w:pPr>
      <w:r>
        <w:rPr>
          <w:rFonts w:ascii="宋体" w:hAnsi="宋体" w:cs="宋体"/>
          <w:sz w:val="24"/>
          <w:highlight w:val="none"/>
        </w:rPr>
        <w:t>3</w:t>
      </w:r>
      <w:r>
        <w:rPr>
          <w:rFonts w:ascii="宋体" w:cs="宋体"/>
          <w:sz w:val="24"/>
          <w:highlight w:val="none"/>
        </w:rPr>
        <w:t>.</w:t>
      </w:r>
      <w:r>
        <w:rPr>
          <w:rFonts w:hint="eastAsia" w:ascii="宋体" w:hAnsi="宋体" w:cs="宋体"/>
          <w:sz w:val="24"/>
          <w:highlight w:val="none"/>
        </w:rPr>
        <w:t>如有转让，甲方有权解除合同并追究乙方的违约责任。</w:t>
      </w:r>
    </w:p>
    <w:p w14:paraId="27302310">
      <w:pPr>
        <w:spacing w:line="4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六、合同履行时间</w:t>
      </w:r>
    </w:p>
    <w:p w14:paraId="79872C17">
      <w:pPr>
        <w:spacing w:line="460" w:lineRule="exact"/>
        <w:ind w:firstLine="480" w:firstLineChars="20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 xml:space="preserve">履行时间： </w:t>
      </w:r>
    </w:p>
    <w:p w14:paraId="5DF33B69">
      <w:pPr>
        <w:spacing w:line="460" w:lineRule="exact"/>
        <w:ind w:firstLine="482" w:firstLineChars="200"/>
        <w:rPr>
          <w:rFonts w:hint="eastAsia" w:hAnsi="宋体" w:cs="宋体"/>
          <w:b/>
          <w:bCs/>
          <w:sz w:val="24"/>
          <w:highlight w:val="none"/>
        </w:rPr>
      </w:pPr>
      <w:r>
        <w:rPr>
          <w:rFonts w:hint="eastAsia" w:hAnsi="宋体" w:cs="宋体"/>
          <w:b/>
          <w:bCs/>
          <w:sz w:val="24"/>
          <w:highlight w:val="none"/>
        </w:rPr>
        <w:t>七、履约保证金</w:t>
      </w:r>
    </w:p>
    <w:p w14:paraId="3A14C690">
      <w:pPr>
        <w:spacing w:line="460" w:lineRule="exact"/>
        <w:ind w:firstLine="480" w:firstLineChars="200"/>
        <w:rPr>
          <w:rFonts w:hint="eastAsia" w:ascii="宋体" w:hAnsi="宋体" w:cs="宋体"/>
          <w:sz w:val="24"/>
          <w:highlight w:val="none"/>
        </w:rPr>
      </w:pPr>
      <w:r>
        <w:rPr>
          <w:rFonts w:ascii="宋体" w:hAnsi="宋体" w:cs="宋体"/>
          <w:sz w:val="24"/>
          <w:highlight w:val="none"/>
        </w:rPr>
        <w:t>本项目的履约保证金为合同价的1%；履约保证金形式为：现金或银行、保险公司出具的保函；中标人应根据采购人要求汇入采购人指定账号或提供保函。项目终验合格后，退还履约保证金。</w:t>
      </w:r>
    </w:p>
    <w:p w14:paraId="62A15DD6">
      <w:pPr>
        <w:spacing w:line="4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八、款项支付</w:t>
      </w:r>
    </w:p>
    <w:p w14:paraId="0250BCE7">
      <w:pPr>
        <w:spacing w:line="460" w:lineRule="exact"/>
        <w:ind w:firstLine="480" w:firstLineChars="200"/>
        <w:rPr>
          <w:rFonts w:hint="eastAsia"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根据《保障中小企业款项支付条例》、《浙江省财政厅关于进一步发挥政府采购政策功能全力推动经济稳进提质的通知》（浙财采监〔2022〕3号）要求，制定如以下付款方式：</w:t>
      </w:r>
    </w:p>
    <w:p w14:paraId="279694AD">
      <w:pPr>
        <w:spacing w:line="460" w:lineRule="exact"/>
        <w:ind w:firstLine="480" w:firstLineChars="200"/>
        <w:rPr>
          <w:rFonts w:hint="eastAsia" w:ascii="宋体" w:hAnsi="宋体" w:cs="宋体"/>
          <w:sz w:val="24"/>
          <w:highlight w:val="none"/>
        </w:rPr>
      </w:pPr>
    </w:p>
    <w:p w14:paraId="7C7D70B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成交供应商根据采购人每期的支付金额提供正规税务发票。</w:t>
      </w:r>
    </w:p>
    <w:p w14:paraId="278676F2">
      <w:pPr>
        <w:spacing w:line="460" w:lineRule="exact"/>
        <w:ind w:firstLine="480" w:firstLineChars="200"/>
        <w:rPr>
          <w:rFonts w:hint="eastAsia" w:ascii="宋体" w:hAnsi="宋体" w:cs="仿宋_GB2312"/>
          <w:sz w:val="24"/>
          <w:highlight w:val="none"/>
        </w:rPr>
      </w:pPr>
      <w:r>
        <w:rPr>
          <w:rFonts w:hint="eastAsia" w:ascii="宋体" w:hAnsi="宋体" w:cs="仿宋_GB2312"/>
          <w:sz w:val="24"/>
          <w:highlight w:val="none"/>
        </w:rPr>
        <w:t>注：若中标供应商明确表示无需预付款或者主动要求降低预付款比例的，采购人可不适用前述规定。</w:t>
      </w:r>
    </w:p>
    <w:p w14:paraId="1ACF75FC">
      <w:pPr>
        <w:snapToGrid w:val="0"/>
        <w:spacing w:line="360" w:lineRule="auto"/>
        <w:ind w:firstLine="480" w:firstLineChars="200"/>
        <w:rPr>
          <w:rFonts w:hint="eastAsia" w:ascii="宋体" w:hAns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当采购数量与实际使用不一致时，乙方应根据实际情况，合同的最终结算金额按实际使用量乘以成交单价进行计算。</w:t>
      </w:r>
    </w:p>
    <w:p w14:paraId="65A3FBA7">
      <w:pPr>
        <w:pStyle w:val="37"/>
        <w:numPr>
          <w:ilvl w:val="0"/>
          <w:numId w:val="0"/>
        </w:numPr>
        <w:tabs>
          <w:tab w:val="left" w:pos="900"/>
          <w:tab w:val="left" w:pos="980"/>
          <w:tab w:val="left" w:pos="1710"/>
        </w:tabs>
        <w:spacing w:before="120" w:after="120" w:line="360" w:lineRule="auto"/>
        <w:ind w:left="2"/>
        <w:rPr>
          <w:rFonts w:hint="eastAsia" w:ascii="宋体" w:hAnsi="宋体" w:cs="宋体"/>
          <w:b/>
          <w:bCs/>
          <w:sz w:val="24"/>
          <w:highlight w:val="none"/>
        </w:rPr>
      </w:pPr>
      <w:r>
        <w:rPr>
          <w:rFonts w:hint="eastAsia" w:ascii="宋体" w:hAnsi="宋体" w:cs="宋体"/>
          <w:b/>
          <w:bCs/>
          <w:sz w:val="24"/>
          <w:highlight w:val="none"/>
        </w:rPr>
        <w:t>九、税费</w:t>
      </w:r>
    </w:p>
    <w:p w14:paraId="4D6B0C88">
      <w:pPr>
        <w:spacing w:line="360" w:lineRule="auto"/>
        <w:ind w:firstLine="480" w:firstLineChars="200"/>
        <w:rPr>
          <w:rFonts w:ascii="宋体"/>
          <w:sz w:val="24"/>
          <w:highlight w:val="none"/>
        </w:rPr>
      </w:pPr>
      <w:r>
        <w:rPr>
          <w:rFonts w:hint="eastAsia" w:ascii="宋体" w:hAnsi="宋体" w:cs="宋体"/>
          <w:sz w:val="24"/>
          <w:highlight w:val="none"/>
        </w:rPr>
        <w:t>本合同执行中相关的一切税费均由乙方负担。</w:t>
      </w:r>
    </w:p>
    <w:p w14:paraId="2E11156E">
      <w:pPr>
        <w:spacing w:line="360" w:lineRule="auto"/>
        <w:rPr>
          <w:rFonts w:ascii="宋体"/>
          <w:b/>
          <w:bCs/>
          <w:sz w:val="24"/>
          <w:highlight w:val="none"/>
        </w:rPr>
      </w:pPr>
      <w:r>
        <w:rPr>
          <w:rFonts w:hint="eastAsia" w:ascii="宋体" w:hAnsi="宋体" w:cs="宋体"/>
          <w:b/>
          <w:bCs/>
          <w:sz w:val="24"/>
          <w:highlight w:val="none"/>
        </w:rPr>
        <w:t>十、质量保证及后续服务</w:t>
      </w:r>
    </w:p>
    <w:p w14:paraId="593EDAF9">
      <w:pPr>
        <w:spacing w:line="460" w:lineRule="exact"/>
        <w:ind w:firstLine="480" w:firstLineChars="200"/>
        <w:rPr>
          <w:rFonts w:ascii="宋体"/>
          <w:sz w:val="24"/>
          <w:highlight w:val="none"/>
        </w:rPr>
      </w:pPr>
      <w:r>
        <w:rPr>
          <w:rFonts w:ascii="宋体" w:hAnsi="宋体" w:cs="宋体"/>
          <w:sz w:val="24"/>
          <w:highlight w:val="none"/>
        </w:rPr>
        <w:t>1</w:t>
      </w:r>
      <w:r>
        <w:rPr>
          <w:rFonts w:hint="eastAsia" w:ascii="宋体" w:hAnsi="宋体" w:cs="宋体"/>
          <w:sz w:val="24"/>
          <w:highlight w:val="none"/>
        </w:rPr>
        <w:t>．乙方应按磋商文件规定向甲方提供服务。</w:t>
      </w:r>
    </w:p>
    <w:p w14:paraId="0498D5DB">
      <w:pPr>
        <w:spacing w:line="460" w:lineRule="exact"/>
        <w:ind w:firstLine="480" w:firstLineChars="200"/>
        <w:rPr>
          <w:rFonts w:ascii="宋体"/>
          <w:sz w:val="24"/>
          <w:highlight w:val="none"/>
        </w:rPr>
      </w:pPr>
      <w:r>
        <w:rPr>
          <w:rFonts w:ascii="宋体" w:hAnsi="宋体" w:cs="宋体"/>
          <w:sz w:val="24"/>
          <w:highlight w:val="none"/>
        </w:rPr>
        <w:t>2</w:t>
      </w:r>
      <w:r>
        <w:rPr>
          <w:rFonts w:hint="eastAsia" w:ascii="宋体" w:hAnsi="宋体" w:cs="宋体"/>
          <w:sz w:val="24"/>
          <w:highlight w:val="none"/>
        </w:rPr>
        <w:t>．乙方提供的服务不到要求者，根据实际情况，经双方协商，可按以下办法处理：</w:t>
      </w:r>
    </w:p>
    <w:p w14:paraId="2D497D8D">
      <w:pPr>
        <w:spacing w:line="460" w:lineRule="exact"/>
        <w:ind w:firstLine="480" w:firstLineChars="200"/>
        <w:rPr>
          <w:rFonts w:ascii="宋体"/>
          <w:sz w:val="24"/>
          <w:highlight w:val="none"/>
        </w:rPr>
      </w:pPr>
      <w:r>
        <w:rPr>
          <w:rFonts w:hint="eastAsia" w:ascii="宋体" w:cs="宋体"/>
          <w:sz w:val="24"/>
          <w:highlight w:val="none"/>
        </w:rPr>
        <w:t>⑴</w:t>
      </w:r>
      <w:r>
        <w:rPr>
          <w:rFonts w:hint="eastAsia" w:ascii="宋体" w:hAnsi="宋体" w:cs="宋体"/>
          <w:sz w:val="24"/>
          <w:highlight w:val="none"/>
        </w:rPr>
        <w:t>重做：由乙方承担所发生的全部费用。</w:t>
      </w:r>
    </w:p>
    <w:p w14:paraId="7B186A6E">
      <w:pPr>
        <w:spacing w:line="460" w:lineRule="exact"/>
        <w:ind w:firstLine="480" w:firstLineChars="200"/>
        <w:rPr>
          <w:rFonts w:ascii="宋体"/>
          <w:sz w:val="24"/>
          <w:highlight w:val="none"/>
        </w:rPr>
      </w:pPr>
      <w:r>
        <w:rPr>
          <w:rFonts w:hint="eastAsia" w:ascii="宋体" w:cs="宋体"/>
          <w:sz w:val="24"/>
          <w:highlight w:val="none"/>
        </w:rPr>
        <w:t>⑵</w:t>
      </w:r>
      <w:r>
        <w:rPr>
          <w:rFonts w:hint="eastAsia" w:ascii="宋体" w:hAnsi="宋体" w:cs="宋体"/>
          <w:sz w:val="24"/>
          <w:highlight w:val="none"/>
        </w:rPr>
        <w:t>贬值处理：由甲乙双方合议定价。</w:t>
      </w:r>
    </w:p>
    <w:p w14:paraId="34575CC0">
      <w:pPr>
        <w:spacing w:line="460" w:lineRule="exact"/>
        <w:ind w:firstLine="480" w:firstLineChars="200"/>
        <w:rPr>
          <w:rFonts w:ascii="宋体"/>
          <w:sz w:val="24"/>
          <w:highlight w:val="none"/>
        </w:rPr>
      </w:pPr>
      <w:r>
        <w:rPr>
          <w:rFonts w:hint="eastAsia" w:ascii="宋体" w:cs="宋体"/>
          <w:sz w:val="24"/>
          <w:highlight w:val="none"/>
        </w:rPr>
        <w:t>⑶</w:t>
      </w:r>
      <w:r>
        <w:rPr>
          <w:rFonts w:hint="eastAsia" w:ascii="宋体" w:hAnsi="宋体" w:cs="宋体"/>
          <w:sz w:val="24"/>
          <w:highlight w:val="none"/>
        </w:rPr>
        <w:t>解除合同。</w:t>
      </w:r>
    </w:p>
    <w:p w14:paraId="6F0E5561">
      <w:pPr>
        <w:spacing w:line="460" w:lineRule="exact"/>
        <w:rPr>
          <w:rFonts w:ascii="宋体"/>
          <w:b/>
          <w:bCs/>
          <w:sz w:val="24"/>
          <w:highlight w:val="none"/>
        </w:rPr>
      </w:pPr>
      <w:r>
        <w:rPr>
          <w:rFonts w:hint="eastAsia" w:ascii="宋体" w:hAnsi="宋体" w:cs="宋体"/>
          <w:b/>
          <w:bCs/>
          <w:sz w:val="24"/>
          <w:highlight w:val="none"/>
        </w:rPr>
        <w:t>十一、违约责任</w:t>
      </w:r>
    </w:p>
    <w:p w14:paraId="3D1A4509">
      <w:pPr>
        <w:spacing w:line="460" w:lineRule="exact"/>
        <w:ind w:firstLine="480" w:firstLineChars="200"/>
        <w:rPr>
          <w:rFonts w:ascii="宋体"/>
          <w:sz w:val="24"/>
          <w:highlight w:val="none"/>
        </w:rPr>
      </w:pPr>
      <w:r>
        <w:rPr>
          <w:rFonts w:ascii="宋体" w:hAnsi="宋体" w:cs="宋体"/>
          <w:sz w:val="24"/>
          <w:highlight w:val="none"/>
        </w:rPr>
        <w:t>1</w:t>
      </w:r>
      <w:r>
        <w:rPr>
          <w:rFonts w:hint="eastAsia" w:ascii="宋体" w:hAnsi="宋体" w:cs="宋体"/>
          <w:sz w:val="24"/>
          <w:highlight w:val="none"/>
        </w:rPr>
        <w:t>．甲方无正当理由拒绝接受服务的，甲方向乙方偿付合同款项百分之五作为违约金。</w:t>
      </w:r>
    </w:p>
    <w:p w14:paraId="1971A5CF">
      <w:pPr>
        <w:spacing w:line="460" w:lineRule="exact"/>
        <w:ind w:firstLine="480" w:firstLineChars="200"/>
        <w:rPr>
          <w:rFonts w:ascii="宋体"/>
          <w:sz w:val="24"/>
          <w:highlight w:val="none"/>
        </w:rPr>
      </w:pPr>
      <w:r>
        <w:rPr>
          <w:rFonts w:ascii="宋体" w:hAnsi="宋体" w:cs="宋体"/>
          <w:sz w:val="24"/>
          <w:highlight w:val="none"/>
        </w:rPr>
        <w:t>2</w:t>
      </w:r>
      <w:r>
        <w:rPr>
          <w:rFonts w:hint="eastAsia" w:ascii="宋体" w:hAnsi="宋体" w:cs="宋体"/>
          <w:sz w:val="24"/>
          <w:highlight w:val="none"/>
        </w:rPr>
        <w:t>．甲方无故逾期验收和办理款项支付手续的，甲方应按逾期付款总额每日万分之五向乙方支付违约金。</w:t>
      </w:r>
    </w:p>
    <w:p w14:paraId="48D3812D">
      <w:pPr>
        <w:spacing w:line="460" w:lineRule="exact"/>
        <w:ind w:firstLine="480" w:firstLineChars="200"/>
        <w:rPr>
          <w:rFonts w:ascii="宋体"/>
          <w:sz w:val="24"/>
          <w:highlight w:val="none"/>
        </w:rPr>
      </w:pPr>
      <w:r>
        <w:rPr>
          <w:rFonts w:ascii="宋体" w:hAnsi="宋体" w:cs="宋体"/>
          <w:sz w:val="24"/>
          <w:highlight w:val="none"/>
        </w:rPr>
        <w:t>3</w:t>
      </w:r>
      <w:r>
        <w:rPr>
          <w:rFonts w:hint="eastAsia" w:ascii="宋体" w:hAnsi="宋体" w:cs="宋体"/>
          <w:sz w:val="24"/>
          <w:highlight w:val="none"/>
        </w:rPr>
        <w:t>．乙方未能如期提供服务的，每日向甲方支付合同款项的千分之六作为违约金。乙方超过约定日期</w:t>
      </w:r>
      <w:r>
        <w:rPr>
          <w:rFonts w:ascii="宋体" w:hAnsi="宋体" w:cs="宋体"/>
          <w:sz w:val="24"/>
          <w:highlight w:val="none"/>
        </w:rPr>
        <w:t>10</w:t>
      </w:r>
      <w:r>
        <w:rPr>
          <w:rFonts w:hint="eastAsia" w:ascii="宋体" w:hAnsi="宋体" w:cs="宋体"/>
          <w:sz w:val="24"/>
          <w:highlight w:val="none"/>
        </w:rPr>
        <w:t>个工作日仍不能提供服务的，甲方可解除本合同。乙方因未能如期提供服务或因其他违约行为导致甲方解除合同的，乙方应向甲方支付合同总值</w:t>
      </w:r>
      <w:r>
        <w:rPr>
          <w:rFonts w:ascii="宋体" w:hAnsi="宋体" w:cs="宋体"/>
          <w:sz w:val="24"/>
          <w:highlight w:val="none"/>
        </w:rPr>
        <w:t>5%</w:t>
      </w:r>
      <w:r>
        <w:rPr>
          <w:rFonts w:hint="eastAsia" w:ascii="宋体" w:hAnsi="宋体" w:cs="宋体"/>
          <w:sz w:val="24"/>
          <w:highlight w:val="none"/>
        </w:rPr>
        <w:t>的违约金，如造成甲方损失超过违约金的，超出部分由乙方继续承担赔偿责任。</w:t>
      </w:r>
    </w:p>
    <w:p w14:paraId="2C41970C">
      <w:pPr>
        <w:spacing w:line="460" w:lineRule="exact"/>
        <w:rPr>
          <w:rFonts w:ascii="宋体"/>
          <w:b/>
          <w:bCs/>
          <w:sz w:val="24"/>
          <w:highlight w:val="none"/>
        </w:rPr>
      </w:pPr>
      <w:r>
        <w:rPr>
          <w:rFonts w:hint="eastAsia" w:ascii="宋体" w:hAnsi="宋体" w:cs="宋体"/>
          <w:b/>
          <w:bCs/>
          <w:sz w:val="24"/>
          <w:highlight w:val="none"/>
        </w:rPr>
        <w:t>十二、不可抗力事件处理</w:t>
      </w:r>
    </w:p>
    <w:p w14:paraId="71D52D6B">
      <w:pPr>
        <w:spacing w:line="460" w:lineRule="exact"/>
        <w:ind w:firstLine="480" w:firstLineChars="200"/>
        <w:rPr>
          <w:rFonts w:ascii="宋体"/>
          <w:sz w:val="24"/>
          <w:highlight w:val="none"/>
        </w:rPr>
      </w:pPr>
      <w:r>
        <w:rPr>
          <w:rFonts w:ascii="宋体" w:hAnsi="宋体" w:cs="宋体"/>
          <w:sz w:val="24"/>
          <w:highlight w:val="none"/>
        </w:rPr>
        <w:t>1</w:t>
      </w:r>
      <w:r>
        <w:rPr>
          <w:rFonts w:hint="eastAsia" w:ascii="宋体" w:hAnsi="宋体" w:cs="宋体"/>
          <w:sz w:val="24"/>
          <w:highlight w:val="none"/>
        </w:rPr>
        <w:t>．在合同有效期内，任何一方因不可抗力事件导致不能履行合同，则合同履行期可延长，其延长期与不可抗力影响期相同。</w:t>
      </w:r>
    </w:p>
    <w:p w14:paraId="593C0773">
      <w:pPr>
        <w:spacing w:line="460" w:lineRule="exact"/>
        <w:ind w:firstLine="480" w:firstLineChars="200"/>
        <w:rPr>
          <w:rFonts w:ascii="宋体"/>
          <w:sz w:val="24"/>
          <w:highlight w:val="none"/>
        </w:rPr>
      </w:pPr>
      <w:r>
        <w:rPr>
          <w:rFonts w:ascii="宋体" w:hAnsi="宋体" w:cs="宋体"/>
          <w:sz w:val="24"/>
          <w:highlight w:val="none"/>
        </w:rPr>
        <w:t>2</w:t>
      </w:r>
      <w:r>
        <w:rPr>
          <w:rFonts w:hint="eastAsia" w:ascii="宋体" w:hAnsi="宋体" w:cs="宋体"/>
          <w:sz w:val="24"/>
          <w:highlight w:val="none"/>
        </w:rPr>
        <w:t>．不可抗力事件发生后，应立即通知对方，并寄送有关权威机构出具的证明。</w:t>
      </w:r>
    </w:p>
    <w:p w14:paraId="6C075D7E">
      <w:pPr>
        <w:spacing w:line="460" w:lineRule="exact"/>
        <w:ind w:firstLine="480" w:firstLineChars="200"/>
        <w:rPr>
          <w:rFonts w:ascii="宋体"/>
          <w:sz w:val="24"/>
          <w:highlight w:val="none"/>
        </w:rPr>
      </w:pPr>
      <w:r>
        <w:rPr>
          <w:rFonts w:ascii="宋体" w:hAnsi="宋体" w:cs="宋体"/>
          <w:sz w:val="24"/>
          <w:highlight w:val="none"/>
        </w:rPr>
        <w:t>3</w:t>
      </w:r>
      <w:r>
        <w:rPr>
          <w:rFonts w:hint="eastAsia" w:ascii="宋体" w:hAnsi="宋体" w:cs="宋体"/>
          <w:sz w:val="24"/>
          <w:highlight w:val="none"/>
        </w:rPr>
        <w:t>．不可抗力事件延续</w:t>
      </w:r>
      <w:r>
        <w:rPr>
          <w:rFonts w:ascii="宋体" w:hAnsi="宋体" w:cs="宋体"/>
          <w:sz w:val="24"/>
          <w:highlight w:val="none"/>
        </w:rPr>
        <w:t>120</w:t>
      </w:r>
      <w:r>
        <w:rPr>
          <w:rFonts w:hint="eastAsia" w:ascii="宋体" w:hAnsi="宋体" w:cs="宋体"/>
          <w:sz w:val="24"/>
          <w:highlight w:val="none"/>
        </w:rPr>
        <w:t>天以上，双方应通过友好协商，确定是否继续履行合同。</w:t>
      </w:r>
    </w:p>
    <w:p w14:paraId="1E49C8C8">
      <w:pPr>
        <w:spacing w:line="460" w:lineRule="exact"/>
        <w:rPr>
          <w:rFonts w:ascii="宋体"/>
          <w:b/>
          <w:bCs/>
          <w:sz w:val="24"/>
          <w:highlight w:val="none"/>
        </w:rPr>
      </w:pPr>
      <w:r>
        <w:rPr>
          <w:rFonts w:hint="eastAsia" w:ascii="宋体" w:hAnsi="宋体" w:cs="宋体"/>
          <w:b/>
          <w:bCs/>
          <w:sz w:val="24"/>
          <w:highlight w:val="none"/>
        </w:rPr>
        <w:t>十三、诉讼</w:t>
      </w:r>
    </w:p>
    <w:p w14:paraId="21466F69">
      <w:pPr>
        <w:spacing w:line="460" w:lineRule="exact"/>
        <w:ind w:firstLine="480" w:firstLineChars="200"/>
        <w:rPr>
          <w:rFonts w:ascii="宋体"/>
          <w:sz w:val="24"/>
          <w:highlight w:val="none"/>
        </w:rPr>
      </w:pPr>
      <w:r>
        <w:rPr>
          <w:rFonts w:hint="eastAsia" w:ascii="宋体" w:hAnsi="宋体" w:cs="宋体"/>
          <w:sz w:val="24"/>
          <w:highlight w:val="none"/>
        </w:rPr>
        <w:t>双方在执行合同中所发生的一切争议，应通过协商解决。如协商不成，可向甲方所在地法院起诉。</w:t>
      </w:r>
    </w:p>
    <w:p w14:paraId="510E51C8">
      <w:pPr>
        <w:spacing w:line="460" w:lineRule="exact"/>
        <w:rPr>
          <w:rFonts w:ascii="宋体"/>
          <w:b/>
          <w:bCs/>
          <w:sz w:val="24"/>
          <w:highlight w:val="none"/>
        </w:rPr>
      </w:pPr>
      <w:r>
        <w:rPr>
          <w:rFonts w:hint="eastAsia" w:ascii="宋体" w:hAnsi="宋体" w:cs="宋体"/>
          <w:b/>
          <w:bCs/>
          <w:sz w:val="24"/>
          <w:highlight w:val="none"/>
        </w:rPr>
        <w:t>十四、合同生效及其他</w:t>
      </w:r>
    </w:p>
    <w:p w14:paraId="3BC5D31E">
      <w:pPr>
        <w:spacing w:line="460" w:lineRule="exact"/>
        <w:ind w:firstLine="480" w:firstLineChars="200"/>
        <w:rPr>
          <w:rFonts w:ascii="宋体"/>
          <w:sz w:val="24"/>
          <w:highlight w:val="none"/>
        </w:rPr>
      </w:pPr>
      <w:r>
        <w:rPr>
          <w:rFonts w:ascii="宋体" w:hAnsi="宋体" w:cs="宋体"/>
          <w:sz w:val="24"/>
          <w:highlight w:val="none"/>
        </w:rPr>
        <w:t>1</w:t>
      </w:r>
      <w:r>
        <w:rPr>
          <w:rFonts w:hint="eastAsia" w:ascii="宋体" w:hAnsi="宋体" w:cs="宋体"/>
          <w:sz w:val="24"/>
          <w:highlight w:val="none"/>
        </w:rPr>
        <w:t>．合同经双方法定代表人或授权代表签字并加盖单位公章后生效。</w:t>
      </w:r>
    </w:p>
    <w:p w14:paraId="5944F00A">
      <w:pPr>
        <w:spacing w:line="460" w:lineRule="exact"/>
        <w:ind w:firstLine="480" w:firstLineChars="200"/>
        <w:rPr>
          <w:rFonts w:ascii="宋体"/>
          <w:sz w:val="24"/>
          <w:highlight w:val="none"/>
        </w:rPr>
      </w:pPr>
      <w:r>
        <w:rPr>
          <w:rFonts w:ascii="宋体" w:hAnsi="宋体" w:cs="宋体"/>
          <w:sz w:val="24"/>
          <w:highlight w:val="none"/>
        </w:rPr>
        <w:t>2</w:t>
      </w:r>
      <w:r>
        <w:rPr>
          <w:rFonts w:hint="eastAsia" w:ascii="宋体" w:hAnsi="宋体" w:cs="宋体"/>
          <w:sz w:val="24"/>
          <w:highlight w:val="none"/>
        </w:rPr>
        <w:t>．合同执行中涉及采购资金和采购内容修改或补充的，须经财政部门审批，并签书面补充协议报政府采购监督管理部门备案，方可作为主合同不可分割的一部分。</w:t>
      </w:r>
    </w:p>
    <w:p w14:paraId="6E879424">
      <w:pPr>
        <w:spacing w:line="460" w:lineRule="exact"/>
        <w:ind w:firstLine="480" w:firstLineChars="200"/>
        <w:rPr>
          <w:rFonts w:ascii="宋体"/>
          <w:sz w:val="24"/>
          <w:highlight w:val="none"/>
        </w:rPr>
      </w:pPr>
      <w:r>
        <w:rPr>
          <w:rFonts w:ascii="宋体" w:hAnsi="宋体" w:cs="宋体"/>
          <w:sz w:val="24"/>
          <w:highlight w:val="none"/>
        </w:rPr>
        <w:t>3</w:t>
      </w:r>
      <w:r>
        <w:rPr>
          <w:rFonts w:hint="eastAsia" w:ascii="宋体" w:hAnsi="宋体" w:cs="宋体"/>
          <w:sz w:val="24"/>
          <w:highlight w:val="none"/>
        </w:rPr>
        <w:t>．本合同未尽事宜，遵照《中华人民共和国民法典》有关条文执行。</w:t>
      </w:r>
    </w:p>
    <w:p w14:paraId="5D7B79E2">
      <w:pPr>
        <w:spacing w:line="460" w:lineRule="exact"/>
        <w:ind w:firstLine="480" w:firstLineChars="200"/>
        <w:rPr>
          <w:rFonts w:ascii="宋体"/>
          <w:sz w:val="24"/>
          <w:highlight w:val="none"/>
        </w:rPr>
      </w:pPr>
      <w:r>
        <w:rPr>
          <w:rFonts w:ascii="宋体" w:hAnsi="宋体" w:cs="宋体"/>
          <w:sz w:val="24"/>
          <w:highlight w:val="none"/>
        </w:rPr>
        <w:t>4</w:t>
      </w:r>
      <w:r>
        <w:rPr>
          <w:rFonts w:hint="eastAsia" w:ascii="宋体" w:hAnsi="宋体" w:cs="宋体"/>
          <w:sz w:val="24"/>
          <w:highlight w:val="none"/>
        </w:rPr>
        <w:t>．合同正本一式五份，甲乙双方各执两份，</w:t>
      </w:r>
      <w:r>
        <w:rPr>
          <w:rFonts w:hint="eastAsia" w:ascii="宋体" w:hAnsi="宋体" w:cs="宋体"/>
          <w:kern w:val="0"/>
          <w:sz w:val="24"/>
          <w:highlight w:val="none"/>
        </w:rPr>
        <w:t>浙江华耀建设咨询有限公司</w:t>
      </w:r>
      <w:r>
        <w:rPr>
          <w:rFonts w:hint="eastAsia" w:ascii="宋体" w:hAnsi="宋体" w:cs="宋体"/>
          <w:sz w:val="24"/>
          <w:highlight w:val="none"/>
        </w:rPr>
        <w:t>（招标代理机构）执一份备案。</w:t>
      </w:r>
    </w:p>
    <w:p w14:paraId="620AB9BB">
      <w:pPr>
        <w:spacing w:line="460" w:lineRule="exact"/>
        <w:ind w:firstLine="482" w:firstLineChars="200"/>
        <w:rPr>
          <w:rFonts w:ascii="宋体"/>
          <w:b/>
          <w:bCs/>
          <w:sz w:val="24"/>
          <w:highlight w:val="none"/>
        </w:rPr>
      </w:pPr>
    </w:p>
    <w:p w14:paraId="7687B692">
      <w:pPr>
        <w:spacing w:line="460" w:lineRule="exact"/>
        <w:rPr>
          <w:rFonts w:ascii="宋体"/>
          <w:b/>
          <w:bCs/>
          <w:sz w:val="24"/>
          <w:highlight w:val="none"/>
        </w:rPr>
      </w:pPr>
      <w:r>
        <w:rPr>
          <w:rFonts w:hint="eastAsia" w:ascii="宋体" w:hAnsi="宋体" w:cs="宋体"/>
          <w:b/>
          <w:bCs/>
          <w:sz w:val="24"/>
          <w:highlight w:val="none"/>
        </w:rPr>
        <w:t>十五、补充条款</w:t>
      </w:r>
    </w:p>
    <w:p w14:paraId="65C6A90C">
      <w:pPr>
        <w:spacing w:line="460" w:lineRule="exact"/>
        <w:rPr>
          <w:rFonts w:ascii="宋体"/>
          <w:sz w:val="24"/>
          <w:highlight w:val="none"/>
        </w:rPr>
      </w:pPr>
    </w:p>
    <w:p w14:paraId="6D2FA27C">
      <w:pPr>
        <w:tabs>
          <w:tab w:val="left" w:pos="1440"/>
        </w:tabs>
        <w:spacing w:line="460" w:lineRule="exact"/>
        <w:rPr>
          <w:rFonts w:ascii="宋体"/>
          <w:sz w:val="24"/>
          <w:highlight w:val="none"/>
        </w:rPr>
      </w:pPr>
    </w:p>
    <w:p w14:paraId="5E9BC11D">
      <w:pPr>
        <w:tabs>
          <w:tab w:val="left" w:pos="1440"/>
        </w:tabs>
        <w:spacing w:line="460" w:lineRule="exact"/>
        <w:rPr>
          <w:rFonts w:ascii="宋体"/>
          <w:sz w:val="24"/>
          <w:highlight w:val="none"/>
        </w:rPr>
      </w:pPr>
      <w:r>
        <w:rPr>
          <w:rFonts w:hint="eastAsia" w:ascii="宋体" w:hAnsi="宋体" w:cs="宋体"/>
          <w:sz w:val="24"/>
          <w:highlight w:val="none"/>
        </w:rPr>
        <w:t>甲方：                         乙方：</w:t>
      </w:r>
    </w:p>
    <w:p w14:paraId="33C306BB">
      <w:pPr>
        <w:tabs>
          <w:tab w:val="left" w:pos="1440"/>
        </w:tabs>
        <w:spacing w:line="460" w:lineRule="exact"/>
        <w:rPr>
          <w:rFonts w:ascii="宋体"/>
          <w:sz w:val="24"/>
          <w:highlight w:val="none"/>
        </w:rPr>
      </w:pPr>
      <w:r>
        <w:rPr>
          <w:rFonts w:hint="eastAsia" w:ascii="宋体" w:hAnsi="宋体" w:cs="宋体"/>
          <w:sz w:val="24"/>
          <w:highlight w:val="none"/>
        </w:rPr>
        <w:t>地址：                         地址：</w:t>
      </w:r>
    </w:p>
    <w:p w14:paraId="3D99ED27">
      <w:pPr>
        <w:tabs>
          <w:tab w:val="left" w:pos="1440"/>
        </w:tabs>
        <w:spacing w:line="460" w:lineRule="exact"/>
        <w:rPr>
          <w:rFonts w:ascii="宋体"/>
          <w:sz w:val="24"/>
          <w:highlight w:val="none"/>
        </w:rPr>
      </w:pPr>
      <w:r>
        <w:rPr>
          <w:rFonts w:hint="eastAsia" w:ascii="宋体" w:hAnsi="宋体" w:cs="宋体"/>
          <w:sz w:val="24"/>
          <w:highlight w:val="none"/>
        </w:rPr>
        <w:t>法定（授权）代表人：           法定（授权）代表人：</w:t>
      </w:r>
    </w:p>
    <w:p w14:paraId="3C43A7DA">
      <w:pPr>
        <w:tabs>
          <w:tab w:val="left" w:pos="1440"/>
        </w:tabs>
        <w:spacing w:line="460" w:lineRule="exact"/>
        <w:rPr>
          <w:rFonts w:ascii="宋体"/>
          <w:sz w:val="24"/>
          <w:highlight w:val="none"/>
        </w:rPr>
      </w:pPr>
      <w:r>
        <w:rPr>
          <w:rFonts w:hint="eastAsia" w:ascii="宋体" w:hAnsi="宋体" w:cs="宋体"/>
          <w:sz w:val="24"/>
          <w:highlight w:val="none"/>
        </w:rPr>
        <w:t>邮编：                         邮编：</w:t>
      </w:r>
    </w:p>
    <w:p w14:paraId="1B0969F5">
      <w:pPr>
        <w:spacing w:line="460" w:lineRule="exact"/>
        <w:ind w:right="420" w:rightChars="200"/>
        <w:rPr>
          <w:rFonts w:hint="eastAsia" w:ascii="宋体" w:hAnsi="宋体" w:cs="宋体"/>
          <w:sz w:val="24"/>
          <w:highlight w:val="none"/>
        </w:rPr>
      </w:pPr>
      <w:r>
        <w:rPr>
          <w:rFonts w:hint="eastAsia" w:ascii="宋体" w:hAnsi="宋体" w:cs="宋体"/>
          <w:sz w:val="24"/>
          <w:highlight w:val="none"/>
        </w:rPr>
        <w:t>日期：                         日期：</w:t>
      </w:r>
    </w:p>
    <w:p w14:paraId="6BD6B6E4">
      <w:pPr>
        <w:pStyle w:val="7"/>
        <w:rPr>
          <w:highlight w:val="none"/>
        </w:rPr>
      </w:pPr>
      <w:r>
        <w:rPr>
          <w:highlight w:val="none"/>
        </w:rPr>
        <w:br w:type="page"/>
      </w:r>
    </w:p>
    <w:p w14:paraId="1C4020F2">
      <w:pPr>
        <w:snapToGrid w:val="0"/>
        <w:spacing w:line="360" w:lineRule="auto"/>
        <w:jc w:val="center"/>
        <w:rPr>
          <w:sz w:val="30"/>
          <w:szCs w:val="30"/>
          <w:highlight w:val="none"/>
        </w:rPr>
      </w:pPr>
      <w:r>
        <w:rPr>
          <w:rFonts w:hint="eastAsia"/>
          <w:sz w:val="30"/>
          <w:szCs w:val="30"/>
          <w:highlight w:val="none"/>
        </w:rPr>
        <w:t>第六章　投标文件格式</w:t>
      </w:r>
    </w:p>
    <w:p w14:paraId="5635DC36">
      <w:pPr>
        <w:snapToGrid w:val="0"/>
        <w:spacing w:line="360" w:lineRule="auto"/>
        <w:jc w:val="center"/>
        <w:outlineLvl w:val="1"/>
        <w:rPr>
          <w:rFonts w:hint="eastAsia" w:ascii="宋体" w:hAnsi="宋体"/>
          <w:b/>
          <w:bCs/>
          <w:sz w:val="24"/>
          <w:highlight w:val="none"/>
        </w:rPr>
      </w:pPr>
      <w:r>
        <w:rPr>
          <w:rFonts w:hint="eastAsia" w:ascii="宋体" w:hAnsi="宋体"/>
          <w:b/>
          <w:bCs/>
          <w:sz w:val="24"/>
          <w:highlight w:val="none"/>
        </w:rPr>
        <w:t>一、资格文件格式</w:t>
      </w:r>
    </w:p>
    <w:p w14:paraId="734A9CEC">
      <w:pPr>
        <w:snapToGrid w:val="0"/>
        <w:spacing w:line="360" w:lineRule="auto"/>
        <w:jc w:val="center"/>
        <w:rPr>
          <w:rFonts w:hint="eastAsia" w:ascii="宋体" w:hAnsi="宋体"/>
          <w:sz w:val="24"/>
          <w:szCs w:val="20"/>
          <w:highlight w:val="none"/>
        </w:rPr>
      </w:pPr>
    </w:p>
    <w:p w14:paraId="25CE31BA">
      <w:pPr>
        <w:snapToGrid w:val="0"/>
        <w:spacing w:line="360" w:lineRule="auto"/>
        <w:rPr>
          <w:rFonts w:hint="eastAsia" w:ascii="宋体" w:hAnsi="宋体"/>
          <w:sz w:val="24"/>
          <w:szCs w:val="20"/>
          <w:highlight w:val="none"/>
        </w:rPr>
      </w:pPr>
      <w:r>
        <w:rPr>
          <w:rFonts w:hint="eastAsia" w:ascii="宋体" w:hAnsi="宋体"/>
          <w:sz w:val="24"/>
          <w:highlight w:val="none"/>
        </w:rPr>
        <w:t>1.资格文件封面格式：</w:t>
      </w:r>
    </w:p>
    <w:p w14:paraId="3F102067">
      <w:pPr>
        <w:snapToGrid w:val="0"/>
        <w:spacing w:line="360" w:lineRule="auto"/>
        <w:jc w:val="center"/>
        <w:rPr>
          <w:rFonts w:hint="eastAsia" w:ascii="宋体" w:hAnsi="宋体"/>
          <w:bCs/>
          <w:sz w:val="24"/>
          <w:szCs w:val="20"/>
          <w:highlight w:val="none"/>
        </w:rPr>
      </w:pPr>
      <w:r>
        <w:rPr>
          <w:rFonts w:hint="eastAsia" w:ascii="宋体" w:hAnsi="宋体"/>
          <w:bCs/>
          <w:sz w:val="24"/>
          <w:highlight w:val="none"/>
        </w:rPr>
        <w:t>资 格 文件</w:t>
      </w:r>
    </w:p>
    <w:p w14:paraId="5144EC52">
      <w:pPr>
        <w:snapToGrid w:val="0"/>
        <w:spacing w:line="360" w:lineRule="auto"/>
        <w:rPr>
          <w:rFonts w:hint="eastAsia" w:ascii="宋体" w:hAnsi="宋体"/>
          <w:bCs/>
          <w:sz w:val="24"/>
          <w:szCs w:val="20"/>
          <w:highlight w:val="none"/>
        </w:rPr>
      </w:pPr>
    </w:p>
    <w:p w14:paraId="4CD8DB78">
      <w:pPr>
        <w:snapToGrid w:val="0"/>
        <w:spacing w:line="360" w:lineRule="auto"/>
        <w:ind w:left="1918" w:leftChars="456" w:hanging="960" w:hangingChars="400"/>
        <w:rPr>
          <w:rFonts w:hint="eastAsia" w:ascii="宋体" w:hAnsi="宋体"/>
          <w:bCs/>
          <w:sz w:val="24"/>
          <w:szCs w:val="20"/>
          <w:highlight w:val="none"/>
        </w:rPr>
      </w:pPr>
      <w:r>
        <w:rPr>
          <w:rFonts w:hint="eastAsia" w:ascii="宋体" w:hAnsi="宋体"/>
          <w:bCs/>
          <w:sz w:val="24"/>
          <w:highlight w:val="none"/>
        </w:rPr>
        <w:t>项目名称：</w:t>
      </w:r>
      <w:r>
        <w:rPr>
          <w:rFonts w:hint="eastAsia" w:ascii="宋体" w:hAnsi="宋体"/>
          <w:spacing w:val="-20"/>
          <w:sz w:val="24"/>
          <w:highlight w:val="none"/>
        </w:rPr>
        <w:t>湖州市中心医院智慧运营管理平台项目</w:t>
      </w:r>
    </w:p>
    <w:p w14:paraId="79FE7475">
      <w:pPr>
        <w:snapToGrid w:val="0"/>
        <w:spacing w:line="360" w:lineRule="auto"/>
        <w:ind w:firstLine="960" w:firstLineChars="400"/>
        <w:rPr>
          <w:rFonts w:hint="eastAsia" w:ascii="宋体" w:hAnsi="宋体" w:eastAsia="宋体"/>
          <w:bCs/>
          <w:sz w:val="24"/>
          <w:szCs w:val="20"/>
          <w:highlight w:val="none"/>
          <w:lang w:eastAsia="zh-CN"/>
        </w:rPr>
      </w:pPr>
      <w:r>
        <w:rPr>
          <w:rFonts w:hint="eastAsia" w:ascii="宋体" w:hAnsi="宋体"/>
          <w:bCs/>
          <w:sz w:val="24"/>
          <w:highlight w:val="none"/>
        </w:rPr>
        <w:t>项目编号：</w:t>
      </w:r>
      <w:r>
        <w:rPr>
          <w:rFonts w:hint="eastAsia" w:ascii="宋体" w:hAnsi="宋体"/>
          <w:sz w:val="24"/>
          <w:highlight w:val="none"/>
          <w:lang w:eastAsia="zh-CN"/>
        </w:rPr>
        <w:t>HYHZ2025-25</w:t>
      </w:r>
    </w:p>
    <w:p w14:paraId="5309597C">
      <w:pPr>
        <w:pStyle w:val="7"/>
        <w:snapToGrid w:val="0"/>
        <w:spacing w:line="360" w:lineRule="auto"/>
        <w:ind w:firstLine="998" w:firstLineChars="416"/>
        <w:rPr>
          <w:rFonts w:hint="eastAsia" w:ascii="宋体" w:hAnsi="宋体"/>
          <w:bCs/>
          <w:sz w:val="24"/>
          <w:szCs w:val="24"/>
          <w:highlight w:val="none"/>
        </w:rPr>
      </w:pPr>
      <w:r>
        <w:rPr>
          <w:rFonts w:hint="eastAsia" w:ascii="宋体" w:hAnsi="宋体"/>
          <w:bCs/>
          <w:sz w:val="24"/>
          <w:szCs w:val="24"/>
          <w:highlight w:val="none"/>
        </w:rPr>
        <w:t>投标人名称：</w:t>
      </w:r>
    </w:p>
    <w:p w14:paraId="4B80B76A">
      <w:pPr>
        <w:pStyle w:val="7"/>
        <w:snapToGrid w:val="0"/>
        <w:spacing w:line="360" w:lineRule="auto"/>
        <w:ind w:firstLine="998" w:firstLineChars="416"/>
        <w:rPr>
          <w:rFonts w:hint="eastAsia" w:ascii="宋体" w:hAnsi="宋体"/>
          <w:bCs/>
          <w:sz w:val="24"/>
          <w:szCs w:val="24"/>
          <w:highlight w:val="none"/>
        </w:rPr>
      </w:pPr>
      <w:r>
        <w:rPr>
          <w:rFonts w:hint="eastAsia" w:ascii="宋体" w:hAnsi="宋体"/>
          <w:bCs/>
          <w:sz w:val="24"/>
          <w:szCs w:val="24"/>
          <w:highlight w:val="none"/>
        </w:rPr>
        <w:t>投标人地址：</w:t>
      </w:r>
    </w:p>
    <w:p w14:paraId="6D4E6A03">
      <w:pPr>
        <w:snapToGrid w:val="0"/>
        <w:spacing w:line="360" w:lineRule="auto"/>
        <w:ind w:firstLine="645"/>
        <w:jc w:val="center"/>
        <w:rPr>
          <w:rFonts w:hint="eastAsia" w:ascii="宋体" w:hAnsi="宋体"/>
          <w:sz w:val="24"/>
          <w:szCs w:val="20"/>
          <w:highlight w:val="none"/>
        </w:rPr>
      </w:pPr>
      <w:r>
        <w:rPr>
          <w:rFonts w:hint="eastAsia" w:ascii="宋体" w:hAnsi="宋体"/>
          <w:sz w:val="24"/>
          <w:highlight w:val="none"/>
        </w:rPr>
        <w:t>年月日</w:t>
      </w:r>
    </w:p>
    <w:p w14:paraId="0FE8A015">
      <w:pPr>
        <w:snapToGrid w:val="0"/>
        <w:spacing w:line="360" w:lineRule="auto"/>
        <w:rPr>
          <w:rFonts w:hint="eastAsia" w:ascii="宋体" w:hAnsi="宋体"/>
          <w:b/>
          <w:bCs/>
          <w:sz w:val="24"/>
          <w:highlight w:val="none"/>
        </w:rPr>
      </w:pPr>
      <w:r>
        <w:rPr>
          <w:rFonts w:hint="eastAsia" w:ascii="宋体" w:hAnsi="宋体"/>
          <w:sz w:val="24"/>
          <w:highlight w:val="none"/>
        </w:rPr>
        <w:t>2.</w:t>
      </w:r>
      <w:r>
        <w:rPr>
          <w:rFonts w:hint="eastAsia" w:ascii="宋体" w:hAnsi="宋体"/>
          <w:b/>
          <w:bCs/>
          <w:sz w:val="24"/>
          <w:highlight w:val="none"/>
        </w:rPr>
        <w:t>资格文件目录</w:t>
      </w:r>
    </w:p>
    <w:p w14:paraId="7D4D365D">
      <w:pPr>
        <w:snapToGrid w:val="0"/>
        <w:spacing w:line="360" w:lineRule="auto"/>
        <w:jc w:val="left"/>
        <w:rPr>
          <w:rFonts w:hint="eastAsia" w:ascii="宋体" w:hAnsi="宋体"/>
          <w:sz w:val="24"/>
          <w:szCs w:val="20"/>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）投标声明书————————（页码）</w:t>
      </w:r>
    </w:p>
    <w:p w14:paraId="3D9A5D56">
      <w:pPr>
        <w:snapToGrid w:val="0"/>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）投标人基本情况介绍————————</w:t>
      </w:r>
    </w:p>
    <w:p w14:paraId="586638B0">
      <w:pPr>
        <w:snapToGrid w:val="0"/>
        <w:spacing w:line="360" w:lineRule="auto"/>
        <w:jc w:val="left"/>
        <w:rPr>
          <w:rFonts w:hint="eastAsia" w:ascii="宋体" w:hAnsi="宋体"/>
          <w:sz w:val="24"/>
          <w:highlight w:val="none"/>
        </w:rPr>
      </w:pPr>
      <w:r>
        <w:rPr>
          <w:rFonts w:hint="eastAsia" w:ascii="宋体" w:hAnsi="宋体"/>
          <w:sz w:val="24"/>
          <w:highlight w:val="none"/>
        </w:rPr>
        <w:t>（3）</w:t>
      </w:r>
      <w:r>
        <w:rPr>
          <w:rFonts w:ascii="宋体" w:hAnsi="宋体"/>
          <w:sz w:val="24"/>
          <w:highlight w:val="none"/>
        </w:rPr>
        <w:t>法定代表人授权委托书</w:t>
      </w:r>
      <w:r>
        <w:rPr>
          <w:rFonts w:hint="eastAsia" w:ascii="宋体" w:hAnsi="宋体"/>
          <w:sz w:val="24"/>
          <w:highlight w:val="none"/>
        </w:rPr>
        <w:t>————————</w:t>
      </w:r>
    </w:p>
    <w:p w14:paraId="4BDF8712">
      <w:pPr>
        <w:snapToGrid w:val="0"/>
        <w:spacing w:line="360" w:lineRule="auto"/>
        <w:jc w:val="left"/>
        <w:rPr>
          <w:rFonts w:hint="eastAsia" w:ascii="宋体" w:hAnsi="宋体"/>
          <w:sz w:val="24"/>
          <w:highlight w:val="none"/>
        </w:rPr>
      </w:pPr>
      <w:r>
        <w:rPr>
          <w:rFonts w:hint="eastAsia" w:ascii="宋体" w:hAnsi="宋体"/>
          <w:sz w:val="24"/>
          <w:highlight w:val="none"/>
        </w:rPr>
        <w:t>（4）近三个月依法缴纳税收和社保费的证明【税费凭证，或者依法缴纳税费或依法免缴税费的证明】（</w:t>
      </w:r>
      <w:r>
        <w:rPr>
          <w:rFonts w:hint="eastAsia" w:ascii="宋体" w:hAnsi="宋体"/>
          <w:bCs/>
          <w:sz w:val="24"/>
          <w:highlight w:val="none"/>
        </w:rPr>
        <w:t>复印件各一份</w:t>
      </w:r>
      <w:r>
        <w:rPr>
          <w:rFonts w:hint="eastAsia" w:ascii="宋体" w:hAnsi="宋体"/>
          <w:sz w:val="24"/>
          <w:highlight w:val="none"/>
        </w:rPr>
        <w:t>）————————</w:t>
      </w:r>
    </w:p>
    <w:p w14:paraId="48774F04">
      <w:pPr>
        <w:snapToGrid w:val="0"/>
        <w:spacing w:line="360" w:lineRule="auto"/>
        <w:jc w:val="left"/>
        <w:rPr>
          <w:rFonts w:hint="eastAsia" w:ascii="宋体" w:hAnsi="宋体"/>
          <w:sz w:val="24"/>
          <w:highlight w:val="none"/>
        </w:rPr>
      </w:pPr>
      <w:r>
        <w:rPr>
          <w:rFonts w:hint="eastAsia" w:ascii="宋体" w:hAnsi="宋体"/>
          <w:sz w:val="24"/>
          <w:highlight w:val="none"/>
        </w:rPr>
        <w:t>（5）有效的营业执照副本复印件————————</w:t>
      </w:r>
    </w:p>
    <w:p w14:paraId="73A7B3C7">
      <w:pPr>
        <w:snapToGrid w:val="0"/>
        <w:spacing w:line="360" w:lineRule="auto"/>
        <w:jc w:val="left"/>
        <w:rPr>
          <w:rFonts w:hint="eastAsia" w:ascii="宋体" w:hAnsi="宋体" w:cs="Arial"/>
          <w:kern w:val="0"/>
          <w:sz w:val="24"/>
          <w:highlight w:val="none"/>
        </w:rPr>
      </w:pPr>
      <w:r>
        <w:rPr>
          <w:rFonts w:hint="eastAsia" w:ascii="宋体" w:hAnsi="宋体" w:cs="Arial"/>
          <w:kern w:val="0"/>
          <w:sz w:val="24"/>
          <w:highlight w:val="none"/>
        </w:rPr>
        <w:t>（6）</w:t>
      </w:r>
      <w:r>
        <w:rPr>
          <w:rFonts w:hint="eastAsia" w:ascii="宋体" w:hAnsi="宋体" w:cs="宋体"/>
          <w:sz w:val="24"/>
          <w:highlight w:val="none"/>
        </w:rPr>
        <w:t>近二年（2022、2023年）企业的财务状况报告或银行资信证明复印件</w:t>
      </w:r>
      <w:r>
        <w:rPr>
          <w:rFonts w:hint="eastAsia" w:ascii="宋体" w:hAnsi="宋体"/>
          <w:sz w:val="24"/>
          <w:highlight w:val="none"/>
        </w:rPr>
        <w:t>———————</w:t>
      </w:r>
    </w:p>
    <w:p w14:paraId="770BFB97">
      <w:pPr>
        <w:snapToGrid w:val="0"/>
        <w:spacing w:line="360" w:lineRule="auto"/>
        <w:jc w:val="left"/>
        <w:rPr>
          <w:rFonts w:hint="eastAsia" w:ascii="宋体" w:hAnsi="宋体"/>
          <w:sz w:val="24"/>
          <w:highlight w:val="none"/>
        </w:rPr>
      </w:pPr>
      <w:r>
        <w:rPr>
          <w:rFonts w:hint="eastAsia" w:ascii="宋体" w:hAnsi="宋体" w:cs="Arial"/>
          <w:kern w:val="0"/>
          <w:sz w:val="24"/>
          <w:highlight w:val="none"/>
        </w:rPr>
        <w:t>（7）</w:t>
      </w:r>
      <w:r>
        <w:rPr>
          <w:rFonts w:hint="eastAsia" w:ascii="宋体" w:hAnsi="宋体"/>
          <w:sz w:val="24"/>
          <w:highlight w:val="none"/>
        </w:rPr>
        <w:t>提供自招标公告发布之日起至投标截止日内任意时间的“信用中国”网站（www.creditchina.gov.cn）、中国政府采购网（www.ccgp.gov.cn）投标人信用查询网页截图————————</w:t>
      </w:r>
    </w:p>
    <w:p w14:paraId="5925D159">
      <w:pPr>
        <w:snapToGrid w:val="0"/>
        <w:spacing w:line="360" w:lineRule="auto"/>
        <w:jc w:val="left"/>
        <w:rPr>
          <w:rFonts w:hint="eastAsia" w:ascii="宋体" w:hAnsi="宋体"/>
          <w:sz w:val="24"/>
          <w:highlight w:val="none"/>
        </w:rPr>
      </w:pPr>
      <w:r>
        <w:rPr>
          <w:rFonts w:hint="eastAsia" w:ascii="宋体" w:hAnsi="宋体" w:cs="Arial"/>
          <w:kern w:val="0"/>
          <w:sz w:val="24"/>
          <w:highlight w:val="none"/>
        </w:rPr>
        <w:t>（8）</w:t>
      </w:r>
      <w:r>
        <w:rPr>
          <w:rFonts w:hint="eastAsia" w:ascii="宋体" w:hAnsi="宋体"/>
          <w:sz w:val="24"/>
          <w:highlight w:val="none"/>
        </w:rPr>
        <w:t>《中小企业声明函》（格式见附件），残疾人福利性单位需提供《残疾人福利性单位声明函》，监狱企业需提供省级以</w:t>
      </w:r>
      <w:r>
        <w:rPr>
          <w:rFonts w:hint="eastAsia" w:ascii="宋体" w:hAnsi="宋体" w:cs="宋体"/>
          <w:sz w:val="24"/>
          <w:highlight w:val="none"/>
        </w:rPr>
        <w:t>上监狱管理局、戒毒管理局（含新疆生产建设兵团）出具的属于监狱企业的证明文件</w:t>
      </w:r>
      <w:r>
        <w:rPr>
          <w:rFonts w:hint="eastAsia" w:ascii="宋体" w:hAnsi="宋体"/>
          <w:sz w:val="24"/>
          <w:highlight w:val="none"/>
        </w:rPr>
        <w:t>————————</w:t>
      </w:r>
    </w:p>
    <w:p w14:paraId="6CD9A98B">
      <w:pPr>
        <w:snapToGrid w:val="0"/>
        <w:spacing w:line="360" w:lineRule="auto"/>
        <w:jc w:val="left"/>
        <w:rPr>
          <w:rFonts w:hint="eastAsia" w:ascii="宋体" w:hAnsi="宋体"/>
          <w:sz w:val="24"/>
          <w:highlight w:val="none"/>
        </w:rPr>
      </w:pPr>
      <w:r>
        <w:rPr>
          <w:rFonts w:hint="eastAsia" w:ascii="宋体" w:hAnsi="宋体"/>
          <w:sz w:val="24"/>
          <w:highlight w:val="none"/>
        </w:rPr>
        <w:t>（9）</w:t>
      </w:r>
      <w:r>
        <w:rPr>
          <w:rFonts w:hint="eastAsia" w:ascii="宋体" w:hAnsi="宋体" w:cs="仿宋"/>
          <w:sz w:val="24"/>
          <w:highlight w:val="none"/>
        </w:rPr>
        <w:t>联合体各方共同招标协议（如有，格式自拟）</w:t>
      </w:r>
      <w:r>
        <w:rPr>
          <w:rFonts w:hint="eastAsia" w:ascii="宋体" w:hAnsi="宋体"/>
          <w:sz w:val="24"/>
          <w:highlight w:val="none"/>
        </w:rPr>
        <w:t>————————</w:t>
      </w:r>
    </w:p>
    <w:p w14:paraId="37020878">
      <w:pPr>
        <w:snapToGrid w:val="0"/>
        <w:spacing w:line="360" w:lineRule="auto"/>
        <w:jc w:val="left"/>
        <w:rPr>
          <w:rFonts w:hint="eastAsia" w:ascii="宋体" w:hAnsi="宋体"/>
          <w:highlight w:val="none"/>
        </w:rPr>
      </w:pPr>
    </w:p>
    <w:p w14:paraId="7160D81F">
      <w:pPr>
        <w:pStyle w:val="11"/>
        <w:rPr>
          <w:highlight w:val="none"/>
        </w:rPr>
      </w:pPr>
    </w:p>
    <w:p w14:paraId="76104429">
      <w:pPr>
        <w:rPr>
          <w:highlight w:val="none"/>
        </w:rPr>
      </w:pPr>
    </w:p>
    <w:p w14:paraId="50B612B8">
      <w:pPr>
        <w:pStyle w:val="11"/>
        <w:rPr>
          <w:highlight w:val="none"/>
        </w:rPr>
      </w:pPr>
    </w:p>
    <w:p w14:paraId="56B7B779">
      <w:pPr>
        <w:rPr>
          <w:highlight w:val="none"/>
        </w:rPr>
      </w:pPr>
    </w:p>
    <w:p w14:paraId="2C02E964">
      <w:pPr>
        <w:snapToGrid w:val="0"/>
        <w:spacing w:line="360" w:lineRule="auto"/>
        <w:jc w:val="left"/>
        <w:rPr>
          <w:rFonts w:hint="eastAsia" w:ascii="宋体" w:hAnsi="宋体"/>
          <w:sz w:val="24"/>
          <w:szCs w:val="20"/>
          <w:highlight w:val="none"/>
        </w:rPr>
      </w:pPr>
      <w:r>
        <w:rPr>
          <w:rFonts w:hint="eastAsia" w:ascii="宋体" w:hAnsi="宋体"/>
          <w:highlight w:val="none"/>
        </w:rPr>
        <w:t>3</w:t>
      </w:r>
      <w:r>
        <w:rPr>
          <w:rFonts w:hint="eastAsia" w:ascii="宋体" w:hAnsi="宋体"/>
          <w:sz w:val="24"/>
          <w:highlight w:val="none"/>
        </w:rPr>
        <w:t>.投标声明书格式：</w:t>
      </w:r>
    </w:p>
    <w:p w14:paraId="1B6EDCED">
      <w:pPr>
        <w:snapToGrid w:val="0"/>
        <w:spacing w:line="360" w:lineRule="auto"/>
        <w:jc w:val="center"/>
        <w:rPr>
          <w:rFonts w:hint="eastAsia" w:ascii="宋体" w:hAnsi="宋体"/>
          <w:sz w:val="24"/>
          <w:szCs w:val="20"/>
          <w:highlight w:val="none"/>
        </w:rPr>
      </w:pPr>
      <w:r>
        <w:rPr>
          <w:rFonts w:hint="eastAsia" w:ascii="宋体" w:hAnsi="宋体"/>
          <w:sz w:val="30"/>
          <w:highlight w:val="none"/>
        </w:rPr>
        <w:t>投标声明书</w:t>
      </w:r>
    </w:p>
    <w:p w14:paraId="791E86AB">
      <w:pPr>
        <w:snapToGrid w:val="0"/>
        <w:spacing w:line="360" w:lineRule="auto"/>
        <w:rPr>
          <w:rFonts w:hint="eastAsia" w:ascii="宋体" w:hAnsi="宋体"/>
          <w:sz w:val="24"/>
          <w:szCs w:val="20"/>
          <w:highlight w:val="none"/>
        </w:rPr>
      </w:pPr>
      <w:r>
        <w:rPr>
          <w:rFonts w:hint="eastAsia" w:ascii="宋体" w:hAnsi="宋体"/>
          <w:sz w:val="24"/>
          <w:highlight w:val="none"/>
        </w:rPr>
        <w:t>致：</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（招标采购单位名称）：</w:t>
      </w:r>
    </w:p>
    <w:p w14:paraId="0AA21470">
      <w:pPr>
        <w:snapToGrid w:val="0"/>
        <w:spacing w:line="360" w:lineRule="auto"/>
        <w:ind w:firstLine="720" w:firstLineChars="300"/>
        <w:rPr>
          <w:rFonts w:hint="eastAsia" w:ascii="宋体" w:hAnsi="宋体"/>
          <w:sz w:val="24"/>
          <w:szCs w:val="20"/>
          <w:highlight w:val="none"/>
        </w:rPr>
      </w:pP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（投标人名称）系中华人民共和国合法企业，经营地址。</w:t>
      </w:r>
    </w:p>
    <w:p w14:paraId="143B93B5">
      <w:pPr>
        <w:snapToGrid w:val="0"/>
        <w:spacing w:line="360" w:lineRule="auto"/>
        <w:ind w:firstLine="645"/>
        <w:rPr>
          <w:rFonts w:hint="eastAsia" w:ascii="宋体" w:hAnsi="宋体"/>
          <w:sz w:val="24"/>
          <w:szCs w:val="20"/>
          <w:highlight w:val="none"/>
        </w:rPr>
      </w:pPr>
      <w:r>
        <w:rPr>
          <w:rFonts w:hint="eastAsia" w:ascii="宋体" w:hAnsi="宋体"/>
          <w:sz w:val="24"/>
          <w:highlight w:val="none"/>
        </w:rPr>
        <w:t>我</w:t>
      </w:r>
      <w:r>
        <w:rPr>
          <w:rFonts w:ascii="宋体" w:hAnsi="宋体"/>
          <w:sz w:val="24"/>
          <w:highlight w:val="none"/>
        </w:rPr>
        <w:t>___</w:t>
      </w:r>
      <w:r>
        <w:rPr>
          <w:rFonts w:ascii="宋体" w:hAnsi="宋体"/>
          <w:sz w:val="24"/>
          <w:highlight w:val="none"/>
          <w:u w:val="single"/>
        </w:rPr>
        <w:t xml:space="preserve">    _</w:t>
      </w:r>
      <w:r>
        <w:rPr>
          <w:rFonts w:ascii="宋体" w:hAnsi="宋体"/>
          <w:sz w:val="24"/>
          <w:highlight w:val="none"/>
        </w:rPr>
        <w:t>_</w:t>
      </w:r>
      <w:r>
        <w:rPr>
          <w:rFonts w:hint="eastAsia" w:ascii="宋体" w:hAnsi="宋体"/>
          <w:sz w:val="24"/>
          <w:highlight w:val="none"/>
        </w:rPr>
        <w:t>（姓名）系</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（投标人名称）的法定代表人，我方愿意参加贵方组织的</w:t>
      </w:r>
      <w:r>
        <w:rPr>
          <w:rFonts w:ascii="宋体" w:hAnsi="宋体"/>
          <w:sz w:val="24"/>
          <w:highlight w:val="none"/>
        </w:rPr>
        <w:t>_____</w:t>
      </w:r>
      <w:r>
        <w:rPr>
          <w:rFonts w:ascii="宋体" w:hAnsi="宋体"/>
          <w:sz w:val="24"/>
          <w:highlight w:val="none"/>
          <w:u w:val="single"/>
        </w:rPr>
        <w:t>_              _     _</w:t>
      </w:r>
      <w:r>
        <w:rPr>
          <w:rFonts w:ascii="宋体" w:hAnsi="宋体"/>
          <w:sz w:val="24"/>
          <w:highlight w:val="none"/>
        </w:rPr>
        <w:t>_</w:t>
      </w:r>
      <w:r>
        <w:rPr>
          <w:rFonts w:hint="eastAsia" w:ascii="宋体" w:hAnsi="宋体"/>
          <w:sz w:val="24"/>
          <w:highlight w:val="none"/>
        </w:rPr>
        <w:t>项目的投标，为便于贵方公正、择优地确定中标人及其投标产品和服务，我方就本次投标有关事项郑重声明如下：</w:t>
      </w:r>
    </w:p>
    <w:p w14:paraId="1FB09D70">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我方向贵方提交的所有投标文件、资料都是准确的和真实的</w:t>
      </w:r>
      <w:r>
        <w:rPr>
          <w:rFonts w:hint="eastAsia" w:ascii="宋体" w:hAnsi="宋体"/>
          <w:sz w:val="24"/>
          <w:highlight w:val="none"/>
        </w:rPr>
        <w:t>。</w:t>
      </w:r>
    </w:p>
    <w:p w14:paraId="2BE9D79D">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我方不是采购人的附属机构；在获知本项目采购信息后，与采购人聘请的为此项目提供咨询服务的公司及其附属机构没有任何联系。</w:t>
      </w:r>
    </w:p>
    <w:p w14:paraId="18C0DB78">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我方此次向贵方提供的产品名称为：</w:t>
      </w:r>
      <w:r>
        <w:rPr>
          <w:rFonts w:hint="eastAsia" w:ascii="宋体" w:hAnsi="宋体"/>
          <w:sz w:val="24"/>
          <w:highlight w:val="none"/>
        </w:rPr>
        <w:t>；规格型号：；该型号产品我方有现货可供，并已于年月生产完工或向</w:t>
      </w:r>
      <w:r>
        <w:rPr>
          <w:rFonts w:hint="eastAsia" w:ascii="宋体" w:hAnsi="宋体"/>
          <w:sz w:val="24"/>
          <w:highlight w:val="none"/>
          <w:u w:val="single"/>
        </w:rPr>
        <w:t>　　</w:t>
      </w:r>
      <w:r>
        <w:rPr>
          <w:rFonts w:hint="eastAsia" w:ascii="宋体" w:hAnsi="宋体"/>
          <w:sz w:val="24"/>
          <w:highlight w:val="none"/>
        </w:rPr>
        <w:t>（原厂商名称）购进［</w:t>
      </w:r>
      <w:r>
        <w:rPr>
          <w:rFonts w:hint="eastAsia" w:ascii="宋体" w:hAnsi="宋体"/>
          <w:b/>
          <w:bCs/>
          <w:sz w:val="24"/>
          <w:highlight w:val="none"/>
        </w:rPr>
        <w:t>或</w:t>
      </w:r>
      <w:r>
        <w:rPr>
          <w:rFonts w:hint="eastAsia" w:ascii="宋体" w:hAnsi="宋体"/>
          <w:sz w:val="24"/>
          <w:highlight w:val="none"/>
        </w:rPr>
        <w:t>需在中标后向订购］。</w:t>
      </w:r>
    </w:p>
    <w:p w14:paraId="5A1C18CE">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我方诚意提请贵方关注：</w:t>
      </w:r>
      <w:r>
        <w:rPr>
          <w:rFonts w:hint="eastAsia" w:ascii="宋体" w:hAnsi="宋体"/>
          <w:sz w:val="24"/>
          <w:highlight w:val="none"/>
        </w:rPr>
        <w:t>近期</w:t>
      </w:r>
      <w:r>
        <w:rPr>
          <w:rFonts w:ascii="宋体" w:hAnsi="宋体"/>
          <w:sz w:val="24"/>
          <w:highlight w:val="none"/>
        </w:rPr>
        <w:t>有关该型号产品的</w:t>
      </w:r>
      <w:r>
        <w:rPr>
          <w:rFonts w:hint="eastAsia" w:ascii="宋体" w:hAnsi="宋体"/>
          <w:sz w:val="24"/>
          <w:highlight w:val="none"/>
        </w:rPr>
        <w:t>生产、供货、售后服务以及性能等方面的重大决策和事项有：</w:t>
      </w:r>
    </w:p>
    <w:p w14:paraId="1E7896D5">
      <w:pPr>
        <w:snapToGrid w:val="0"/>
        <w:spacing w:line="360" w:lineRule="auto"/>
        <w:ind w:firstLine="480" w:firstLineChars="200"/>
        <w:rPr>
          <w:rFonts w:hint="eastAsia" w:ascii="宋体" w:hAnsi="宋体"/>
          <w:sz w:val="24"/>
          <w:szCs w:val="20"/>
          <w:highlight w:val="none"/>
          <w:u w:val="single"/>
        </w:rPr>
      </w:pPr>
      <w:r>
        <w:rPr>
          <w:rFonts w:hint="eastAsia" w:ascii="宋体" w:hAnsi="宋体"/>
          <w:sz w:val="24"/>
          <w:highlight w:val="none"/>
          <w:u w:val="single"/>
        </w:rPr>
        <w:t>　　　　　　　　　　　　　　　　　　　　　　　　　　　</w:t>
      </w:r>
    </w:p>
    <w:p w14:paraId="1A26FC7D">
      <w:pPr>
        <w:snapToGrid w:val="0"/>
        <w:spacing w:line="360" w:lineRule="auto"/>
        <w:ind w:firstLine="480" w:firstLineChars="200"/>
        <w:rPr>
          <w:rFonts w:hint="eastAsia" w:ascii="宋体" w:hAnsi="宋体"/>
          <w:sz w:val="24"/>
          <w:szCs w:val="20"/>
          <w:highlight w:val="none"/>
        </w:rPr>
      </w:pPr>
      <w:r>
        <w:rPr>
          <w:rFonts w:hint="eastAsia" w:ascii="宋体" w:hAnsi="宋体"/>
          <w:sz w:val="24"/>
          <w:highlight w:val="none"/>
          <w:u w:val="single"/>
        </w:rPr>
        <w:t>　　　　　　　　　　　　　　　　　　　　　　　　　　　</w:t>
      </w:r>
    </w:p>
    <w:p w14:paraId="3B4FBA85">
      <w:pPr>
        <w:pStyle w:val="12"/>
        <w:snapToGrid w:val="0"/>
        <w:spacing w:line="360" w:lineRule="auto"/>
        <w:ind w:firstLine="480" w:firstLineChars="200"/>
        <w:rPr>
          <w:rFonts w:hint="eastAsia" w:hAnsi="宋体"/>
          <w:sz w:val="24"/>
          <w:highlight w:val="none"/>
        </w:rPr>
      </w:pPr>
      <w:r>
        <w:rPr>
          <w:rFonts w:hAnsi="宋体"/>
          <w:sz w:val="24"/>
          <w:highlight w:val="none"/>
        </w:rPr>
        <w:t>5</w:t>
      </w:r>
      <w:r>
        <w:rPr>
          <w:rFonts w:hint="eastAsia" w:hAnsi="宋体"/>
          <w:sz w:val="24"/>
          <w:highlight w:val="none"/>
        </w:rPr>
        <w:t>.我方及由本人担任法定代表人的其他机构</w:t>
      </w:r>
      <w:r>
        <w:rPr>
          <w:rFonts w:hAnsi="宋体"/>
          <w:sz w:val="24"/>
          <w:highlight w:val="none"/>
        </w:rPr>
        <w:t>最近三年内被</w:t>
      </w:r>
      <w:r>
        <w:rPr>
          <w:rFonts w:hint="eastAsia" w:hAnsi="宋体"/>
          <w:sz w:val="24"/>
          <w:highlight w:val="none"/>
        </w:rPr>
        <w:t>通报或者被处罚的</w:t>
      </w:r>
      <w:r>
        <w:rPr>
          <w:rFonts w:hAnsi="宋体"/>
          <w:sz w:val="24"/>
          <w:highlight w:val="none"/>
        </w:rPr>
        <w:t>违法行为有：</w:t>
      </w:r>
    </w:p>
    <w:p w14:paraId="2D459A3A">
      <w:pPr>
        <w:snapToGrid w:val="0"/>
        <w:spacing w:line="360" w:lineRule="auto"/>
        <w:ind w:firstLine="480" w:firstLineChars="200"/>
        <w:rPr>
          <w:rFonts w:hint="eastAsia" w:ascii="宋体" w:hAnsi="宋体"/>
          <w:sz w:val="24"/>
          <w:szCs w:val="20"/>
          <w:highlight w:val="none"/>
          <w:u w:val="single"/>
        </w:rPr>
      </w:pPr>
      <w:r>
        <w:rPr>
          <w:rFonts w:hint="eastAsia" w:ascii="宋体" w:hAnsi="宋体"/>
          <w:sz w:val="24"/>
          <w:highlight w:val="none"/>
          <w:u w:val="single"/>
        </w:rPr>
        <w:t>　　　　　　　　　　　　　　　　　　　　　　　　　　　</w:t>
      </w:r>
    </w:p>
    <w:p w14:paraId="6F684DD0">
      <w:pPr>
        <w:snapToGrid w:val="0"/>
        <w:spacing w:line="360" w:lineRule="auto"/>
        <w:ind w:firstLine="480" w:firstLineChars="200"/>
        <w:rPr>
          <w:rFonts w:hint="eastAsia" w:ascii="宋体" w:hAnsi="宋体"/>
          <w:sz w:val="24"/>
          <w:szCs w:val="20"/>
          <w:highlight w:val="none"/>
          <w:u w:val="single"/>
        </w:rPr>
      </w:pPr>
      <w:r>
        <w:rPr>
          <w:rFonts w:hint="eastAsia" w:ascii="宋体" w:hAnsi="宋体"/>
          <w:sz w:val="24"/>
          <w:highlight w:val="none"/>
          <w:u w:val="single"/>
        </w:rPr>
        <w:t>　　　　　　　　　　　　　　　　　　　　　　　　　　　</w:t>
      </w:r>
    </w:p>
    <w:p w14:paraId="2352D447">
      <w:pPr>
        <w:snapToGrid w:val="0"/>
        <w:spacing w:line="360" w:lineRule="auto"/>
        <w:ind w:firstLine="480" w:firstLineChars="200"/>
        <w:rPr>
          <w:rFonts w:hint="eastAsia" w:ascii="宋体" w:hAnsi="宋体"/>
          <w:sz w:val="24"/>
          <w:szCs w:val="20"/>
          <w:highlight w:val="none"/>
        </w:rPr>
      </w:pPr>
      <w:r>
        <w:rPr>
          <w:rFonts w:hint="eastAsia" w:ascii="宋体" w:hAnsi="宋体"/>
          <w:sz w:val="24"/>
          <w:highlight w:val="none"/>
        </w:rPr>
        <w:t>6.以上事项如有虚假或隐瞒，我方愿意承担一切后果，并不再寻求任何旨在减轻或免除法律责任的辩解。</w:t>
      </w:r>
    </w:p>
    <w:p w14:paraId="6152ADB7">
      <w:pPr>
        <w:pStyle w:val="38"/>
        <w:snapToGrid w:val="0"/>
        <w:spacing w:line="360" w:lineRule="auto"/>
        <w:ind w:firstLine="220"/>
        <w:rPr>
          <w:rFonts w:hint="eastAsia" w:ascii="宋体" w:hAnsi="宋体"/>
          <w:highlight w:val="none"/>
        </w:rPr>
      </w:pPr>
    </w:p>
    <w:p w14:paraId="3A324C5F">
      <w:pPr>
        <w:snapToGrid w:val="0"/>
        <w:spacing w:line="360" w:lineRule="auto"/>
        <w:ind w:firstLine="200"/>
        <w:rPr>
          <w:rFonts w:hint="eastAsia" w:ascii="宋体" w:hAnsi="宋体"/>
          <w:sz w:val="24"/>
          <w:szCs w:val="20"/>
          <w:highlight w:val="none"/>
          <w:u w:val="single"/>
        </w:rPr>
      </w:pPr>
      <w:r>
        <w:rPr>
          <w:rFonts w:hint="eastAsia" w:ascii="宋体" w:hAnsi="宋体"/>
          <w:sz w:val="24"/>
          <w:highlight w:val="none"/>
        </w:rPr>
        <w:t>法定代表人签字：</w:t>
      </w:r>
    </w:p>
    <w:p w14:paraId="3ABC527E">
      <w:pPr>
        <w:snapToGrid w:val="0"/>
        <w:spacing w:line="360" w:lineRule="auto"/>
        <w:ind w:firstLine="240" w:firstLineChars="100"/>
        <w:rPr>
          <w:rFonts w:hint="eastAsia" w:ascii="宋体" w:hAnsi="宋体"/>
          <w:sz w:val="24"/>
          <w:highlight w:val="none"/>
        </w:rPr>
      </w:pPr>
      <w:r>
        <w:rPr>
          <w:rFonts w:hint="eastAsia" w:ascii="宋体" w:hAnsi="宋体"/>
          <w:sz w:val="24"/>
          <w:highlight w:val="none"/>
        </w:rPr>
        <w:t>投标人公章：</w:t>
      </w:r>
      <w:r>
        <w:rPr>
          <w:rFonts w:ascii="宋体" w:hAnsi="宋体"/>
          <w:sz w:val="24"/>
          <w:highlight w:val="none"/>
        </w:rPr>
        <w:t xml:space="preserve">                      年    月    日</w:t>
      </w:r>
    </w:p>
    <w:p w14:paraId="6B064337">
      <w:pPr>
        <w:pStyle w:val="11"/>
        <w:rPr>
          <w:highlight w:val="none"/>
        </w:rPr>
      </w:pPr>
    </w:p>
    <w:p w14:paraId="566F582F">
      <w:pPr>
        <w:pStyle w:val="39"/>
        <w:rPr>
          <w:color w:val="auto"/>
          <w:highlight w:val="none"/>
        </w:rPr>
      </w:pPr>
    </w:p>
    <w:p w14:paraId="4D5374D7">
      <w:pPr>
        <w:snapToGrid w:val="0"/>
        <w:spacing w:line="360" w:lineRule="auto"/>
        <w:rPr>
          <w:rFonts w:hint="eastAsia" w:ascii="宋体" w:hAnsi="宋体"/>
          <w:sz w:val="24"/>
          <w:szCs w:val="20"/>
          <w:highlight w:val="none"/>
        </w:rPr>
      </w:pPr>
    </w:p>
    <w:p w14:paraId="42C44503">
      <w:pPr>
        <w:snapToGrid w:val="0"/>
        <w:spacing w:line="360" w:lineRule="auto"/>
        <w:rPr>
          <w:rFonts w:hint="eastAsia" w:ascii="宋体" w:hAnsi="宋体"/>
          <w:sz w:val="24"/>
          <w:highlight w:val="none"/>
        </w:rPr>
      </w:pPr>
      <w:r>
        <w:rPr>
          <w:rFonts w:hint="eastAsia" w:ascii="宋体" w:hAnsi="宋体"/>
          <w:sz w:val="24"/>
          <w:highlight w:val="none"/>
        </w:rPr>
        <w:t>4.投标人情况介绍（格式自拟）</w:t>
      </w:r>
    </w:p>
    <w:p w14:paraId="6CF04B42">
      <w:pPr>
        <w:pStyle w:val="11"/>
        <w:rPr>
          <w:highlight w:val="none"/>
        </w:rPr>
      </w:pPr>
    </w:p>
    <w:p w14:paraId="7832C743">
      <w:pPr>
        <w:snapToGrid w:val="0"/>
        <w:spacing w:line="360" w:lineRule="auto"/>
        <w:rPr>
          <w:rFonts w:hint="eastAsia" w:ascii="宋体" w:hAnsi="宋体"/>
          <w:sz w:val="24"/>
          <w:szCs w:val="20"/>
          <w:highlight w:val="none"/>
        </w:rPr>
      </w:pPr>
      <w:r>
        <w:rPr>
          <w:rFonts w:hint="eastAsia" w:ascii="宋体" w:hAnsi="宋体"/>
          <w:sz w:val="24"/>
          <w:highlight w:val="none"/>
        </w:rPr>
        <w:t>5.法定代表人授权委托书格式：</w:t>
      </w:r>
    </w:p>
    <w:p w14:paraId="7A7ADF75">
      <w:pPr>
        <w:snapToGrid w:val="0"/>
        <w:spacing w:line="360" w:lineRule="auto"/>
        <w:jc w:val="center"/>
        <w:rPr>
          <w:rFonts w:hint="eastAsia" w:ascii="宋体" w:hAnsi="宋体"/>
          <w:b/>
          <w:sz w:val="24"/>
          <w:szCs w:val="20"/>
          <w:highlight w:val="none"/>
        </w:rPr>
      </w:pPr>
      <w:r>
        <w:rPr>
          <w:rFonts w:hint="eastAsia" w:ascii="宋体" w:hAnsi="宋体"/>
          <w:b/>
          <w:sz w:val="24"/>
          <w:highlight w:val="none"/>
        </w:rPr>
        <w:t>法定代表人授权委托书</w:t>
      </w:r>
    </w:p>
    <w:p w14:paraId="19609EEE">
      <w:pPr>
        <w:snapToGrid w:val="0"/>
        <w:spacing w:line="360" w:lineRule="auto"/>
        <w:rPr>
          <w:rFonts w:hint="eastAsia" w:ascii="宋体" w:hAnsi="宋体"/>
          <w:b/>
          <w:bCs/>
          <w:sz w:val="24"/>
          <w:szCs w:val="20"/>
          <w:highlight w:val="none"/>
        </w:rPr>
      </w:pPr>
      <w:r>
        <w:rPr>
          <w:rFonts w:hint="eastAsia" w:ascii="宋体" w:hAnsi="宋体"/>
          <w:bCs/>
          <w:sz w:val="24"/>
          <w:highlight w:val="none"/>
        </w:rPr>
        <w:t>致：</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（招标采购单位名称）：</w:t>
      </w:r>
    </w:p>
    <w:p w14:paraId="6091BF17">
      <w:pPr>
        <w:snapToGrid w:val="0"/>
        <w:spacing w:line="360" w:lineRule="auto"/>
        <w:ind w:firstLine="720" w:firstLineChars="300"/>
        <w:rPr>
          <w:rFonts w:hint="eastAsia" w:ascii="宋体" w:hAnsi="宋体"/>
          <w:sz w:val="24"/>
          <w:szCs w:val="20"/>
          <w:highlight w:val="none"/>
        </w:rPr>
      </w:pPr>
      <w:r>
        <w:rPr>
          <w:rFonts w:hint="eastAsia" w:ascii="宋体" w:hAnsi="宋体"/>
          <w:sz w:val="24"/>
          <w:highlight w:val="none"/>
        </w:rPr>
        <w:t>我</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（姓名）系</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（投标人名称）的法定代表人，现授权委托本单位在职职工（姓名）以我方的名义参加</w:t>
      </w:r>
      <w:r>
        <w:rPr>
          <w:rFonts w:hint="eastAsia" w:ascii="宋体" w:hAnsi="宋体"/>
          <w:spacing w:val="-20"/>
          <w:sz w:val="24"/>
          <w:highlight w:val="none"/>
          <w:u w:val="single"/>
        </w:rPr>
        <w:t>湖州市中心医院智慧运营管理平台项目</w:t>
      </w:r>
      <w:r>
        <w:rPr>
          <w:rFonts w:hint="eastAsia" w:ascii="宋体" w:hAnsi="宋体"/>
          <w:sz w:val="24"/>
          <w:highlight w:val="none"/>
        </w:rPr>
        <w:t>的投标活动，并代表我方全权办理针对上述项目的投标、开标、评标、签约等具体事务和签署相关文件。</w:t>
      </w:r>
    </w:p>
    <w:p w14:paraId="327C8CDC">
      <w:pPr>
        <w:snapToGrid w:val="0"/>
        <w:spacing w:line="360" w:lineRule="auto"/>
        <w:rPr>
          <w:rFonts w:hint="eastAsia" w:ascii="宋体" w:hAnsi="宋体"/>
          <w:sz w:val="24"/>
          <w:szCs w:val="20"/>
          <w:highlight w:val="none"/>
        </w:rPr>
      </w:pPr>
      <w:r>
        <w:rPr>
          <w:rFonts w:hint="eastAsia" w:ascii="宋体" w:hAnsi="宋体"/>
          <w:sz w:val="24"/>
          <w:highlight w:val="none"/>
        </w:rPr>
        <w:t>我方对被授权人的签名事项负全部责任。</w:t>
      </w:r>
    </w:p>
    <w:p w14:paraId="2ED83E52">
      <w:pPr>
        <w:snapToGrid w:val="0"/>
        <w:spacing w:line="360" w:lineRule="auto"/>
        <w:ind w:firstLine="480"/>
        <w:rPr>
          <w:rFonts w:hint="eastAsia" w:ascii="宋体" w:hAnsi="宋体"/>
          <w:sz w:val="24"/>
          <w:szCs w:val="20"/>
          <w:highlight w:val="none"/>
        </w:rPr>
      </w:pPr>
      <w:r>
        <w:rPr>
          <w:rFonts w:hint="eastAsia" w:ascii="宋体" w:hAnsi="宋体"/>
          <w:sz w:val="24"/>
          <w:highlight w:val="none"/>
          <w:u w:val="single"/>
        </w:rPr>
        <w:t>在撤销授权的书面通知以前，本授权书一直有效。</w:t>
      </w:r>
      <w:r>
        <w:rPr>
          <w:rFonts w:hint="eastAsia" w:ascii="宋体" w:hAnsi="宋体"/>
          <w:sz w:val="24"/>
          <w:highlight w:val="none"/>
        </w:rPr>
        <w:t>被授权人在授权书有效期内签署的所有文件不因授权的撤销而失效。</w:t>
      </w:r>
    </w:p>
    <w:p w14:paraId="364D1026">
      <w:pPr>
        <w:snapToGrid w:val="0"/>
        <w:spacing w:line="360" w:lineRule="auto"/>
        <w:ind w:firstLine="480"/>
        <w:rPr>
          <w:rFonts w:hint="eastAsia" w:ascii="宋体" w:hAnsi="宋体"/>
          <w:sz w:val="24"/>
          <w:szCs w:val="20"/>
          <w:highlight w:val="none"/>
        </w:rPr>
      </w:pPr>
      <w:r>
        <w:rPr>
          <w:rFonts w:hint="eastAsia" w:ascii="宋体" w:hAnsi="宋体"/>
          <w:sz w:val="24"/>
          <w:highlight w:val="none"/>
        </w:rPr>
        <w:t>被授权人无转委托权，特此委托。</w:t>
      </w:r>
    </w:p>
    <w:p w14:paraId="625F0A3B">
      <w:pPr>
        <w:snapToGrid w:val="0"/>
        <w:spacing w:line="360" w:lineRule="auto"/>
        <w:rPr>
          <w:rFonts w:hint="eastAsia" w:ascii="宋体" w:hAnsi="宋体"/>
          <w:sz w:val="24"/>
          <w:szCs w:val="20"/>
          <w:highlight w:val="none"/>
        </w:rPr>
      </w:pPr>
    </w:p>
    <w:p w14:paraId="264F366E">
      <w:pPr>
        <w:snapToGrid w:val="0"/>
        <w:spacing w:line="360" w:lineRule="auto"/>
        <w:rPr>
          <w:rFonts w:hint="eastAsia" w:ascii="宋体" w:hAnsi="宋体"/>
          <w:sz w:val="24"/>
          <w:szCs w:val="20"/>
          <w:highlight w:val="none"/>
          <w:u w:val="single"/>
        </w:rPr>
      </w:pPr>
      <w:r>
        <w:rPr>
          <w:rFonts w:hint="eastAsia" w:ascii="宋体" w:hAnsi="宋体"/>
          <w:sz w:val="24"/>
          <w:highlight w:val="none"/>
        </w:rPr>
        <w:t>被授权人签名：法定代表人签名：</w:t>
      </w:r>
    </w:p>
    <w:p w14:paraId="00E1C724">
      <w:pPr>
        <w:snapToGrid w:val="0"/>
        <w:spacing w:line="360" w:lineRule="auto"/>
        <w:ind w:firstLine="960" w:firstLineChars="400"/>
        <w:rPr>
          <w:rFonts w:hint="eastAsia" w:ascii="宋体" w:hAnsi="宋体"/>
          <w:sz w:val="24"/>
          <w:szCs w:val="20"/>
          <w:highlight w:val="none"/>
        </w:rPr>
      </w:pPr>
      <w:r>
        <w:rPr>
          <w:rFonts w:hint="eastAsia" w:ascii="宋体" w:hAnsi="宋体"/>
          <w:sz w:val="24"/>
          <w:highlight w:val="none"/>
        </w:rPr>
        <w:t>职务：职务：</w:t>
      </w:r>
    </w:p>
    <w:p w14:paraId="7B91B53C">
      <w:pPr>
        <w:snapToGrid w:val="0"/>
        <w:spacing w:line="360" w:lineRule="auto"/>
        <w:rPr>
          <w:rFonts w:hint="eastAsia" w:ascii="宋体" w:hAnsi="宋体"/>
          <w:sz w:val="24"/>
          <w:szCs w:val="20"/>
          <w:highlight w:val="none"/>
        </w:rPr>
      </w:pPr>
      <w:r>
        <w:rPr>
          <w:rFonts w:hint="eastAsia" w:ascii="宋体" w:hAnsi="宋体"/>
          <w:sz w:val="24"/>
          <w:highlight w:val="none"/>
        </w:rPr>
        <w:t>被授权人身份证号码：</w:t>
      </w:r>
    </w:p>
    <w:p w14:paraId="2576D5F6">
      <w:pPr>
        <w:snapToGrid w:val="0"/>
        <w:spacing w:line="360" w:lineRule="auto"/>
        <w:rPr>
          <w:rFonts w:hint="eastAsia" w:ascii="宋体" w:hAnsi="宋体"/>
          <w:sz w:val="24"/>
          <w:highlight w:val="none"/>
        </w:rPr>
      </w:pPr>
      <w:r>
        <w:rPr>
          <w:rFonts w:hint="eastAsia" w:ascii="宋体" w:hAnsi="宋体"/>
          <w:sz w:val="24"/>
          <w:highlight w:val="none"/>
        </w:rPr>
        <w:t>投标人公章：</w:t>
      </w:r>
    </w:p>
    <w:p w14:paraId="78C967C9">
      <w:pPr>
        <w:pStyle w:val="7"/>
        <w:spacing w:line="360" w:lineRule="auto"/>
        <w:ind w:firstLine="374" w:firstLineChars="156"/>
        <w:rPr>
          <w:rFonts w:hint="eastAsia" w:ascii="宋体" w:hAnsi="宋体"/>
          <w:sz w:val="24"/>
          <w:szCs w:val="24"/>
          <w:highlight w:val="none"/>
        </w:rPr>
      </w:pPr>
      <w:r>
        <w:rPr>
          <w:rFonts w:hint="eastAsia" w:ascii="宋体" w:hAnsi="宋体"/>
          <w:sz w:val="24"/>
          <w:szCs w:val="24"/>
          <w:highlight w:val="none"/>
        </w:rPr>
        <w:t>————————————————————-----------</w:t>
      </w:r>
    </w:p>
    <w:p w14:paraId="21EFFD15">
      <w:pPr>
        <w:pStyle w:val="7"/>
        <w:spacing w:line="360" w:lineRule="auto"/>
        <w:ind w:firstLine="374" w:firstLineChars="156"/>
        <w:jc w:val="center"/>
        <w:rPr>
          <w:rFonts w:hint="eastAsia" w:ascii="宋体" w:hAnsi="宋体"/>
          <w:sz w:val="24"/>
          <w:szCs w:val="24"/>
          <w:highlight w:val="none"/>
        </w:rPr>
      </w:pPr>
    </w:p>
    <w:p w14:paraId="31F990BE">
      <w:pPr>
        <w:pStyle w:val="7"/>
        <w:spacing w:line="360" w:lineRule="auto"/>
        <w:ind w:firstLine="374" w:firstLineChars="156"/>
        <w:jc w:val="center"/>
        <w:rPr>
          <w:rFonts w:hint="eastAsia" w:ascii="宋体" w:hAnsi="宋体"/>
          <w:sz w:val="24"/>
          <w:szCs w:val="24"/>
          <w:highlight w:val="none"/>
        </w:rPr>
      </w:pPr>
      <w:r>
        <w:rPr>
          <w:rFonts w:hint="eastAsia" w:ascii="宋体" w:hAnsi="宋体"/>
          <w:sz w:val="24"/>
          <w:szCs w:val="24"/>
          <w:highlight w:val="none"/>
        </w:rPr>
        <w:t>授权代理人有效身份证明复印件粘贴处</w:t>
      </w:r>
    </w:p>
    <w:p w14:paraId="574573F9">
      <w:pPr>
        <w:snapToGrid w:val="0"/>
        <w:spacing w:line="360" w:lineRule="auto"/>
        <w:rPr>
          <w:rFonts w:hint="eastAsia" w:ascii="宋体" w:hAnsi="宋体"/>
          <w:sz w:val="24"/>
          <w:highlight w:val="none"/>
        </w:rPr>
      </w:pPr>
    </w:p>
    <w:p w14:paraId="70C5ECED">
      <w:pPr>
        <w:snapToGrid w:val="0"/>
        <w:spacing w:line="360" w:lineRule="auto"/>
        <w:rPr>
          <w:rFonts w:hint="eastAsia" w:ascii="宋体" w:hAnsi="宋体"/>
          <w:sz w:val="24"/>
          <w:highlight w:val="none"/>
        </w:rPr>
      </w:pPr>
    </w:p>
    <w:p w14:paraId="78821ED6">
      <w:pPr>
        <w:snapToGrid w:val="0"/>
        <w:spacing w:line="360" w:lineRule="auto"/>
        <w:jc w:val="center"/>
        <w:rPr>
          <w:rFonts w:hint="eastAsia" w:ascii="宋体" w:hAnsi="宋体"/>
          <w:sz w:val="24"/>
          <w:highlight w:val="none"/>
        </w:rPr>
      </w:pPr>
      <w:r>
        <w:rPr>
          <w:rFonts w:hint="eastAsia" w:ascii="宋体" w:hAnsi="宋体"/>
          <w:sz w:val="24"/>
          <w:highlight w:val="none"/>
        </w:rPr>
        <w:t>年月日</w:t>
      </w:r>
    </w:p>
    <w:p w14:paraId="2A4C9AF9">
      <w:pPr>
        <w:snapToGrid w:val="0"/>
        <w:spacing w:before="120" w:beforeLines="50" w:after="50"/>
        <w:rPr>
          <w:sz w:val="24"/>
          <w:highlight w:val="none"/>
        </w:rPr>
      </w:pPr>
      <w:r>
        <w:rPr>
          <w:rFonts w:hint="eastAsia"/>
          <w:sz w:val="24"/>
          <w:highlight w:val="none"/>
        </w:rPr>
        <w:t>附：</w:t>
      </w:r>
      <w:r>
        <w:rPr>
          <w:sz w:val="24"/>
          <w:highlight w:val="none"/>
        </w:rPr>
        <w:t>授权代理人社保证明复印件</w:t>
      </w:r>
      <w:r>
        <w:rPr>
          <w:rFonts w:hint="eastAsia"/>
          <w:sz w:val="24"/>
          <w:highlight w:val="none"/>
        </w:rPr>
        <w:t>（</w:t>
      </w:r>
      <w:r>
        <w:rPr>
          <w:sz w:val="24"/>
          <w:highlight w:val="none"/>
        </w:rPr>
        <w:t>社保机构出具的由本单位或分公司为其缴纳的近1个月的社保证明</w:t>
      </w:r>
      <w:r>
        <w:rPr>
          <w:rFonts w:hint="eastAsia"/>
          <w:sz w:val="24"/>
          <w:highlight w:val="none"/>
        </w:rPr>
        <w:t>）</w:t>
      </w:r>
    </w:p>
    <w:p w14:paraId="7A460562">
      <w:pPr>
        <w:snapToGrid w:val="0"/>
        <w:spacing w:line="360" w:lineRule="auto"/>
        <w:rPr>
          <w:rFonts w:hint="eastAsia" w:ascii="宋体" w:hAnsi="宋体"/>
          <w:highlight w:val="none"/>
        </w:rPr>
      </w:pPr>
    </w:p>
    <w:p w14:paraId="321EC964">
      <w:pPr>
        <w:pStyle w:val="11"/>
        <w:rPr>
          <w:highlight w:val="none"/>
        </w:rPr>
      </w:pPr>
    </w:p>
    <w:p w14:paraId="5BFB522A">
      <w:pPr>
        <w:pStyle w:val="14"/>
        <w:rPr>
          <w:highlight w:val="none"/>
        </w:rPr>
      </w:pPr>
    </w:p>
    <w:p w14:paraId="0519B8DF">
      <w:pPr>
        <w:pStyle w:val="24"/>
        <w:spacing w:before="120"/>
        <w:rPr>
          <w:highlight w:val="none"/>
        </w:rPr>
      </w:pPr>
    </w:p>
    <w:p w14:paraId="0F7A0638">
      <w:pPr>
        <w:rPr>
          <w:highlight w:val="none"/>
        </w:rPr>
      </w:pPr>
    </w:p>
    <w:p w14:paraId="73DAABC5">
      <w:pPr>
        <w:rPr>
          <w:highlight w:val="none"/>
        </w:rPr>
      </w:pPr>
    </w:p>
    <w:p w14:paraId="28D8E37B">
      <w:pPr>
        <w:pStyle w:val="11"/>
        <w:rPr>
          <w:highlight w:val="none"/>
        </w:rPr>
      </w:pPr>
    </w:p>
    <w:p w14:paraId="12C56355">
      <w:pPr>
        <w:rPr>
          <w:highlight w:val="none"/>
        </w:rPr>
      </w:pPr>
    </w:p>
    <w:p w14:paraId="516D0F7A">
      <w:pPr>
        <w:pStyle w:val="11"/>
        <w:rPr>
          <w:highlight w:val="none"/>
        </w:rPr>
      </w:pPr>
    </w:p>
    <w:p w14:paraId="115C4A0D">
      <w:pPr>
        <w:rPr>
          <w:highlight w:val="none"/>
        </w:rPr>
      </w:pPr>
    </w:p>
    <w:p w14:paraId="52669E41">
      <w:pPr>
        <w:snapToGrid w:val="0"/>
        <w:spacing w:line="360" w:lineRule="auto"/>
        <w:rPr>
          <w:rFonts w:hint="eastAsia" w:ascii="宋体" w:hAnsi="宋体"/>
          <w:sz w:val="24"/>
          <w:szCs w:val="20"/>
          <w:highlight w:val="none"/>
        </w:rPr>
      </w:pPr>
      <w:r>
        <w:rPr>
          <w:rFonts w:hint="eastAsia" w:ascii="宋体" w:hAnsi="宋体"/>
          <w:sz w:val="24"/>
          <w:highlight w:val="none"/>
        </w:rPr>
        <w:t>6.近三个月依法缴纳税收和社保费的证明【税费凭证，或者依法缴纳税费或依法免缴税费的证明】</w:t>
      </w:r>
      <w:r>
        <w:rPr>
          <w:rFonts w:hint="eastAsia" w:ascii="宋体" w:hAnsi="宋体"/>
          <w:sz w:val="24"/>
          <w:szCs w:val="20"/>
          <w:highlight w:val="none"/>
        </w:rPr>
        <w:t>（格式自拟，</w:t>
      </w:r>
      <w:r>
        <w:rPr>
          <w:rFonts w:hint="eastAsia" w:ascii="宋体" w:hAnsi="宋体"/>
          <w:bCs/>
          <w:sz w:val="24"/>
          <w:highlight w:val="none"/>
        </w:rPr>
        <w:t>复印件各一份</w:t>
      </w:r>
      <w:r>
        <w:rPr>
          <w:rFonts w:hint="eastAsia" w:ascii="宋体" w:hAnsi="宋体"/>
          <w:sz w:val="24"/>
          <w:szCs w:val="20"/>
          <w:highlight w:val="none"/>
        </w:rPr>
        <w:t>），《依法纳税或依法免税证明》原件一年内均保持有效。</w:t>
      </w:r>
    </w:p>
    <w:p w14:paraId="40DD68FD">
      <w:pPr>
        <w:snapToGrid w:val="0"/>
        <w:spacing w:line="360" w:lineRule="auto"/>
        <w:rPr>
          <w:rFonts w:hint="eastAsia" w:ascii="宋体" w:hAnsi="宋体"/>
          <w:highlight w:val="none"/>
        </w:rPr>
      </w:pPr>
    </w:p>
    <w:p w14:paraId="54CC09AE">
      <w:pPr>
        <w:snapToGrid w:val="0"/>
        <w:spacing w:line="360" w:lineRule="auto"/>
        <w:rPr>
          <w:rFonts w:hint="eastAsia" w:ascii="宋体" w:hAnsi="宋体"/>
          <w:highlight w:val="none"/>
        </w:rPr>
      </w:pPr>
    </w:p>
    <w:p w14:paraId="2E656B2A">
      <w:pPr>
        <w:snapToGrid w:val="0"/>
        <w:spacing w:line="360" w:lineRule="auto"/>
        <w:rPr>
          <w:rFonts w:hint="eastAsia" w:ascii="宋体" w:hAnsi="宋体"/>
          <w:highlight w:val="none"/>
        </w:rPr>
      </w:pPr>
    </w:p>
    <w:p w14:paraId="6BC90130">
      <w:pPr>
        <w:pStyle w:val="11"/>
        <w:rPr>
          <w:highlight w:val="none"/>
        </w:rPr>
      </w:pPr>
    </w:p>
    <w:p w14:paraId="3FCC7726">
      <w:pPr>
        <w:rPr>
          <w:highlight w:val="none"/>
        </w:rPr>
      </w:pPr>
    </w:p>
    <w:p w14:paraId="0DF38186">
      <w:pPr>
        <w:snapToGrid w:val="0"/>
        <w:spacing w:line="360" w:lineRule="auto"/>
        <w:rPr>
          <w:rFonts w:hint="eastAsia" w:ascii="宋体" w:hAnsi="宋体"/>
          <w:highlight w:val="none"/>
        </w:rPr>
      </w:pPr>
    </w:p>
    <w:p w14:paraId="50D73481">
      <w:pPr>
        <w:snapToGrid w:val="0"/>
        <w:spacing w:line="360" w:lineRule="auto"/>
        <w:rPr>
          <w:highlight w:val="none"/>
          <w:u w:val="single"/>
        </w:rPr>
      </w:pPr>
      <w:r>
        <w:rPr>
          <w:rFonts w:hint="eastAsia" w:ascii="宋体" w:hAnsi="宋体"/>
          <w:sz w:val="24"/>
          <w:highlight w:val="none"/>
        </w:rPr>
        <w:t>7.有效</w:t>
      </w:r>
      <w:r>
        <w:rPr>
          <w:rFonts w:hint="eastAsia" w:ascii="宋体" w:hAnsi="宋体" w:cs="宋体"/>
          <w:sz w:val="24"/>
          <w:highlight w:val="none"/>
        </w:rPr>
        <w:t>的营业执照副本</w:t>
      </w:r>
      <w:r>
        <w:rPr>
          <w:rFonts w:hint="eastAsia" w:ascii="宋体" w:hAnsi="宋体"/>
          <w:sz w:val="24"/>
          <w:highlight w:val="none"/>
        </w:rPr>
        <w:t>复印件</w:t>
      </w:r>
    </w:p>
    <w:p w14:paraId="73B0E546">
      <w:pPr>
        <w:snapToGrid w:val="0"/>
        <w:spacing w:line="360" w:lineRule="auto"/>
        <w:jc w:val="left"/>
        <w:rPr>
          <w:rFonts w:hint="eastAsia" w:ascii="宋体" w:hAnsi="宋体"/>
          <w:sz w:val="24"/>
          <w:szCs w:val="20"/>
          <w:highlight w:val="none"/>
        </w:rPr>
      </w:pPr>
    </w:p>
    <w:p w14:paraId="33F832AC">
      <w:pPr>
        <w:snapToGrid w:val="0"/>
        <w:spacing w:line="360" w:lineRule="auto"/>
        <w:jc w:val="left"/>
        <w:rPr>
          <w:rFonts w:hint="eastAsia" w:ascii="宋体" w:hAnsi="宋体"/>
          <w:sz w:val="24"/>
          <w:highlight w:val="none"/>
        </w:rPr>
      </w:pPr>
    </w:p>
    <w:p w14:paraId="1C699D38">
      <w:pPr>
        <w:pStyle w:val="11"/>
        <w:rPr>
          <w:highlight w:val="none"/>
        </w:rPr>
      </w:pPr>
    </w:p>
    <w:p w14:paraId="0CB5C8D3">
      <w:pPr>
        <w:rPr>
          <w:highlight w:val="none"/>
        </w:rPr>
      </w:pPr>
    </w:p>
    <w:p w14:paraId="212AA9F0">
      <w:pPr>
        <w:snapToGrid w:val="0"/>
        <w:spacing w:line="360" w:lineRule="auto"/>
        <w:jc w:val="left"/>
        <w:rPr>
          <w:rFonts w:hint="eastAsia" w:ascii="宋体" w:hAnsi="宋体"/>
          <w:sz w:val="24"/>
          <w:highlight w:val="none"/>
        </w:rPr>
      </w:pPr>
    </w:p>
    <w:p w14:paraId="5281E731">
      <w:pPr>
        <w:snapToGrid w:val="0"/>
        <w:spacing w:line="360" w:lineRule="auto"/>
        <w:jc w:val="left"/>
        <w:rPr>
          <w:rFonts w:hint="eastAsia" w:ascii="宋体" w:hAnsi="宋体"/>
          <w:sz w:val="24"/>
          <w:highlight w:val="none"/>
        </w:rPr>
      </w:pPr>
    </w:p>
    <w:p w14:paraId="6AFE4170">
      <w:pPr>
        <w:snapToGrid w:val="0"/>
        <w:spacing w:line="360" w:lineRule="auto"/>
        <w:jc w:val="left"/>
        <w:rPr>
          <w:rFonts w:hint="eastAsia" w:ascii="宋体" w:hAnsi="宋体"/>
          <w:sz w:val="24"/>
          <w:highlight w:val="none"/>
        </w:rPr>
      </w:pPr>
      <w:r>
        <w:rPr>
          <w:rFonts w:hint="eastAsia" w:ascii="宋体" w:hAnsi="宋体" w:cs="宋体"/>
          <w:sz w:val="24"/>
          <w:highlight w:val="none"/>
        </w:rPr>
        <w:t>8.近二年（2022、2023年）企业的财务状况报告或银行资信证明</w:t>
      </w:r>
      <w:r>
        <w:rPr>
          <w:rFonts w:hint="eastAsia" w:ascii="宋体" w:hAnsi="宋体"/>
          <w:sz w:val="24"/>
          <w:highlight w:val="none"/>
        </w:rPr>
        <w:t>复印件</w:t>
      </w:r>
    </w:p>
    <w:p w14:paraId="26086759">
      <w:pPr>
        <w:snapToGrid w:val="0"/>
        <w:spacing w:line="360" w:lineRule="auto"/>
        <w:jc w:val="left"/>
        <w:rPr>
          <w:rFonts w:hint="eastAsia" w:ascii="宋体" w:hAnsi="宋体"/>
          <w:sz w:val="24"/>
          <w:highlight w:val="none"/>
        </w:rPr>
      </w:pPr>
    </w:p>
    <w:p w14:paraId="33A9C5B8">
      <w:pPr>
        <w:snapToGrid w:val="0"/>
        <w:spacing w:line="360" w:lineRule="auto"/>
        <w:jc w:val="left"/>
        <w:rPr>
          <w:rFonts w:hint="eastAsia" w:ascii="宋体" w:hAnsi="宋体"/>
          <w:sz w:val="24"/>
          <w:highlight w:val="none"/>
        </w:rPr>
      </w:pPr>
    </w:p>
    <w:p w14:paraId="15D2CA38">
      <w:pPr>
        <w:snapToGrid w:val="0"/>
        <w:spacing w:line="360" w:lineRule="auto"/>
        <w:jc w:val="left"/>
        <w:rPr>
          <w:rFonts w:hint="eastAsia" w:ascii="宋体" w:hAnsi="宋体"/>
          <w:sz w:val="24"/>
          <w:highlight w:val="none"/>
        </w:rPr>
      </w:pPr>
    </w:p>
    <w:p w14:paraId="24A869A8">
      <w:pPr>
        <w:snapToGrid w:val="0"/>
        <w:spacing w:line="360" w:lineRule="auto"/>
        <w:jc w:val="left"/>
        <w:rPr>
          <w:rFonts w:hint="eastAsia" w:ascii="宋体" w:hAnsi="宋体"/>
          <w:sz w:val="24"/>
          <w:highlight w:val="none"/>
        </w:rPr>
      </w:pPr>
    </w:p>
    <w:p w14:paraId="1EF50A85">
      <w:pPr>
        <w:pStyle w:val="11"/>
        <w:rPr>
          <w:highlight w:val="none"/>
        </w:rPr>
      </w:pPr>
    </w:p>
    <w:p w14:paraId="05C57022">
      <w:pPr>
        <w:snapToGrid w:val="0"/>
        <w:spacing w:line="360" w:lineRule="auto"/>
        <w:jc w:val="left"/>
        <w:rPr>
          <w:rFonts w:hint="eastAsia" w:ascii="宋体" w:hAnsi="宋体"/>
          <w:sz w:val="24"/>
          <w:highlight w:val="none"/>
        </w:rPr>
      </w:pPr>
      <w:r>
        <w:rPr>
          <w:rFonts w:hint="eastAsia" w:ascii="宋体" w:hAnsi="宋体"/>
          <w:sz w:val="24"/>
          <w:highlight w:val="none"/>
        </w:rPr>
        <w:t>9.提供自招标公告发布之日起至投标截止日内任意时间的“信用中国”网站（www.creditchina.gov.cn）、中国政府采购网（www.ccgp.gov.cn）投标人信用查询网页截图</w:t>
      </w:r>
    </w:p>
    <w:p w14:paraId="15613338">
      <w:pPr>
        <w:snapToGrid w:val="0"/>
        <w:spacing w:line="360" w:lineRule="auto"/>
        <w:jc w:val="left"/>
        <w:rPr>
          <w:rFonts w:hint="eastAsia" w:ascii="宋体" w:hAnsi="宋体"/>
          <w:sz w:val="24"/>
          <w:highlight w:val="none"/>
        </w:rPr>
      </w:pPr>
    </w:p>
    <w:p w14:paraId="6C7D6E6F">
      <w:pPr>
        <w:snapToGrid w:val="0"/>
        <w:spacing w:line="360" w:lineRule="auto"/>
        <w:jc w:val="left"/>
        <w:rPr>
          <w:rFonts w:hint="eastAsia" w:ascii="宋体" w:hAnsi="宋体"/>
          <w:sz w:val="24"/>
          <w:highlight w:val="none"/>
        </w:rPr>
      </w:pPr>
    </w:p>
    <w:p w14:paraId="464C1098">
      <w:pPr>
        <w:pStyle w:val="24"/>
        <w:spacing w:before="120"/>
        <w:rPr>
          <w:highlight w:val="none"/>
        </w:rPr>
      </w:pPr>
    </w:p>
    <w:p w14:paraId="484DDCBE">
      <w:pPr>
        <w:rPr>
          <w:highlight w:val="none"/>
        </w:rPr>
      </w:pPr>
    </w:p>
    <w:p w14:paraId="46BE3BB8">
      <w:pPr>
        <w:pStyle w:val="11"/>
        <w:rPr>
          <w:highlight w:val="none"/>
        </w:rPr>
      </w:pPr>
    </w:p>
    <w:p w14:paraId="52D9DFA0">
      <w:pPr>
        <w:snapToGrid w:val="0"/>
        <w:spacing w:line="360" w:lineRule="auto"/>
        <w:jc w:val="left"/>
        <w:rPr>
          <w:rFonts w:hint="eastAsia" w:ascii="宋体" w:hAnsi="宋体"/>
          <w:b/>
          <w:sz w:val="24"/>
          <w:highlight w:val="none"/>
        </w:rPr>
      </w:pPr>
    </w:p>
    <w:p w14:paraId="06068B2B">
      <w:pPr>
        <w:pStyle w:val="11"/>
        <w:rPr>
          <w:highlight w:val="none"/>
        </w:rPr>
      </w:pPr>
    </w:p>
    <w:p w14:paraId="13F9E86B">
      <w:pPr>
        <w:rPr>
          <w:highlight w:val="none"/>
        </w:rPr>
      </w:pPr>
    </w:p>
    <w:p w14:paraId="15F89316">
      <w:pPr>
        <w:rPr>
          <w:highlight w:val="none"/>
        </w:rPr>
      </w:pPr>
    </w:p>
    <w:p w14:paraId="21F10B10">
      <w:pPr>
        <w:pStyle w:val="11"/>
        <w:rPr>
          <w:highlight w:val="none"/>
        </w:rPr>
      </w:pPr>
    </w:p>
    <w:p w14:paraId="6BCC381C">
      <w:pPr>
        <w:snapToGrid w:val="0"/>
        <w:spacing w:line="360" w:lineRule="auto"/>
        <w:jc w:val="left"/>
        <w:rPr>
          <w:rFonts w:hint="eastAsia" w:ascii="宋体" w:hAnsi="宋体"/>
          <w:b/>
          <w:sz w:val="28"/>
          <w:szCs w:val="28"/>
          <w:highlight w:val="none"/>
        </w:rPr>
      </w:pPr>
      <w:r>
        <w:rPr>
          <w:rFonts w:hint="eastAsia" w:ascii="宋体" w:hAnsi="宋体"/>
          <w:b/>
          <w:sz w:val="24"/>
          <w:highlight w:val="none"/>
        </w:rPr>
        <w:t xml:space="preserve">10. </w:t>
      </w:r>
      <w:r>
        <w:rPr>
          <w:rFonts w:hint="eastAsia" w:ascii="宋体" w:hAnsi="宋体"/>
          <w:b/>
          <w:sz w:val="28"/>
          <w:szCs w:val="28"/>
          <w:highlight w:val="none"/>
        </w:rPr>
        <w:t>中小企业声明函</w:t>
      </w:r>
    </w:p>
    <w:p w14:paraId="0AB4A3AC">
      <w:pPr>
        <w:pStyle w:val="11"/>
        <w:rPr>
          <w:highlight w:val="none"/>
        </w:rPr>
      </w:pPr>
    </w:p>
    <w:p w14:paraId="2DEF8D40">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号）的规定，本公司参加（单位名称）的（项目名称）采购活动，工程的施工单位全部为符合政策要求的中小企业（或者：服务全部由符合政策要求的中小企业承接）。相关企业的具体情况如下：</w:t>
      </w:r>
    </w:p>
    <w:p w14:paraId="4A9E2B30">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 xml:space="preserve">1. </w:t>
      </w:r>
      <w:r>
        <w:rPr>
          <w:rFonts w:hint="eastAsia" w:ascii="宋体" w:hAnsi="宋体" w:cs="仿宋"/>
          <w:kern w:val="0"/>
          <w:sz w:val="24"/>
          <w:highlight w:val="none"/>
          <w:u w:val="single"/>
        </w:rPr>
        <w:t xml:space="preserve">（标的名称）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；承建（承接）企业为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，从业人员___人，营业收入为___万元，资产总额为___万元①，属于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14:paraId="583C81B6">
      <w:pPr>
        <w:spacing w:line="360" w:lineRule="auto"/>
        <w:ind w:firstLine="480" w:firstLineChars="200"/>
        <w:rPr>
          <w:rFonts w:hint="eastAsia" w:ascii="宋体" w:hAnsi="宋体" w:cs="仿宋"/>
          <w:kern w:val="0"/>
          <w:sz w:val="24"/>
          <w:highlight w:val="none"/>
        </w:rPr>
      </w:pPr>
    </w:p>
    <w:p w14:paraId="4B03E156">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w:t>
      </w:r>
    </w:p>
    <w:p w14:paraId="4F89F6DC">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以上企业，不属于大企业的分支机构，不存在控股股东为大企业的情形，也不存在与大企业的负责人为同一人的情形。</w:t>
      </w:r>
    </w:p>
    <w:p w14:paraId="711B81CD">
      <w:pPr>
        <w:spacing w:line="360" w:lineRule="auto"/>
        <w:ind w:firstLine="480" w:firstLineChars="200"/>
        <w:rPr>
          <w:rFonts w:hint="eastAsia" w:ascii="宋体" w:hAnsi="宋体" w:cs="仿宋"/>
          <w:kern w:val="0"/>
          <w:sz w:val="24"/>
          <w:highlight w:val="none"/>
        </w:rPr>
      </w:pPr>
      <w:r>
        <w:rPr>
          <w:rFonts w:hint="eastAsia" w:ascii="宋体" w:hAnsi="宋体" w:cs="仿宋"/>
          <w:kern w:val="0"/>
          <w:sz w:val="24"/>
          <w:highlight w:val="none"/>
        </w:rPr>
        <w:t>本企业对上述声明内容的真实性负责。如有虚假，将依法承担相应责任。</w:t>
      </w:r>
    </w:p>
    <w:p w14:paraId="6BC8E0FA">
      <w:pPr>
        <w:spacing w:line="360" w:lineRule="auto"/>
        <w:ind w:firstLine="5640" w:firstLineChars="2350"/>
        <w:rPr>
          <w:rFonts w:hint="eastAsia" w:ascii="宋体" w:hAnsi="宋体" w:cs="仿宋"/>
          <w:kern w:val="0"/>
          <w:sz w:val="24"/>
          <w:highlight w:val="none"/>
        </w:rPr>
      </w:pPr>
      <w:r>
        <w:rPr>
          <w:rFonts w:hint="eastAsia" w:ascii="宋体" w:hAnsi="宋体" w:cs="仿宋"/>
          <w:kern w:val="0"/>
          <w:sz w:val="24"/>
          <w:highlight w:val="none"/>
        </w:rPr>
        <w:t>企业名称（盖章）：</w:t>
      </w:r>
    </w:p>
    <w:p w14:paraId="0995E0E2">
      <w:pPr>
        <w:spacing w:line="360" w:lineRule="auto"/>
        <w:ind w:firstLine="5640" w:firstLineChars="2350"/>
        <w:rPr>
          <w:rFonts w:hint="eastAsia" w:ascii="宋体" w:hAnsi="宋体" w:cs="仿宋"/>
          <w:kern w:val="0"/>
          <w:sz w:val="24"/>
          <w:highlight w:val="none"/>
        </w:rPr>
      </w:pPr>
      <w:r>
        <w:rPr>
          <w:rFonts w:hint="eastAsia" w:ascii="宋体" w:hAnsi="宋体" w:cs="仿宋"/>
          <w:kern w:val="0"/>
          <w:sz w:val="24"/>
          <w:highlight w:val="none"/>
        </w:rPr>
        <w:t>日期：</w:t>
      </w:r>
    </w:p>
    <w:p w14:paraId="418FC842">
      <w:pPr>
        <w:spacing w:line="360" w:lineRule="auto"/>
        <w:ind w:firstLine="5640" w:firstLineChars="2350"/>
        <w:rPr>
          <w:rFonts w:hint="eastAsia" w:ascii="宋体" w:hAnsi="宋体" w:cs="仿宋"/>
          <w:kern w:val="0"/>
          <w:sz w:val="24"/>
          <w:highlight w:val="none"/>
        </w:rPr>
      </w:pPr>
    </w:p>
    <w:p w14:paraId="1CE86ED7">
      <w:pPr>
        <w:spacing w:line="360" w:lineRule="auto"/>
        <w:ind w:firstLine="5640" w:firstLineChars="2350"/>
        <w:rPr>
          <w:rFonts w:hint="eastAsia" w:ascii="宋体" w:hAnsi="宋体"/>
          <w:bCs/>
          <w:sz w:val="24"/>
          <w:highlight w:val="none"/>
        </w:rPr>
      </w:pPr>
    </w:p>
    <w:p w14:paraId="19031D04">
      <w:pPr>
        <w:numPr>
          <w:ilvl w:val="0"/>
          <w:numId w:val="6"/>
        </w:numPr>
        <w:snapToGrid w:val="0"/>
        <w:spacing w:before="50" w:after="50" w:line="360" w:lineRule="auto"/>
        <w:jc w:val="left"/>
        <w:rPr>
          <w:rFonts w:hint="eastAsia" w:ascii="宋体" w:hAnsi="宋体" w:cs="仿宋"/>
          <w:sz w:val="24"/>
          <w:highlight w:val="none"/>
        </w:rPr>
      </w:pPr>
      <w:r>
        <w:rPr>
          <w:rFonts w:hint="eastAsia" w:ascii="宋体" w:cs="宋体"/>
          <w:kern w:val="0"/>
          <w:sz w:val="18"/>
          <w:szCs w:val="18"/>
          <w:highlight w:val="none"/>
        </w:rPr>
        <w:t>注从业人员、营业收入、资产总额填报上一年度数据，无上一年度数据的新成立企业可不填报。</w:t>
      </w:r>
    </w:p>
    <w:p w14:paraId="35279674">
      <w:pPr>
        <w:spacing w:line="360" w:lineRule="auto"/>
        <w:ind w:firstLine="5600" w:firstLineChars="2000"/>
        <w:rPr>
          <w:rFonts w:hint="eastAsia" w:ascii="宋体" w:hAnsi="宋体"/>
          <w:sz w:val="28"/>
          <w:szCs w:val="28"/>
          <w:highlight w:val="none"/>
        </w:rPr>
      </w:pPr>
    </w:p>
    <w:p w14:paraId="3BF114BC">
      <w:pPr>
        <w:snapToGrid w:val="0"/>
        <w:spacing w:line="360" w:lineRule="auto"/>
        <w:jc w:val="left"/>
        <w:rPr>
          <w:rFonts w:hint="eastAsia" w:ascii="宋体" w:hAnsi="宋体"/>
          <w:sz w:val="28"/>
          <w:szCs w:val="28"/>
          <w:highlight w:val="none"/>
        </w:rPr>
      </w:pPr>
    </w:p>
    <w:p w14:paraId="113874B3">
      <w:pPr>
        <w:widowControl/>
        <w:jc w:val="left"/>
        <w:rPr>
          <w:rFonts w:hint="eastAsia" w:ascii="宋体" w:hAnsi="宋体" w:cs="宋体"/>
          <w:sz w:val="24"/>
          <w:szCs w:val="20"/>
          <w:highlight w:val="none"/>
        </w:rPr>
      </w:pPr>
    </w:p>
    <w:p w14:paraId="20075635">
      <w:pPr>
        <w:spacing w:line="360" w:lineRule="auto"/>
        <w:jc w:val="left"/>
        <w:outlineLvl w:val="1"/>
        <w:rPr>
          <w:rFonts w:hint="eastAsia" w:ascii="宋体" w:hAnsi="宋体" w:cs="宋体"/>
          <w:highlight w:val="none"/>
        </w:rPr>
      </w:pPr>
      <w:r>
        <w:rPr>
          <w:rFonts w:hint="eastAsia" w:hAnsi="宋体" w:cs="宋体"/>
          <w:sz w:val="24"/>
          <w:highlight w:val="none"/>
          <w:u w:val="single"/>
        </w:rPr>
        <w:t>此表必须如实填写，不能留有空格。</w:t>
      </w:r>
    </w:p>
    <w:p w14:paraId="51628B5F">
      <w:pPr>
        <w:rPr>
          <w:rFonts w:hint="eastAsia" w:ascii="宋体" w:hAnsi="宋体" w:cs="宋体"/>
          <w:highlight w:val="none"/>
        </w:rPr>
      </w:pPr>
    </w:p>
    <w:p w14:paraId="4276F2BA">
      <w:pPr>
        <w:pStyle w:val="41"/>
        <w:ind w:left="402" w:hanging="402"/>
        <w:rPr>
          <w:highlight w:val="none"/>
        </w:rPr>
      </w:pPr>
    </w:p>
    <w:p w14:paraId="4DE36BF2">
      <w:pPr>
        <w:pStyle w:val="41"/>
        <w:ind w:left="402" w:hanging="402"/>
        <w:rPr>
          <w:highlight w:val="none"/>
        </w:rPr>
      </w:pPr>
    </w:p>
    <w:p w14:paraId="66904017">
      <w:pPr>
        <w:pStyle w:val="41"/>
        <w:ind w:left="402" w:hanging="402"/>
        <w:rPr>
          <w:highlight w:val="none"/>
        </w:rPr>
      </w:pPr>
    </w:p>
    <w:p w14:paraId="28976ABD">
      <w:pPr>
        <w:pStyle w:val="41"/>
        <w:ind w:left="402" w:hanging="402"/>
        <w:rPr>
          <w:highlight w:val="none"/>
        </w:rPr>
      </w:pPr>
    </w:p>
    <w:p w14:paraId="2511F120">
      <w:pPr>
        <w:pStyle w:val="41"/>
        <w:ind w:left="402" w:hanging="402"/>
        <w:rPr>
          <w:highlight w:val="none"/>
        </w:rPr>
      </w:pPr>
    </w:p>
    <w:p w14:paraId="1BA335D6">
      <w:pPr>
        <w:pStyle w:val="41"/>
        <w:ind w:left="402" w:hanging="402"/>
        <w:rPr>
          <w:highlight w:val="none"/>
        </w:rPr>
      </w:pPr>
    </w:p>
    <w:p w14:paraId="6BAE5A54">
      <w:pPr>
        <w:pStyle w:val="41"/>
        <w:ind w:left="402" w:hanging="402"/>
        <w:rPr>
          <w:highlight w:val="none"/>
        </w:rPr>
      </w:pPr>
    </w:p>
    <w:p w14:paraId="1D6180C4">
      <w:pPr>
        <w:pStyle w:val="41"/>
        <w:ind w:left="402" w:hanging="402"/>
        <w:rPr>
          <w:highlight w:val="none"/>
        </w:rPr>
      </w:pPr>
    </w:p>
    <w:p w14:paraId="22571F5B">
      <w:pPr>
        <w:pStyle w:val="41"/>
        <w:ind w:left="402" w:hanging="402"/>
        <w:rPr>
          <w:highlight w:val="none"/>
        </w:rPr>
      </w:pPr>
    </w:p>
    <w:p w14:paraId="21091775">
      <w:pPr>
        <w:pStyle w:val="41"/>
        <w:ind w:left="402" w:hanging="402"/>
        <w:rPr>
          <w:highlight w:val="none"/>
        </w:rPr>
      </w:pPr>
    </w:p>
    <w:p w14:paraId="3F058B41">
      <w:pPr>
        <w:spacing w:line="588" w:lineRule="exact"/>
        <w:jc w:val="center"/>
        <w:rPr>
          <w:rFonts w:hint="eastAsia" w:ascii="宋体" w:hAnsi="宋体"/>
          <w:b/>
          <w:bCs/>
          <w:sz w:val="30"/>
          <w:highlight w:val="none"/>
        </w:rPr>
      </w:pPr>
      <w:r>
        <w:rPr>
          <w:rFonts w:hint="eastAsia" w:ascii="宋体" w:hAnsi="宋体"/>
          <w:b/>
          <w:bCs/>
          <w:sz w:val="30"/>
          <w:highlight w:val="none"/>
        </w:rPr>
        <w:t>残疾人福利性单位声明函</w:t>
      </w:r>
    </w:p>
    <w:p w14:paraId="4EB9692A">
      <w:pPr>
        <w:spacing w:line="588" w:lineRule="exact"/>
        <w:jc w:val="center"/>
        <w:rPr>
          <w:rFonts w:hint="eastAsia" w:ascii="宋体" w:hAnsi="宋体"/>
          <w:b/>
          <w:spacing w:val="6"/>
          <w:sz w:val="24"/>
          <w:highlight w:val="none"/>
        </w:rPr>
      </w:pPr>
    </w:p>
    <w:p w14:paraId="561FDE37">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494C64">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本单位对上述声明的真实性负责。如有虚假，将依法承担相应责任。</w:t>
      </w:r>
    </w:p>
    <w:p w14:paraId="2E4F8106">
      <w:pPr>
        <w:snapToGrid w:val="0"/>
        <w:spacing w:line="360" w:lineRule="auto"/>
        <w:ind w:firstLine="480" w:firstLineChars="200"/>
        <w:rPr>
          <w:rFonts w:hint="eastAsia" w:ascii="宋体" w:hAnsi="宋体"/>
          <w:sz w:val="24"/>
          <w:highlight w:val="none"/>
        </w:rPr>
      </w:pPr>
    </w:p>
    <w:p w14:paraId="7650C0DA">
      <w:pPr>
        <w:spacing w:line="588" w:lineRule="exact"/>
        <w:ind w:firstLine="504" w:firstLineChars="200"/>
        <w:rPr>
          <w:rFonts w:hint="eastAsia" w:ascii="宋体" w:hAnsi="宋体"/>
          <w:spacing w:val="6"/>
          <w:sz w:val="24"/>
          <w:highlight w:val="none"/>
        </w:rPr>
      </w:pPr>
    </w:p>
    <w:p w14:paraId="58E80599">
      <w:pPr>
        <w:snapToGrid w:val="0"/>
        <w:spacing w:line="360" w:lineRule="auto"/>
        <w:ind w:firstLine="480" w:firstLineChars="200"/>
        <w:jc w:val="right"/>
        <w:rPr>
          <w:rFonts w:hint="eastAsia" w:ascii="宋体" w:hAnsi="宋体"/>
          <w:sz w:val="24"/>
          <w:highlight w:val="none"/>
        </w:rPr>
      </w:pPr>
      <w:r>
        <w:rPr>
          <w:rFonts w:hint="eastAsia" w:ascii="宋体" w:hAnsi="宋体"/>
          <w:sz w:val="24"/>
          <w:highlight w:val="none"/>
        </w:rPr>
        <w:t xml:space="preserve">      单位名称（盖章）：</w:t>
      </w:r>
    </w:p>
    <w:p w14:paraId="07E5F894">
      <w:pPr>
        <w:snapToGrid w:val="0"/>
        <w:spacing w:line="360" w:lineRule="auto"/>
        <w:ind w:firstLine="480" w:firstLineChars="200"/>
        <w:jc w:val="right"/>
        <w:rPr>
          <w:rFonts w:hint="eastAsia" w:ascii="宋体" w:hAnsi="宋体"/>
          <w:sz w:val="24"/>
          <w:highlight w:val="none"/>
        </w:rPr>
      </w:pPr>
      <w:r>
        <w:rPr>
          <w:rFonts w:hint="eastAsia" w:ascii="宋体" w:hAnsi="宋体"/>
          <w:sz w:val="24"/>
          <w:highlight w:val="none"/>
        </w:rPr>
        <w:t xml:space="preserve">       日  期：</w:t>
      </w:r>
    </w:p>
    <w:p w14:paraId="337E0F6D">
      <w:pPr>
        <w:rPr>
          <w:rFonts w:hint="eastAsia" w:ascii="宋体" w:hAnsi="宋体"/>
          <w:sz w:val="24"/>
          <w:highlight w:val="none"/>
        </w:rPr>
      </w:pPr>
    </w:p>
    <w:p w14:paraId="52382D20">
      <w:pPr>
        <w:rPr>
          <w:rFonts w:hint="eastAsia" w:ascii="宋体" w:hAnsi="宋体"/>
          <w:sz w:val="24"/>
          <w:highlight w:val="none"/>
        </w:rPr>
      </w:pPr>
    </w:p>
    <w:p w14:paraId="51A27605">
      <w:pPr>
        <w:pStyle w:val="7"/>
        <w:spacing w:line="500" w:lineRule="exact"/>
        <w:ind w:firstLine="0"/>
        <w:rPr>
          <w:rFonts w:hint="eastAsia" w:ascii="宋体" w:hAnsi="宋体"/>
          <w:szCs w:val="24"/>
          <w:highlight w:val="none"/>
        </w:rPr>
      </w:pPr>
    </w:p>
    <w:p w14:paraId="06D0BF11">
      <w:pPr>
        <w:pStyle w:val="7"/>
        <w:spacing w:line="500" w:lineRule="exact"/>
        <w:ind w:firstLine="0"/>
        <w:rPr>
          <w:rFonts w:hint="eastAsia" w:ascii="宋体" w:hAnsi="宋体"/>
          <w:szCs w:val="24"/>
          <w:highlight w:val="none"/>
        </w:rPr>
      </w:pPr>
    </w:p>
    <w:p w14:paraId="7C981109">
      <w:pPr>
        <w:snapToGrid w:val="0"/>
        <w:spacing w:before="50"/>
        <w:jc w:val="center"/>
        <w:rPr>
          <w:rFonts w:hint="eastAsia" w:ascii="宋体" w:hAnsi="宋体"/>
          <w:b/>
          <w:spacing w:val="40"/>
          <w:kern w:val="0"/>
          <w:sz w:val="24"/>
          <w:highlight w:val="none"/>
        </w:rPr>
      </w:pPr>
    </w:p>
    <w:p w14:paraId="265CBFBF">
      <w:pPr>
        <w:snapToGrid w:val="0"/>
        <w:spacing w:before="50"/>
        <w:rPr>
          <w:rFonts w:hint="eastAsia" w:ascii="宋体" w:hAnsi="宋体"/>
          <w:b/>
          <w:spacing w:val="40"/>
          <w:kern w:val="0"/>
          <w:sz w:val="24"/>
          <w:highlight w:val="none"/>
        </w:rPr>
      </w:pPr>
      <w:r>
        <w:rPr>
          <w:rFonts w:hint="eastAsia" w:ascii="宋体" w:hAnsi="宋体"/>
          <w:sz w:val="24"/>
          <w:highlight w:val="none"/>
          <w:u w:val="single"/>
        </w:rPr>
        <w:t>注：若不是残疾人福利性单位，请勿填写此表。</w:t>
      </w:r>
    </w:p>
    <w:p w14:paraId="7C0959A6">
      <w:pPr>
        <w:rPr>
          <w:rFonts w:hint="eastAsia" w:ascii="宋体" w:hAnsi="宋体"/>
          <w:sz w:val="24"/>
          <w:highlight w:val="none"/>
        </w:rPr>
      </w:pPr>
    </w:p>
    <w:p w14:paraId="6A238318">
      <w:pPr>
        <w:pStyle w:val="21"/>
        <w:rPr>
          <w:highlight w:val="none"/>
        </w:rPr>
      </w:pPr>
    </w:p>
    <w:p w14:paraId="47AF7F0E">
      <w:pPr>
        <w:pStyle w:val="21"/>
        <w:rPr>
          <w:highlight w:val="none"/>
        </w:rPr>
      </w:pPr>
    </w:p>
    <w:p w14:paraId="68429F31">
      <w:pPr>
        <w:pStyle w:val="21"/>
        <w:rPr>
          <w:highlight w:val="none"/>
        </w:rPr>
      </w:pPr>
    </w:p>
    <w:p w14:paraId="49BCAF98">
      <w:pPr>
        <w:pStyle w:val="21"/>
        <w:rPr>
          <w:highlight w:val="none"/>
        </w:rPr>
      </w:pPr>
    </w:p>
    <w:p w14:paraId="59215D56">
      <w:pPr>
        <w:pStyle w:val="21"/>
        <w:rPr>
          <w:highlight w:val="none"/>
        </w:rPr>
      </w:pPr>
    </w:p>
    <w:p w14:paraId="035F678A">
      <w:pPr>
        <w:pStyle w:val="21"/>
        <w:rPr>
          <w:highlight w:val="none"/>
        </w:rPr>
      </w:pPr>
    </w:p>
    <w:p w14:paraId="48D3E5A8">
      <w:pPr>
        <w:rPr>
          <w:highlight w:val="none"/>
        </w:rPr>
      </w:pPr>
    </w:p>
    <w:p w14:paraId="5618CAAF">
      <w:pPr>
        <w:pStyle w:val="24"/>
        <w:spacing w:before="120"/>
        <w:rPr>
          <w:highlight w:val="none"/>
        </w:rPr>
      </w:pPr>
    </w:p>
    <w:p w14:paraId="7F7263C8">
      <w:pPr>
        <w:pStyle w:val="40"/>
        <w:rPr>
          <w:highlight w:val="none"/>
        </w:rPr>
      </w:pPr>
    </w:p>
    <w:p w14:paraId="7085449B">
      <w:pPr>
        <w:rPr>
          <w:highlight w:val="none"/>
        </w:rPr>
      </w:pPr>
    </w:p>
    <w:p w14:paraId="7FF35AD1">
      <w:pPr>
        <w:widowControl/>
        <w:spacing w:line="360" w:lineRule="auto"/>
        <w:ind w:right="60"/>
        <w:rPr>
          <w:rFonts w:hint="eastAsia" w:ascii="宋体" w:hAnsi="宋体" w:cs="仿宋"/>
          <w:sz w:val="24"/>
          <w:highlight w:val="none"/>
        </w:rPr>
      </w:pPr>
      <w:r>
        <w:rPr>
          <w:rFonts w:hint="eastAsia" w:ascii="宋体" w:hAnsi="宋体" w:cs="Arial"/>
          <w:kern w:val="0"/>
          <w:sz w:val="24"/>
          <w:highlight w:val="none"/>
        </w:rPr>
        <w:t>11.</w:t>
      </w:r>
      <w:r>
        <w:rPr>
          <w:rFonts w:hint="eastAsia" w:ascii="宋体" w:hAnsi="宋体" w:cs="仿宋"/>
          <w:sz w:val="24"/>
          <w:highlight w:val="none"/>
        </w:rPr>
        <w:t>联合体各方共同招标协议（如有，格式自拟）</w:t>
      </w:r>
    </w:p>
    <w:p w14:paraId="39CFD527">
      <w:pPr>
        <w:ind w:firstLine="5140" w:firstLineChars="1600"/>
        <w:rPr>
          <w:rFonts w:hint="eastAsia" w:ascii="仿宋" w:hAnsi="仿宋" w:eastAsia="仿宋" w:cs="仿宋"/>
          <w:b/>
          <w:color w:val="000000"/>
          <w:kern w:val="0"/>
          <w:sz w:val="32"/>
          <w:szCs w:val="32"/>
          <w:highlight w:val="none"/>
        </w:rPr>
      </w:pPr>
    </w:p>
    <w:p w14:paraId="2FF7AC52">
      <w:pPr>
        <w:ind w:firstLine="5140" w:firstLineChars="1600"/>
        <w:rPr>
          <w:rFonts w:hint="eastAsia" w:ascii="仿宋" w:hAnsi="仿宋" w:eastAsia="仿宋" w:cs="仿宋"/>
          <w:b/>
          <w:color w:val="000000"/>
          <w:kern w:val="0"/>
          <w:sz w:val="32"/>
          <w:szCs w:val="32"/>
          <w:highlight w:val="none"/>
        </w:rPr>
      </w:pPr>
    </w:p>
    <w:p w14:paraId="4E38D60E">
      <w:pPr>
        <w:pStyle w:val="11"/>
        <w:rPr>
          <w:highlight w:val="none"/>
        </w:rPr>
      </w:pPr>
    </w:p>
    <w:p w14:paraId="2B3848E2">
      <w:pPr>
        <w:rPr>
          <w:highlight w:val="none"/>
        </w:rPr>
      </w:pPr>
    </w:p>
    <w:p w14:paraId="1CDAE42C">
      <w:pPr>
        <w:pStyle w:val="11"/>
        <w:rPr>
          <w:highlight w:val="none"/>
        </w:rPr>
      </w:pPr>
    </w:p>
    <w:p w14:paraId="343381A3">
      <w:pPr>
        <w:snapToGrid w:val="0"/>
        <w:spacing w:line="360" w:lineRule="auto"/>
        <w:jc w:val="center"/>
        <w:outlineLvl w:val="1"/>
        <w:rPr>
          <w:rFonts w:hint="eastAsia" w:ascii="宋体" w:hAnsi="宋体"/>
          <w:b/>
          <w:bCs/>
          <w:sz w:val="24"/>
          <w:highlight w:val="none"/>
        </w:rPr>
      </w:pPr>
      <w:r>
        <w:rPr>
          <w:rFonts w:hint="eastAsia" w:ascii="宋体" w:hAnsi="宋体"/>
          <w:b/>
          <w:bCs/>
          <w:sz w:val="24"/>
          <w:highlight w:val="none"/>
        </w:rPr>
        <w:t>二、技术/资信/商务文件格式</w:t>
      </w:r>
    </w:p>
    <w:p w14:paraId="31B8BAF5">
      <w:pPr>
        <w:snapToGrid w:val="0"/>
        <w:spacing w:line="360" w:lineRule="auto"/>
        <w:jc w:val="center"/>
        <w:rPr>
          <w:rFonts w:hint="eastAsia" w:ascii="宋体" w:hAnsi="宋体"/>
          <w:sz w:val="24"/>
          <w:szCs w:val="20"/>
          <w:highlight w:val="none"/>
        </w:rPr>
      </w:pPr>
    </w:p>
    <w:p w14:paraId="742CD92D">
      <w:pPr>
        <w:snapToGrid w:val="0"/>
        <w:spacing w:line="360" w:lineRule="auto"/>
        <w:rPr>
          <w:rFonts w:hint="eastAsia" w:ascii="宋体" w:hAnsi="宋体"/>
          <w:sz w:val="24"/>
          <w:szCs w:val="20"/>
          <w:highlight w:val="none"/>
        </w:rPr>
      </w:pPr>
      <w:r>
        <w:rPr>
          <w:rFonts w:hint="eastAsia" w:ascii="宋体" w:hAnsi="宋体"/>
          <w:sz w:val="24"/>
          <w:highlight w:val="none"/>
        </w:rPr>
        <w:t>12.技术/资信/商务文件封面格式：</w:t>
      </w:r>
    </w:p>
    <w:p w14:paraId="2B77E8D2">
      <w:pPr>
        <w:snapToGrid w:val="0"/>
        <w:spacing w:line="360" w:lineRule="auto"/>
        <w:jc w:val="center"/>
        <w:rPr>
          <w:rFonts w:hint="eastAsia" w:ascii="宋体" w:hAnsi="宋体"/>
          <w:bCs/>
          <w:sz w:val="24"/>
          <w:szCs w:val="20"/>
          <w:highlight w:val="none"/>
        </w:rPr>
      </w:pPr>
    </w:p>
    <w:p w14:paraId="325061F9">
      <w:pPr>
        <w:snapToGrid w:val="0"/>
        <w:spacing w:line="360" w:lineRule="auto"/>
        <w:jc w:val="center"/>
        <w:rPr>
          <w:rFonts w:hint="eastAsia" w:ascii="宋体" w:hAnsi="宋体"/>
          <w:bCs/>
          <w:sz w:val="24"/>
          <w:szCs w:val="20"/>
          <w:highlight w:val="none"/>
        </w:rPr>
      </w:pPr>
      <w:r>
        <w:rPr>
          <w:rFonts w:hint="eastAsia" w:ascii="宋体" w:hAnsi="宋体"/>
          <w:bCs/>
          <w:sz w:val="24"/>
          <w:highlight w:val="none"/>
        </w:rPr>
        <w:t>技术/资信/商务文件</w:t>
      </w:r>
    </w:p>
    <w:p w14:paraId="3320FFBA">
      <w:pPr>
        <w:snapToGrid w:val="0"/>
        <w:spacing w:line="360" w:lineRule="auto"/>
        <w:rPr>
          <w:rFonts w:hint="eastAsia" w:ascii="宋体" w:hAnsi="宋体"/>
          <w:bCs/>
          <w:sz w:val="24"/>
          <w:szCs w:val="20"/>
          <w:highlight w:val="none"/>
        </w:rPr>
      </w:pPr>
    </w:p>
    <w:p w14:paraId="52499F9F">
      <w:pPr>
        <w:snapToGrid w:val="0"/>
        <w:spacing w:line="360" w:lineRule="auto"/>
        <w:ind w:left="1918" w:leftChars="456" w:hanging="960" w:hangingChars="400"/>
        <w:rPr>
          <w:rFonts w:hint="eastAsia" w:ascii="宋体" w:hAnsi="宋体"/>
          <w:bCs/>
          <w:sz w:val="24"/>
          <w:szCs w:val="20"/>
          <w:highlight w:val="none"/>
        </w:rPr>
      </w:pPr>
      <w:r>
        <w:rPr>
          <w:rFonts w:hint="eastAsia" w:ascii="宋体" w:hAnsi="宋体"/>
          <w:bCs/>
          <w:sz w:val="24"/>
          <w:highlight w:val="none"/>
        </w:rPr>
        <w:t>项目名称：</w:t>
      </w:r>
      <w:r>
        <w:rPr>
          <w:rFonts w:hint="eastAsia" w:ascii="宋体" w:hAnsi="宋体"/>
          <w:spacing w:val="-20"/>
          <w:sz w:val="24"/>
          <w:highlight w:val="none"/>
        </w:rPr>
        <w:t>湖州市中心医院智慧运营管理平台项目</w:t>
      </w:r>
    </w:p>
    <w:p w14:paraId="4841F13D">
      <w:pPr>
        <w:snapToGrid w:val="0"/>
        <w:spacing w:line="360" w:lineRule="auto"/>
        <w:ind w:firstLine="960" w:firstLineChars="400"/>
        <w:rPr>
          <w:rFonts w:hint="eastAsia" w:ascii="宋体" w:hAnsi="宋体" w:eastAsia="宋体"/>
          <w:bCs/>
          <w:sz w:val="24"/>
          <w:szCs w:val="20"/>
          <w:highlight w:val="none"/>
          <w:lang w:eastAsia="zh-CN"/>
        </w:rPr>
      </w:pPr>
      <w:r>
        <w:rPr>
          <w:rFonts w:hint="eastAsia" w:ascii="宋体" w:hAnsi="宋体"/>
          <w:bCs/>
          <w:sz w:val="24"/>
          <w:highlight w:val="none"/>
        </w:rPr>
        <w:t>项目编号：</w:t>
      </w:r>
      <w:r>
        <w:rPr>
          <w:rFonts w:hint="eastAsia" w:ascii="宋体" w:hAnsi="宋体"/>
          <w:sz w:val="24"/>
          <w:highlight w:val="none"/>
          <w:lang w:eastAsia="zh-CN"/>
        </w:rPr>
        <w:t>HYHZ2025-25</w:t>
      </w:r>
    </w:p>
    <w:p w14:paraId="7E83E861">
      <w:pPr>
        <w:pStyle w:val="7"/>
        <w:snapToGrid w:val="0"/>
        <w:spacing w:line="360" w:lineRule="auto"/>
        <w:ind w:firstLine="998" w:firstLineChars="416"/>
        <w:rPr>
          <w:rFonts w:hint="eastAsia" w:ascii="宋体" w:hAnsi="宋体"/>
          <w:bCs/>
          <w:sz w:val="24"/>
          <w:szCs w:val="24"/>
          <w:highlight w:val="none"/>
        </w:rPr>
      </w:pPr>
      <w:r>
        <w:rPr>
          <w:rFonts w:hint="eastAsia" w:ascii="宋体" w:hAnsi="宋体"/>
          <w:bCs/>
          <w:sz w:val="24"/>
          <w:szCs w:val="24"/>
          <w:highlight w:val="none"/>
        </w:rPr>
        <w:t>投标人名称：</w:t>
      </w:r>
    </w:p>
    <w:p w14:paraId="73E96A3E">
      <w:pPr>
        <w:pStyle w:val="7"/>
        <w:snapToGrid w:val="0"/>
        <w:spacing w:line="360" w:lineRule="auto"/>
        <w:ind w:firstLine="998" w:firstLineChars="416"/>
        <w:rPr>
          <w:rFonts w:hint="eastAsia" w:ascii="宋体" w:hAnsi="宋体"/>
          <w:bCs/>
          <w:sz w:val="24"/>
          <w:szCs w:val="24"/>
          <w:highlight w:val="none"/>
        </w:rPr>
      </w:pPr>
      <w:r>
        <w:rPr>
          <w:rFonts w:hint="eastAsia" w:ascii="宋体" w:hAnsi="宋体"/>
          <w:bCs/>
          <w:sz w:val="24"/>
          <w:szCs w:val="24"/>
          <w:highlight w:val="none"/>
        </w:rPr>
        <w:t>投标人地址：</w:t>
      </w:r>
    </w:p>
    <w:p w14:paraId="48A0CEB7">
      <w:pPr>
        <w:snapToGrid w:val="0"/>
        <w:spacing w:line="360" w:lineRule="auto"/>
        <w:ind w:firstLine="645"/>
        <w:jc w:val="center"/>
        <w:rPr>
          <w:rFonts w:hint="eastAsia" w:ascii="宋体" w:hAnsi="宋体"/>
          <w:sz w:val="24"/>
          <w:highlight w:val="none"/>
        </w:rPr>
      </w:pPr>
      <w:r>
        <w:rPr>
          <w:rFonts w:hint="eastAsia" w:ascii="宋体" w:hAnsi="宋体"/>
          <w:sz w:val="24"/>
          <w:highlight w:val="none"/>
        </w:rPr>
        <w:t>年月日</w:t>
      </w:r>
    </w:p>
    <w:p w14:paraId="7249193B">
      <w:pPr>
        <w:snapToGrid w:val="0"/>
        <w:spacing w:line="360" w:lineRule="auto"/>
        <w:ind w:firstLine="645"/>
        <w:jc w:val="center"/>
        <w:rPr>
          <w:rFonts w:hint="eastAsia" w:ascii="宋体" w:hAnsi="宋体"/>
          <w:sz w:val="24"/>
          <w:highlight w:val="none"/>
        </w:rPr>
      </w:pPr>
    </w:p>
    <w:p w14:paraId="48E4320F">
      <w:pPr>
        <w:snapToGrid w:val="0"/>
        <w:spacing w:line="360" w:lineRule="auto"/>
        <w:rPr>
          <w:rFonts w:hint="eastAsia" w:ascii="宋体" w:hAnsi="宋体"/>
          <w:sz w:val="24"/>
          <w:highlight w:val="none"/>
        </w:rPr>
      </w:pPr>
      <w:r>
        <w:rPr>
          <w:rFonts w:hint="eastAsia" w:ascii="宋体" w:hAnsi="宋体"/>
          <w:sz w:val="24"/>
          <w:highlight w:val="none"/>
        </w:rPr>
        <w:t>13.</w:t>
      </w:r>
      <w:r>
        <w:rPr>
          <w:rFonts w:hint="eastAsia" w:ascii="宋体" w:hAnsi="宋体"/>
          <w:b/>
          <w:bCs/>
          <w:sz w:val="24"/>
          <w:highlight w:val="none"/>
        </w:rPr>
        <w:t>技术/资信/商务文件目录</w:t>
      </w:r>
    </w:p>
    <w:p w14:paraId="4310AB9F">
      <w:pPr>
        <w:snapToGrid w:val="0"/>
        <w:spacing w:line="360" w:lineRule="auto"/>
        <w:rPr>
          <w:rFonts w:hint="eastAsia" w:ascii="宋体" w:hAnsi="宋体"/>
          <w:sz w:val="24"/>
          <w:highlight w:val="none"/>
        </w:rPr>
      </w:pPr>
      <w:r>
        <w:rPr>
          <w:rFonts w:hint="eastAsia" w:ascii="宋体" w:hAnsi="宋体"/>
          <w:sz w:val="24"/>
          <w:highlight w:val="none"/>
        </w:rPr>
        <w:t>技术：</w:t>
      </w:r>
    </w:p>
    <w:p w14:paraId="12F72F14">
      <w:pPr>
        <w:snapToGrid w:val="0"/>
        <w:spacing w:line="360" w:lineRule="auto"/>
        <w:jc w:val="left"/>
        <w:rPr>
          <w:rFonts w:hint="eastAsia" w:ascii="宋体" w:hAnsi="宋体"/>
          <w:sz w:val="24"/>
          <w:szCs w:val="20"/>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）系统设计方案————————（页码）</w:t>
      </w:r>
    </w:p>
    <w:p w14:paraId="7E76BAB9">
      <w:pPr>
        <w:snapToGrid w:val="0"/>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w:t>
      </w:r>
      <w:r>
        <w:rPr>
          <w:rFonts w:hint="eastAsia" w:hAnsi="宋体" w:cs="宋体"/>
          <w:sz w:val="24"/>
          <w:highlight w:val="none"/>
        </w:rPr>
        <w:t>运营咨询方案设计</w:t>
      </w:r>
      <w:r>
        <w:rPr>
          <w:rFonts w:hint="eastAsia" w:ascii="宋体" w:hAnsi="宋体"/>
          <w:sz w:val="24"/>
          <w:highlight w:val="none"/>
        </w:rPr>
        <w:t>————————</w:t>
      </w:r>
    </w:p>
    <w:p w14:paraId="41DF3915">
      <w:pPr>
        <w:snapToGrid w:val="0"/>
        <w:spacing w:line="360" w:lineRule="auto"/>
        <w:jc w:val="left"/>
        <w:rPr>
          <w:rFonts w:hint="eastAsia" w:ascii="宋体" w:hAnsi="宋体" w:cs="宋体"/>
          <w:kern w:val="0"/>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项目实施方案————————</w:t>
      </w:r>
    </w:p>
    <w:p w14:paraId="3E4B5255">
      <w:pPr>
        <w:snapToGrid w:val="0"/>
        <w:spacing w:line="360" w:lineRule="auto"/>
        <w:jc w:val="left"/>
        <w:rPr>
          <w:rFonts w:hint="eastAsia" w:ascii="宋体" w:hAnsi="宋体"/>
          <w:sz w:val="24"/>
          <w:szCs w:val="20"/>
          <w:highlight w:val="none"/>
        </w:rPr>
      </w:pPr>
      <w:r>
        <w:rPr>
          <w:rFonts w:hint="eastAsia" w:ascii="宋体" w:hAnsi="宋体"/>
          <w:sz w:val="24"/>
          <w:highlight w:val="none"/>
        </w:rPr>
        <w:t>（4</w:t>
      </w:r>
      <w:r>
        <w:rPr>
          <w:rFonts w:ascii="宋体" w:hAnsi="宋体"/>
          <w:sz w:val="24"/>
          <w:highlight w:val="none"/>
        </w:rPr>
        <w:t>）技术响应表</w:t>
      </w:r>
      <w:r>
        <w:rPr>
          <w:rFonts w:hint="eastAsia" w:ascii="宋体" w:hAnsi="宋体"/>
          <w:sz w:val="24"/>
          <w:highlight w:val="none"/>
        </w:rPr>
        <w:t>————————</w:t>
      </w:r>
    </w:p>
    <w:p w14:paraId="4E7AA0B3">
      <w:pPr>
        <w:snapToGrid w:val="0"/>
        <w:spacing w:line="360" w:lineRule="auto"/>
        <w:jc w:val="left"/>
        <w:rPr>
          <w:rFonts w:hint="eastAsia" w:ascii="宋体" w:hAnsi="宋体"/>
          <w:sz w:val="24"/>
          <w:highlight w:val="none"/>
        </w:rPr>
      </w:pPr>
      <w:r>
        <w:rPr>
          <w:rFonts w:hint="eastAsia" w:ascii="宋体" w:hAnsi="宋体"/>
          <w:sz w:val="24"/>
          <w:highlight w:val="none"/>
        </w:rPr>
        <w:t>（5）项目实施人员一览表————————</w:t>
      </w:r>
    </w:p>
    <w:p w14:paraId="4C0958D0">
      <w:pPr>
        <w:snapToGrid w:val="0"/>
        <w:spacing w:line="360" w:lineRule="auto"/>
        <w:jc w:val="left"/>
        <w:rPr>
          <w:highlight w:val="none"/>
        </w:rPr>
      </w:pPr>
      <w:r>
        <w:rPr>
          <w:rFonts w:hint="eastAsia" w:ascii="宋体" w:hAnsi="宋体"/>
          <w:sz w:val="24"/>
          <w:highlight w:val="none"/>
        </w:rPr>
        <w:t>（6）投标人对本项目的合理化建议和改进措施————————</w:t>
      </w:r>
    </w:p>
    <w:p w14:paraId="1DCF0B85">
      <w:pPr>
        <w:snapToGrid w:val="0"/>
        <w:spacing w:line="360" w:lineRule="auto"/>
        <w:jc w:val="left"/>
        <w:rPr>
          <w:rFonts w:hint="eastAsia" w:ascii="宋体" w:hAnsi="宋体"/>
          <w:sz w:val="24"/>
          <w:szCs w:val="20"/>
          <w:highlight w:val="none"/>
        </w:rPr>
      </w:pPr>
      <w:r>
        <w:rPr>
          <w:rFonts w:hint="eastAsia" w:ascii="宋体" w:hAnsi="宋体"/>
          <w:sz w:val="24"/>
          <w:highlight w:val="none"/>
        </w:rPr>
        <w:t>（7）</w:t>
      </w:r>
      <w:r>
        <w:rPr>
          <w:rFonts w:ascii="宋体" w:hAnsi="宋体"/>
          <w:sz w:val="24"/>
          <w:highlight w:val="none"/>
        </w:rPr>
        <w:t>投标人需要说明的其他文件和说明</w:t>
      </w:r>
      <w:r>
        <w:rPr>
          <w:rFonts w:hint="eastAsia" w:ascii="宋体" w:hAnsi="宋体"/>
          <w:sz w:val="24"/>
          <w:highlight w:val="none"/>
        </w:rPr>
        <w:t>————————</w:t>
      </w:r>
    </w:p>
    <w:p w14:paraId="332332EF">
      <w:pPr>
        <w:snapToGrid w:val="0"/>
        <w:spacing w:line="360" w:lineRule="auto"/>
        <w:rPr>
          <w:rFonts w:hint="eastAsia" w:ascii="宋体" w:hAnsi="宋体"/>
          <w:sz w:val="24"/>
          <w:highlight w:val="none"/>
        </w:rPr>
      </w:pPr>
      <w:r>
        <w:rPr>
          <w:rFonts w:hint="eastAsia" w:ascii="宋体" w:hAnsi="宋体"/>
          <w:sz w:val="24"/>
          <w:highlight w:val="none"/>
        </w:rPr>
        <w:t>资信：</w:t>
      </w:r>
    </w:p>
    <w:p w14:paraId="5BBD3D0F">
      <w:pPr>
        <w:snapToGrid w:val="0"/>
        <w:spacing w:line="360" w:lineRule="auto"/>
        <w:jc w:val="left"/>
        <w:rPr>
          <w:rFonts w:hint="eastAsia" w:ascii="宋体" w:hAnsi="宋体"/>
          <w:sz w:val="24"/>
          <w:highlight w:val="none"/>
        </w:rPr>
      </w:pPr>
      <w:r>
        <w:rPr>
          <w:rFonts w:hint="eastAsia" w:ascii="宋体" w:hAnsi="宋体"/>
          <w:sz w:val="24"/>
          <w:highlight w:val="none"/>
        </w:rPr>
        <w:t>（8）类似成功案例的业绩证明（投标人同类项目实施情况一览表、合同复印件）————————</w:t>
      </w:r>
    </w:p>
    <w:p w14:paraId="02A2C278">
      <w:pPr>
        <w:snapToGrid w:val="0"/>
        <w:spacing w:line="360" w:lineRule="auto"/>
        <w:jc w:val="left"/>
        <w:rPr>
          <w:rFonts w:hint="eastAsia" w:ascii="宋体" w:hAnsi="宋体"/>
          <w:sz w:val="24"/>
          <w:highlight w:val="none"/>
        </w:rPr>
      </w:pPr>
      <w:r>
        <w:rPr>
          <w:rFonts w:hint="eastAsia" w:ascii="宋体" w:hAnsi="宋体"/>
          <w:sz w:val="24"/>
          <w:highlight w:val="none"/>
        </w:rPr>
        <w:t>（9）权威认证及其他证书————————</w:t>
      </w:r>
    </w:p>
    <w:p w14:paraId="04EAAB14">
      <w:pPr>
        <w:snapToGrid w:val="0"/>
        <w:spacing w:line="360" w:lineRule="auto"/>
        <w:jc w:val="left"/>
        <w:rPr>
          <w:rFonts w:hint="eastAsia" w:ascii="宋体" w:hAnsi="宋体"/>
          <w:sz w:val="24"/>
          <w:highlight w:val="none"/>
        </w:rPr>
      </w:pPr>
      <w:r>
        <w:rPr>
          <w:rFonts w:hint="eastAsia" w:ascii="宋体" w:hAnsi="宋体"/>
          <w:sz w:val="24"/>
          <w:highlight w:val="none"/>
        </w:rPr>
        <w:t>（10）其他特殊资质证书</w:t>
      </w:r>
      <w:r>
        <w:rPr>
          <w:rFonts w:ascii="宋体" w:hAnsi="宋体"/>
          <w:sz w:val="24"/>
          <w:highlight w:val="none"/>
        </w:rPr>
        <w:t>（如</w:t>
      </w:r>
      <w:r>
        <w:rPr>
          <w:rFonts w:hint="eastAsia" w:ascii="宋体" w:hAnsi="宋体"/>
          <w:sz w:val="24"/>
          <w:highlight w:val="none"/>
        </w:rPr>
        <w:t>本地化服务能力等）（格式可自拟）—————</w:t>
      </w:r>
    </w:p>
    <w:p w14:paraId="055CD85E">
      <w:pPr>
        <w:snapToGrid w:val="0"/>
        <w:spacing w:line="360" w:lineRule="auto"/>
        <w:jc w:val="left"/>
        <w:rPr>
          <w:rFonts w:hint="eastAsia" w:ascii="宋体" w:hAnsi="宋体"/>
          <w:sz w:val="24"/>
          <w:highlight w:val="none"/>
        </w:rPr>
      </w:pPr>
      <w:r>
        <w:rPr>
          <w:rFonts w:hint="eastAsia" w:ascii="宋体" w:hAnsi="宋体"/>
          <w:sz w:val="24"/>
          <w:highlight w:val="none"/>
        </w:rPr>
        <w:t>（11）投标人认为可以证明其能力或业绩的其他材料————————</w:t>
      </w:r>
    </w:p>
    <w:p w14:paraId="448404C8">
      <w:pPr>
        <w:snapToGrid w:val="0"/>
        <w:spacing w:line="360" w:lineRule="auto"/>
        <w:rPr>
          <w:rFonts w:hint="eastAsia" w:ascii="宋体" w:hAnsi="宋体"/>
          <w:sz w:val="24"/>
          <w:highlight w:val="none"/>
        </w:rPr>
      </w:pPr>
      <w:r>
        <w:rPr>
          <w:rFonts w:hint="eastAsia" w:ascii="宋体" w:hAnsi="宋体"/>
          <w:sz w:val="24"/>
          <w:highlight w:val="none"/>
        </w:rPr>
        <w:t>商务：</w:t>
      </w:r>
    </w:p>
    <w:p w14:paraId="426225A2">
      <w:pPr>
        <w:snapToGrid w:val="0"/>
        <w:spacing w:line="360" w:lineRule="auto"/>
        <w:jc w:val="left"/>
        <w:rPr>
          <w:rFonts w:hint="eastAsia" w:ascii="宋体" w:hAnsi="宋体"/>
          <w:sz w:val="24"/>
          <w:highlight w:val="none"/>
        </w:rPr>
      </w:pPr>
      <w:r>
        <w:rPr>
          <w:rFonts w:hint="eastAsia" w:ascii="宋体" w:hAnsi="宋体"/>
          <w:sz w:val="24"/>
          <w:highlight w:val="none"/>
        </w:rPr>
        <w:t>（12）商务响应表————————</w:t>
      </w:r>
    </w:p>
    <w:p w14:paraId="2284C6D1">
      <w:pPr>
        <w:snapToGrid w:val="0"/>
        <w:spacing w:line="360" w:lineRule="auto"/>
        <w:jc w:val="left"/>
        <w:rPr>
          <w:rFonts w:hint="eastAsia" w:ascii="宋体" w:hAnsi="宋体"/>
          <w:sz w:val="24"/>
          <w:highlight w:val="none"/>
        </w:rPr>
      </w:pPr>
      <w:r>
        <w:rPr>
          <w:rFonts w:hint="eastAsia" w:ascii="宋体" w:hAnsi="宋体"/>
          <w:sz w:val="24"/>
          <w:highlight w:val="none"/>
        </w:rPr>
        <w:t>（13）服务承诺————————</w:t>
      </w:r>
    </w:p>
    <w:p w14:paraId="450B2B22">
      <w:pPr>
        <w:snapToGrid w:val="0"/>
        <w:spacing w:line="360" w:lineRule="auto"/>
        <w:jc w:val="left"/>
        <w:rPr>
          <w:rFonts w:hint="eastAsia" w:ascii="宋体" w:hAnsi="宋体"/>
          <w:sz w:val="24"/>
          <w:highlight w:val="none"/>
        </w:rPr>
      </w:pPr>
      <w:r>
        <w:rPr>
          <w:rFonts w:hint="eastAsia" w:ascii="宋体" w:hAnsi="宋体"/>
          <w:sz w:val="24"/>
          <w:highlight w:val="none"/>
        </w:rPr>
        <w:t>（14）培训方案————————</w:t>
      </w:r>
    </w:p>
    <w:p w14:paraId="0198563F">
      <w:pPr>
        <w:snapToGrid w:val="0"/>
        <w:spacing w:line="360" w:lineRule="auto"/>
        <w:jc w:val="left"/>
        <w:rPr>
          <w:rFonts w:hint="eastAsia" w:ascii="宋体" w:hAnsi="宋体"/>
          <w:sz w:val="24"/>
          <w:highlight w:val="none"/>
        </w:rPr>
      </w:pPr>
      <w:r>
        <w:rPr>
          <w:rFonts w:hint="eastAsia" w:ascii="宋体" w:hAnsi="宋体"/>
          <w:sz w:val="24"/>
          <w:highlight w:val="none"/>
        </w:rPr>
        <w:t>（15）</w:t>
      </w:r>
      <w:r>
        <w:rPr>
          <w:rFonts w:hint="eastAsia" w:hAnsi="宋体" w:cs="宋体"/>
          <w:sz w:val="24"/>
          <w:highlight w:val="none"/>
        </w:rPr>
        <w:t>响应时间</w:t>
      </w:r>
      <w:r>
        <w:rPr>
          <w:rFonts w:hint="eastAsia" w:ascii="宋体" w:hAnsi="宋体"/>
          <w:sz w:val="24"/>
          <w:highlight w:val="none"/>
        </w:rPr>
        <w:t>————————</w:t>
      </w:r>
    </w:p>
    <w:p w14:paraId="66801E42">
      <w:pPr>
        <w:snapToGrid w:val="0"/>
        <w:spacing w:line="360" w:lineRule="auto"/>
        <w:jc w:val="left"/>
        <w:rPr>
          <w:rFonts w:hint="eastAsia" w:ascii="宋体" w:hAnsi="宋体"/>
          <w:sz w:val="24"/>
          <w:highlight w:val="none"/>
        </w:rPr>
      </w:pPr>
      <w:r>
        <w:rPr>
          <w:rFonts w:hint="eastAsia" w:ascii="宋体" w:hAnsi="宋体"/>
          <w:sz w:val="24"/>
          <w:highlight w:val="none"/>
        </w:rPr>
        <w:t>（16）信用承诺书————————</w:t>
      </w:r>
    </w:p>
    <w:p w14:paraId="7B6B45EF">
      <w:pPr>
        <w:snapToGrid w:val="0"/>
        <w:spacing w:line="360" w:lineRule="auto"/>
        <w:rPr>
          <w:rFonts w:hint="eastAsia" w:ascii="宋体" w:hAnsi="宋体"/>
          <w:sz w:val="24"/>
          <w:highlight w:val="none"/>
        </w:rPr>
      </w:pPr>
      <w:r>
        <w:rPr>
          <w:rFonts w:hint="eastAsia" w:ascii="宋体" w:hAnsi="宋体"/>
          <w:sz w:val="24"/>
          <w:highlight w:val="none"/>
        </w:rPr>
        <w:t>（17）技术、商务、资信及其他分自评表————————</w:t>
      </w:r>
    </w:p>
    <w:p w14:paraId="628EA69B">
      <w:pPr>
        <w:snapToGrid w:val="0"/>
        <w:spacing w:line="360" w:lineRule="auto"/>
        <w:jc w:val="left"/>
        <w:rPr>
          <w:highlight w:val="none"/>
        </w:rPr>
      </w:pPr>
    </w:p>
    <w:p w14:paraId="263D36DD">
      <w:pPr>
        <w:pStyle w:val="11"/>
        <w:rPr>
          <w:highlight w:val="none"/>
        </w:rPr>
      </w:pPr>
    </w:p>
    <w:p w14:paraId="7EFF4604">
      <w:pPr>
        <w:rPr>
          <w:highlight w:val="none"/>
        </w:rPr>
      </w:pPr>
    </w:p>
    <w:p w14:paraId="0339E1AA">
      <w:pPr>
        <w:snapToGrid w:val="0"/>
        <w:spacing w:line="360" w:lineRule="auto"/>
        <w:jc w:val="left"/>
        <w:rPr>
          <w:rFonts w:hint="eastAsia" w:ascii="宋体" w:hAnsi="宋体"/>
          <w:sz w:val="24"/>
          <w:highlight w:val="none"/>
        </w:rPr>
      </w:pPr>
      <w:r>
        <w:rPr>
          <w:rFonts w:hint="eastAsia" w:ascii="宋体" w:hAnsi="宋体"/>
          <w:sz w:val="24"/>
          <w:highlight w:val="none"/>
        </w:rPr>
        <w:t>14.系统设计方案（格式自拟）</w:t>
      </w:r>
    </w:p>
    <w:p w14:paraId="0901894A">
      <w:pPr>
        <w:rPr>
          <w:highlight w:val="none"/>
        </w:rPr>
      </w:pPr>
    </w:p>
    <w:p w14:paraId="47781787">
      <w:pPr>
        <w:rPr>
          <w:highlight w:val="none"/>
        </w:rPr>
      </w:pPr>
    </w:p>
    <w:p w14:paraId="0EA60E76">
      <w:pPr>
        <w:pStyle w:val="11"/>
        <w:rPr>
          <w:highlight w:val="none"/>
        </w:rPr>
      </w:pPr>
    </w:p>
    <w:p w14:paraId="5977FD56">
      <w:pPr>
        <w:rPr>
          <w:highlight w:val="none"/>
        </w:rPr>
      </w:pPr>
    </w:p>
    <w:p w14:paraId="06720DBF">
      <w:pPr>
        <w:snapToGrid w:val="0"/>
        <w:spacing w:line="360" w:lineRule="auto"/>
        <w:jc w:val="left"/>
        <w:rPr>
          <w:rFonts w:hint="eastAsia" w:ascii="宋体" w:hAnsi="宋体"/>
          <w:sz w:val="24"/>
          <w:highlight w:val="none"/>
        </w:rPr>
      </w:pPr>
      <w:r>
        <w:rPr>
          <w:rFonts w:hint="eastAsia" w:ascii="宋体" w:hAnsi="宋体"/>
          <w:sz w:val="24"/>
          <w:highlight w:val="none"/>
        </w:rPr>
        <w:t>15.运营咨询方案设计（格式自拟）</w:t>
      </w:r>
    </w:p>
    <w:p w14:paraId="25C8269B">
      <w:pPr>
        <w:snapToGrid w:val="0"/>
        <w:spacing w:line="360" w:lineRule="auto"/>
        <w:jc w:val="left"/>
        <w:rPr>
          <w:rFonts w:hint="eastAsia" w:ascii="宋体" w:hAnsi="宋体"/>
          <w:sz w:val="24"/>
          <w:szCs w:val="20"/>
          <w:highlight w:val="none"/>
        </w:rPr>
      </w:pPr>
    </w:p>
    <w:p w14:paraId="563BD588">
      <w:pPr>
        <w:pStyle w:val="11"/>
        <w:rPr>
          <w:highlight w:val="none"/>
        </w:rPr>
      </w:pPr>
    </w:p>
    <w:p w14:paraId="7479318D">
      <w:pPr>
        <w:pStyle w:val="11"/>
        <w:rPr>
          <w:highlight w:val="none"/>
        </w:rPr>
      </w:pPr>
    </w:p>
    <w:p w14:paraId="19562A65">
      <w:pPr>
        <w:snapToGrid w:val="0"/>
        <w:spacing w:line="360" w:lineRule="auto"/>
        <w:jc w:val="left"/>
        <w:rPr>
          <w:rFonts w:hint="eastAsia" w:ascii="宋体" w:hAnsi="宋体"/>
          <w:sz w:val="24"/>
          <w:szCs w:val="20"/>
          <w:highlight w:val="none"/>
        </w:rPr>
      </w:pPr>
      <w:r>
        <w:rPr>
          <w:rFonts w:hint="eastAsia" w:ascii="宋体" w:hAnsi="宋体"/>
          <w:sz w:val="24"/>
          <w:highlight w:val="none"/>
        </w:rPr>
        <w:t>16.项目实施方案（格式自拟）</w:t>
      </w:r>
    </w:p>
    <w:p w14:paraId="516F03E4">
      <w:pPr>
        <w:pStyle w:val="11"/>
        <w:rPr>
          <w:highlight w:val="none"/>
        </w:rPr>
      </w:pPr>
    </w:p>
    <w:p w14:paraId="4EC63A4C">
      <w:pPr>
        <w:rPr>
          <w:highlight w:val="none"/>
        </w:rPr>
      </w:pPr>
    </w:p>
    <w:p w14:paraId="02FDA6DD">
      <w:pPr>
        <w:rPr>
          <w:highlight w:val="none"/>
        </w:rPr>
      </w:pPr>
    </w:p>
    <w:p w14:paraId="0F458F2E">
      <w:pPr>
        <w:pStyle w:val="39"/>
        <w:rPr>
          <w:rFonts w:hint="eastAsia" w:hAnsi="宋体" w:cs="Times New Roman"/>
          <w:color w:val="auto"/>
          <w:kern w:val="2"/>
          <w:highlight w:val="none"/>
        </w:rPr>
      </w:pPr>
      <w:r>
        <w:rPr>
          <w:rFonts w:hint="eastAsia" w:hAnsi="宋体" w:cs="Times New Roman"/>
          <w:color w:val="auto"/>
          <w:kern w:val="2"/>
          <w:highlight w:val="none"/>
        </w:rPr>
        <w:t>17.</w:t>
      </w:r>
      <w:r>
        <w:rPr>
          <w:rFonts w:hAnsi="宋体"/>
          <w:highlight w:val="none"/>
        </w:rPr>
        <w:t>技术响应表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35A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01BDBC3">
            <w:pPr>
              <w:spacing w:line="400" w:lineRule="exact"/>
              <w:jc w:val="center"/>
              <w:rPr>
                <w:rFonts w:hint="eastAsia" w:ascii="宋体" w:hAnsi="宋体"/>
                <w:sz w:val="24"/>
                <w:highlight w:val="none"/>
              </w:rPr>
            </w:pPr>
            <w:r>
              <w:rPr>
                <w:rFonts w:hint="eastAsia" w:ascii="宋体" w:hAnsi="宋体"/>
                <w:sz w:val="24"/>
                <w:highlight w:val="none"/>
              </w:rPr>
              <w:t>序号</w:t>
            </w:r>
          </w:p>
        </w:tc>
        <w:tc>
          <w:tcPr>
            <w:tcW w:w="2700" w:type="dxa"/>
            <w:vAlign w:val="center"/>
          </w:tcPr>
          <w:p w14:paraId="1AC9128C">
            <w:pPr>
              <w:spacing w:line="400" w:lineRule="exact"/>
              <w:jc w:val="center"/>
              <w:rPr>
                <w:rFonts w:hint="eastAsia" w:ascii="宋体" w:hAnsi="宋体"/>
                <w:sz w:val="24"/>
                <w:highlight w:val="none"/>
              </w:rPr>
            </w:pPr>
            <w:r>
              <w:rPr>
                <w:rFonts w:hint="eastAsia" w:ascii="宋体" w:hAnsi="宋体"/>
                <w:sz w:val="24"/>
                <w:highlight w:val="none"/>
              </w:rPr>
              <w:t>招标文件要求</w:t>
            </w:r>
            <w:r>
              <w:rPr>
                <w:rFonts w:hint="eastAsia" w:ascii="宋体" w:hAnsi="宋体"/>
                <w:bCs/>
                <w:sz w:val="24"/>
                <w:highlight w:val="none"/>
              </w:rPr>
              <w:t>指标</w:t>
            </w:r>
            <w:r>
              <w:rPr>
                <w:rFonts w:hint="eastAsia" w:ascii="宋体" w:hAnsi="宋体"/>
                <w:sz w:val="24"/>
                <w:highlight w:val="none"/>
              </w:rPr>
              <w:t>参数</w:t>
            </w:r>
          </w:p>
        </w:tc>
        <w:tc>
          <w:tcPr>
            <w:tcW w:w="2700" w:type="dxa"/>
            <w:vAlign w:val="center"/>
          </w:tcPr>
          <w:p w14:paraId="69BFDECB">
            <w:pPr>
              <w:spacing w:line="400" w:lineRule="exact"/>
              <w:rPr>
                <w:rFonts w:hint="eastAsia" w:ascii="宋体" w:hAnsi="宋体"/>
                <w:sz w:val="24"/>
                <w:highlight w:val="none"/>
              </w:rPr>
            </w:pPr>
            <w:r>
              <w:rPr>
                <w:rFonts w:hint="eastAsia" w:ascii="宋体" w:hAnsi="宋体"/>
                <w:sz w:val="24"/>
                <w:highlight w:val="none"/>
              </w:rPr>
              <w:t>投标项目实际</w:t>
            </w:r>
            <w:r>
              <w:rPr>
                <w:rFonts w:hint="eastAsia" w:ascii="宋体" w:hAnsi="宋体"/>
                <w:bCs/>
                <w:sz w:val="24"/>
                <w:highlight w:val="none"/>
              </w:rPr>
              <w:t>指标</w:t>
            </w:r>
            <w:r>
              <w:rPr>
                <w:rFonts w:hint="eastAsia" w:ascii="宋体" w:hAnsi="宋体"/>
                <w:sz w:val="24"/>
                <w:highlight w:val="none"/>
              </w:rPr>
              <w:t>参数</w:t>
            </w:r>
          </w:p>
        </w:tc>
        <w:tc>
          <w:tcPr>
            <w:tcW w:w="1260" w:type="dxa"/>
            <w:vAlign w:val="center"/>
          </w:tcPr>
          <w:p w14:paraId="2A75C7A9">
            <w:pPr>
              <w:spacing w:line="400" w:lineRule="exact"/>
              <w:jc w:val="center"/>
              <w:rPr>
                <w:rFonts w:hint="eastAsia" w:ascii="宋体" w:hAnsi="宋体"/>
                <w:sz w:val="24"/>
                <w:highlight w:val="none"/>
              </w:rPr>
            </w:pPr>
            <w:r>
              <w:rPr>
                <w:rFonts w:hint="eastAsia" w:ascii="宋体" w:hAnsi="宋体"/>
                <w:sz w:val="24"/>
                <w:highlight w:val="none"/>
              </w:rPr>
              <w:t>偏离情况</w:t>
            </w:r>
          </w:p>
        </w:tc>
        <w:tc>
          <w:tcPr>
            <w:tcW w:w="1260" w:type="dxa"/>
            <w:vAlign w:val="center"/>
          </w:tcPr>
          <w:p w14:paraId="77201D3C">
            <w:pPr>
              <w:spacing w:line="400" w:lineRule="exact"/>
              <w:jc w:val="center"/>
              <w:rPr>
                <w:rFonts w:hint="eastAsia" w:ascii="宋体" w:hAnsi="宋体"/>
                <w:sz w:val="24"/>
                <w:highlight w:val="none"/>
              </w:rPr>
            </w:pPr>
            <w:r>
              <w:rPr>
                <w:rFonts w:hint="eastAsia" w:ascii="宋体" w:hAnsi="宋体"/>
                <w:sz w:val="24"/>
                <w:highlight w:val="none"/>
              </w:rPr>
              <w:t>偏离原因</w:t>
            </w:r>
          </w:p>
        </w:tc>
      </w:tr>
      <w:tr w14:paraId="475E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9507367">
            <w:pPr>
              <w:spacing w:line="360" w:lineRule="auto"/>
              <w:jc w:val="center"/>
              <w:rPr>
                <w:rFonts w:hint="eastAsia" w:ascii="宋体" w:hAnsi="宋体"/>
                <w:b/>
                <w:bCs/>
                <w:sz w:val="30"/>
                <w:highlight w:val="none"/>
              </w:rPr>
            </w:pPr>
          </w:p>
        </w:tc>
        <w:tc>
          <w:tcPr>
            <w:tcW w:w="2700" w:type="dxa"/>
          </w:tcPr>
          <w:p w14:paraId="3BB8B9C5">
            <w:pPr>
              <w:spacing w:line="360" w:lineRule="auto"/>
              <w:jc w:val="center"/>
              <w:rPr>
                <w:rFonts w:hint="eastAsia" w:ascii="宋体" w:hAnsi="宋体"/>
                <w:b/>
                <w:bCs/>
                <w:sz w:val="30"/>
                <w:highlight w:val="none"/>
              </w:rPr>
            </w:pPr>
          </w:p>
        </w:tc>
        <w:tc>
          <w:tcPr>
            <w:tcW w:w="2700" w:type="dxa"/>
          </w:tcPr>
          <w:p w14:paraId="3EFF90A9">
            <w:pPr>
              <w:spacing w:line="360" w:lineRule="auto"/>
              <w:jc w:val="center"/>
              <w:rPr>
                <w:rFonts w:hint="eastAsia" w:ascii="宋体" w:hAnsi="宋体"/>
                <w:b/>
                <w:bCs/>
                <w:sz w:val="30"/>
                <w:highlight w:val="none"/>
              </w:rPr>
            </w:pPr>
          </w:p>
        </w:tc>
        <w:tc>
          <w:tcPr>
            <w:tcW w:w="1260" w:type="dxa"/>
          </w:tcPr>
          <w:p w14:paraId="7EEA6205">
            <w:pPr>
              <w:spacing w:line="360" w:lineRule="auto"/>
              <w:jc w:val="center"/>
              <w:rPr>
                <w:rFonts w:hint="eastAsia" w:ascii="宋体" w:hAnsi="宋体"/>
                <w:b/>
                <w:bCs/>
                <w:sz w:val="30"/>
                <w:highlight w:val="none"/>
              </w:rPr>
            </w:pPr>
          </w:p>
        </w:tc>
        <w:tc>
          <w:tcPr>
            <w:tcW w:w="1260" w:type="dxa"/>
          </w:tcPr>
          <w:p w14:paraId="41436301">
            <w:pPr>
              <w:spacing w:line="360" w:lineRule="auto"/>
              <w:jc w:val="center"/>
              <w:rPr>
                <w:rFonts w:hint="eastAsia" w:ascii="宋体" w:hAnsi="宋体"/>
                <w:b/>
                <w:bCs/>
                <w:sz w:val="30"/>
                <w:highlight w:val="none"/>
              </w:rPr>
            </w:pPr>
          </w:p>
        </w:tc>
      </w:tr>
      <w:tr w14:paraId="47D9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E90CB87">
            <w:pPr>
              <w:spacing w:line="360" w:lineRule="auto"/>
              <w:jc w:val="center"/>
              <w:rPr>
                <w:rFonts w:hint="eastAsia" w:ascii="宋体" w:hAnsi="宋体"/>
                <w:b/>
                <w:bCs/>
                <w:sz w:val="30"/>
                <w:highlight w:val="none"/>
              </w:rPr>
            </w:pPr>
          </w:p>
        </w:tc>
        <w:tc>
          <w:tcPr>
            <w:tcW w:w="2700" w:type="dxa"/>
          </w:tcPr>
          <w:p w14:paraId="3FD41043">
            <w:pPr>
              <w:spacing w:line="360" w:lineRule="auto"/>
              <w:jc w:val="center"/>
              <w:rPr>
                <w:rFonts w:hint="eastAsia" w:ascii="宋体" w:hAnsi="宋体"/>
                <w:b/>
                <w:bCs/>
                <w:sz w:val="30"/>
                <w:highlight w:val="none"/>
              </w:rPr>
            </w:pPr>
          </w:p>
        </w:tc>
        <w:tc>
          <w:tcPr>
            <w:tcW w:w="2700" w:type="dxa"/>
          </w:tcPr>
          <w:p w14:paraId="71040852">
            <w:pPr>
              <w:spacing w:line="360" w:lineRule="auto"/>
              <w:jc w:val="center"/>
              <w:rPr>
                <w:rFonts w:hint="eastAsia" w:ascii="宋体" w:hAnsi="宋体"/>
                <w:b/>
                <w:bCs/>
                <w:sz w:val="30"/>
                <w:highlight w:val="none"/>
              </w:rPr>
            </w:pPr>
          </w:p>
        </w:tc>
        <w:tc>
          <w:tcPr>
            <w:tcW w:w="1260" w:type="dxa"/>
          </w:tcPr>
          <w:p w14:paraId="01AB9AF9">
            <w:pPr>
              <w:spacing w:line="360" w:lineRule="auto"/>
              <w:jc w:val="center"/>
              <w:rPr>
                <w:rFonts w:hint="eastAsia" w:ascii="宋体" w:hAnsi="宋体"/>
                <w:b/>
                <w:bCs/>
                <w:sz w:val="30"/>
                <w:highlight w:val="none"/>
              </w:rPr>
            </w:pPr>
          </w:p>
        </w:tc>
        <w:tc>
          <w:tcPr>
            <w:tcW w:w="1260" w:type="dxa"/>
          </w:tcPr>
          <w:p w14:paraId="79E57A93">
            <w:pPr>
              <w:spacing w:line="360" w:lineRule="auto"/>
              <w:jc w:val="center"/>
              <w:rPr>
                <w:rFonts w:hint="eastAsia" w:ascii="宋体" w:hAnsi="宋体"/>
                <w:b/>
                <w:bCs/>
                <w:sz w:val="30"/>
                <w:highlight w:val="none"/>
              </w:rPr>
            </w:pPr>
          </w:p>
        </w:tc>
      </w:tr>
      <w:tr w14:paraId="373C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FED0AD0">
            <w:pPr>
              <w:spacing w:line="360" w:lineRule="auto"/>
              <w:jc w:val="center"/>
              <w:rPr>
                <w:rFonts w:hint="eastAsia" w:ascii="宋体" w:hAnsi="宋体"/>
                <w:b/>
                <w:bCs/>
                <w:sz w:val="30"/>
                <w:highlight w:val="none"/>
              </w:rPr>
            </w:pPr>
          </w:p>
        </w:tc>
        <w:tc>
          <w:tcPr>
            <w:tcW w:w="2700" w:type="dxa"/>
          </w:tcPr>
          <w:p w14:paraId="1FD0EE1E">
            <w:pPr>
              <w:spacing w:line="360" w:lineRule="auto"/>
              <w:jc w:val="center"/>
              <w:rPr>
                <w:rFonts w:hint="eastAsia" w:ascii="宋体" w:hAnsi="宋体"/>
                <w:b/>
                <w:bCs/>
                <w:sz w:val="30"/>
                <w:highlight w:val="none"/>
              </w:rPr>
            </w:pPr>
          </w:p>
        </w:tc>
        <w:tc>
          <w:tcPr>
            <w:tcW w:w="2700" w:type="dxa"/>
          </w:tcPr>
          <w:p w14:paraId="3466A335">
            <w:pPr>
              <w:spacing w:line="360" w:lineRule="auto"/>
              <w:jc w:val="center"/>
              <w:rPr>
                <w:rFonts w:hint="eastAsia" w:ascii="宋体" w:hAnsi="宋体"/>
                <w:b/>
                <w:bCs/>
                <w:sz w:val="30"/>
                <w:highlight w:val="none"/>
              </w:rPr>
            </w:pPr>
          </w:p>
        </w:tc>
        <w:tc>
          <w:tcPr>
            <w:tcW w:w="1260" w:type="dxa"/>
          </w:tcPr>
          <w:p w14:paraId="653B23D8">
            <w:pPr>
              <w:spacing w:line="360" w:lineRule="auto"/>
              <w:jc w:val="center"/>
              <w:rPr>
                <w:rFonts w:hint="eastAsia" w:ascii="宋体" w:hAnsi="宋体"/>
                <w:b/>
                <w:bCs/>
                <w:sz w:val="30"/>
                <w:highlight w:val="none"/>
              </w:rPr>
            </w:pPr>
          </w:p>
        </w:tc>
        <w:tc>
          <w:tcPr>
            <w:tcW w:w="1260" w:type="dxa"/>
          </w:tcPr>
          <w:p w14:paraId="1461D92C">
            <w:pPr>
              <w:spacing w:line="360" w:lineRule="auto"/>
              <w:jc w:val="center"/>
              <w:rPr>
                <w:rFonts w:hint="eastAsia" w:ascii="宋体" w:hAnsi="宋体"/>
                <w:b/>
                <w:bCs/>
                <w:sz w:val="30"/>
                <w:highlight w:val="none"/>
              </w:rPr>
            </w:pPr>
          </w:p>
        </w:tc>
      </w:tr>
      <w:tr w14:paraId="3CC7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97385DB">
            <w:pPr>
              <w:spacing w:line="360" w:lineRule="auto"/>
              <w:jc w:val="center"/>
              <w:rPr>
                <w:rFonts w:hint="eastAsia" w:ascii="宋体" w:hAnsi="宋体"/>
                <w:b/>
                <w:bCs/>
                <w:sz w:val="30"/>
                <w:highlight w:val="none"/>
              </w:rPr>
            </w:pPr>
          </w:p>
        </w:tc>
        <w:tc>
          <w:tcPr>
            <w:tcW w:w="2700" w:type="dxa"/>
          </w:tcPr>
          <w:p w14:paraId="2200666D">
            <w:pPr>
              <w:spacing w:line="360" w:lineRule="auto"/>
              <w:jc w:val="center"/>
              <w:rPr>
                <w:rFonts w:hint="eastAsia" w:ascii="宋体" w:hAnsi="宋体"/>
                <w:b/>
                <w:bCs/>
                <w:sz w:val="30"/>
                <w:highlight w:val="none"/>
              </w:rPr>
            </w:pPr>
          </w:p>
        </w:tc>
        <w:tc>
          <w:tcPr>
            <w:tcW w:w="2700" w:type="dxa"/>
          </w:tcPr>
          <w:p w14:paraId="6D263F90">
            <w:pPr>
              <w:spacing w:line="360" w:lineRule="auto"/>
              <w:jc w:val="center"/>
              <w:rPr>
                <w:rFonts w:hint="eastAsia" w:ascii="宋体" w:hAnsi="宋体"/>
                <w:b/>
                <w:bCs/>
                <w:sz w:val="30"/>
                <w:highlight w:val="none"/>
              </w:rPr>
            </w:pPr>
          </w:p>
        </w:tc>
        <w:tc>
          <w:tcPr>
            <w:tcW w:w="1260" w:type="dxa"/>
          </w:tcPr>
          <w:p w14:paraId="566B60AF">
            <w:pPr>
              <w:spacing w:line="360" w:lineRule="auto"/>
              <w:jc w:val="center"/>
              <w:rPr>
                <w:rFonts w:hint="eastAsia" w:ascii="宋体" w:hAnsi="宋体"/>
                <w:b/>
                <w:bCs/>
                <w:sz w:val="30"/>
                <w:highlight w:val="none"/>
              </w:rPr>
            </w:pPr>
          </w:p>
        </w:tc>
        <w:tc>
          <w:tcPr>
            <w:tcW w:w="1260" w:type="dxa"/>
          </w:tcPr>
          <w:p w14:paraId="69C82841">
            <w:pPr>
              <w:spacing w:line="360" w:lineRule="auto"/>
              <w:jc w:val="center"/>
              <w:rPr>
                <w:rFonts w:hint="eastAsia" w:ascii="宋体" w:hAnsi="宋体"/>
                <w:b/>
                <w:bCs/>
                <w:sz w:val="30"/>
                <w:highlight w:val="none"/>
              </w:rPr>
            </w:pPr>
          </w:p>
        </w:tc>
      </w:tr>
      <w:tr w14:paraId="6A58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0A18F73">
            <w:pPr>
              <w:spacing w:line="360" w:lineRule="auto"/>
              <w:jc w:val="center"/>
              <w:rPr>
                <w:rFonts w:hint="eastAsia" w:ascii="宋体" w:hAnsi="宋体"/>
                <w:b/>
                <w:bCs/>
                <w:sz w:val="30"/>
                <w:highlight w:val="none"/>
              </w:rPr>
            </w:pPr>
          </w:p>
        </w:tc>
        <w:tc>
          <w:tcPr>
            <w:tcW w:w="2700" w:type="dxa"/>
          </w:tcPr>
          <w:p w14:paraId="3E1BC179">
            <w:pPr>
              <w:spacing w:line="360" w:lineRule="auto"/>
              <w:jc w:val="center"/>
              <w:rPr>
                <w:rFonts w:hint="eastAsia" w:ascii="宋体" w:hAnsi="宋体"/>
                <w:b/>
                <w:bCs/>
                <w:sz w:val="30"/>
                <w:highlight w:val="none"/>
              </w:rPr>
            </w:pPr>
          </w:p>
        </w:tc>
        <w:tc>
          <w:tcPr>
            <w:tcW w:w="2700" w:type="dxa"/>
          </w:tcPr>
          <w:p w14:paraId="54442BFC">
            <w:pPr>
              <w:spacing w:line="360" w:lineRule="auto"/>
              <w:jc w:val="center"/>
              <w:rPr>
                <w:rFonts w:hint="eastAsia" w:ascii="宋体" w:hAnsi="宋体"/>
                <w:b/>
                <w:bCs/>
                <w:sz w:val="30"/>
                <w:highlight w:val="none"/>
              </w:rPr>
            </w:pPr>
          </w:p>
        </w:tc>
        <w:tc>
          <w:tcPr>
            <w:tcW w:w="1260" w:type="dxa"/>
          </w:tcPr>
          <w:p w14:paraId="6C4ECB33">
            <w:pPr>
              <w:spacing w:line="360" w:lineRule="auto"/>
              <w:jc w:val="center"/>
              <w:rPr>
                <w:rFonts w:hint="eastAsia" w:ascii="宋体" w:hAnsi="宋体"/>
                <w:b/>
                <w:bCs/>
                <w:sz w:val="30"/>
                <w:highlight w:val="none"/>
              </w:rPr>
            </w:pPr>
          </w:p>
        </w:tc>
        <w:tc>
          <w:tcPr>
            <w:tcW w:w="1260" w:type="dxa"/>
          </w:tcPr>
          <w:p w14:paraId="493C1680">
            <w:pPr>
              <w:spacing w:line="360" w:lineRule="auto"/>
              <w:jc w:val="center"/>
              <w:rPr>
                <w:rFonts w:hint="eastAsia" w:ascii="宋体" w:hAnsi="宋体"/>
                <w:b/>
                <w:bCs/>
                <w:sz w:val="30"/>
                <w:highlight w:val="none"/>
              </w:rPr>
            </w:pPr>
          </w:p>
        </w:tc>
      </w:tr>
      <w:tr w14:paraId="5B04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F2380E0">
            <w:pPr>
              <w:spacing w:line="360" w:lineRule="auto"/>
              <w:jc w:val="center"/>
              <w:rPr>
                <w:rFonts w:hint="eastAsia" w:ascii="宋体" w:hAnsi="宋体"/>
                <w:b/>
                <w:bCs/>
                <w:sz w:val="30"/>
                <w:highlight w:val="none"/>
              </w:rPr>
            </w:pPr>
          </w:p>
        </w:tc>
        <w:tc>
          <w:tcPr>
            <w:tcW w:w="2700" w:type="dxa"/>
          </w:tcPr>
          <w:p w14:paraId="60BCEE3C">
            <w:pPr>
              <w:spacing w:line="360" w:lineRule="auto"/>
              <w:jc w:val="center"/>
              <w:rPr>
                <w:rFonts w:hint="eastAsia" w:ascii="宋体" w:hAnsi="宋体"/>
                <w:b/>
                <w:bCs/>
                <w:sz w:val="30"/>
                <w:highlight w:val="none"/>
              </w:rPr>
            </w:pPr>
          </w:p>
        </w:tc>
        <w:tc>
          <w:tcPr>
            <w:tcW w:w="2700" w:type="dxa"/>
          </w:tcPr>
          <w:p w14:paraId="4A01D3EF">
            <w:pPr>
              <w:spacing w:line="360" w:lineRule="auto"/>
              <w:jc w:val="center"/>
              <w:rPr>
                <w:rFonts w:hint="eastAsia" w:ascii="宋体" w:hAnsi="宋体"/>
                <w:b/>
                <w:bCs/>
                <w:sz w:val="30"/>
                <w:highlight w:val="none"/>
              </w:rPr>
            </w:pPr>
          </w:p>
        </w:tc>
        <w:tc>
          <w:tcPr>
            <w:tcW w:w="1260" w:type="dxa"/>
          </w:tcPr>
          <w:p w14:paraId="6B136F4D">
            <w:pPr>
              <w:spacing w:line="360" w:lineRule="auto"/>
              <w:jc w:val="center"/>
              <w:rPr>
                <w:rFonts w:hint="eastAsia" w:ascii="宋体" w:hAnsi="宋体"/>
                <w:b/>
                <w:bCs/>
                <w:sz w:val="30"/>
                <w:highlight w:val="none"/>
              </w:rPr>
            </w:pPr>
          </w:p>
        </w:tc>
        <w:tc>
          <w:tcPr>
            <w:tcW w:w="1260" w:type="dxa"/>
          </w:tcPr>
          <w:p w14:paraId="5F95061E">
            <w:pPr>
              <w:spacing w:line="360" w:lineRule="auto"/>
              <w:jc w:val="center"/>
              <w:rPr>
                <w:rFonts w:hint="eastAsia" w:ascii="宋体" w:hAnsi="宋体"/>
                <w:b/>
                <w:bCs/>
                <w:sz w:val="30"/>
                <w:highlight w:val="none"/>
              </w:rPr>
            </w:pPr>
          </w:p>
        </w:tc>
      </w:tr>
    </w:tbl>
    <w:p w14:paraId="4AC6B15A">
      <w:pPr>
        <w:spacing w:line="360" w:lineRule="auto"/>
        <w:ind w:left="840" w:hanging="840" w:hangingChars="350"/>
        <w:rPr>
          <w:rFonts w:hint="eastAsia" w:ascii="宋体" w:hAnsi="宋体"/>
          <w:b/>
          <w:bCs/>
          <w:sz w:val="24"/>
          <w:szCs w:val="28"/>
          <w:highlight w:val="none"/>
        </w:rPr>
      </w:pPr>
      <w:r>
        <w:rPr>
          <w:rFonts w:hint="eastAsia" w:ascii="宋体" w:hAnsi="宋体"/>
          <w:sz w:val="24"/>
          <w:highlight w:val="none"/>
        </w:rPr>
        <w:t>注：</w:t>
      </w:r>
      <w:r>
        <w:rPr>
          <w:rFonts w:hint="eastAsia" w:ascii="宋体" w:hAnsi="宋体"/>
          <w:b/>
          <w:bCs/>
          <w:spacing w:val="14"/>
          <w:sz w:val="24"/>
          <w:szCs w:val="28"/>
          <w:highlight w:val="none"/>
        </w:rPr>
        <w:t>1、投标人必须按采购需求一一对应</w:t>
      </w:r>
      <w:r>
        <w:rPr>
          <w:rFonts w:hint="eastAsia" w:ascii="宋体" w:hAnsi="宋体"/>
          <w:b/>
          <w:bCs/>
          <w:spacing w:val="14"/>
          <w:sz w:val="24"/>
          <w:szCs w:val="28"/>
          <w:highlight w:val="none"/>
          <w:lang w:eastAsia="zh-CN"/>
        </w:rPr>
        <w:t>，</w:t>
      </w:r>
      <w:r>
        <w:rPr>
          <w:rFonts w:hint="eastAsia" w:ascii="宋体" w:hAnsi="宋体"/>
          <w:b/>
          <w:bCs/>
          <w:spacing w:val="14"/>
          <w:sz w:val="24"/>
          <w:szCs w:val="28"/>
          <w:highlight w:val="none"/>
        </w:rPr>
        <w:t>如实填写</w:t>
      </w:r>
      <w:r>
        <w:rPr>
          <w:rFonts w:hint="eastAsia" w:ascii="宋体" w:hAnsi="宋体"/>
          <w:b/>
          <w:bCs/>
          <w:sz w:val="24"/>
          <w:szCs w:val="28"/>
          <w:highlight w:val="none"/>
        </w:rPr>
        <w:t>，未按要求填写的，有可能作负偏离处理；</w:t>
      </w:r>
    </w:p>
    <w:p w14:paraId="204127D1">
      <w:pPr>
        <w:spacing w:line="360" w:lineRule="auto"/>
        <w:ind w:firstLine="480" w:firstLineChars="200"/>
        <w:rPr>
          <w:rFonts w:hint="eastAsia" w:ascii="宋体" w:hAnsi="宋体"/>
          <w:b/>
          <w:bCs/>
          <w:spacing w:val="14"/>
          <w:szCs w:val="28"/>
          <w:highlight w:val="none"/>
        </w:rPr>
      </w:pPr>
      <w:r>
        <w:rPr>
          <w:rFonts w:hint="eastAsia" w:ascii="宋体" w:hAnsi="宋体"/>
          <w:sz w:val="24"/>
          <w:highlight w:val="none"/>
        </w:rPr>
        <w:t>2、此表仅提供了表格形式，投标人应根据需要准备足够数量的表格来填写。</w:t>
      </w:r>
    </w:p>
    <w:p w14:paraId="71024EDA">
      <w:pPr>
        <w:snapToGrid w:val="0"/>
        <w:spacing w:line="360" w:lineRule="auto"/>
        <w:rPr>
          <w:rFonts w:hint="eastAsia" w:ascii="宋体" w:hAnsi="宋体"/>
          <w:spacing w:val="20"/>
          <w:sz w:val="24"/>
          <w:szCs w:val="20"/>
          <w:highlight w:val="none"/>
          <w:u w:val="single"/>
        </w:rPr>
      </w:pPr>
      <w:r>
        <w:rPr>
          <w:rFonts w:hint="eastAsia" w:ascii="宋体" w:hAnsi="宋体"/>
          <w:spacing w:val="20"/>
          <w:sz w:val="24"/>
          <w:highlight w:val="none"/>
        </w:rPr>
        <w:t>授权代表签名：</w:t>
      </w:r>
    </w:p>
    <w:p w14:paraId="52CF37BC">
      <w:pPr>
        <w:snapToGrid w:val="0"/>
        <w:spacing w:line="360" w:lineRule="auto"/>
        <w:jc w:val="left"/>
        <w:rPr>
          <w:rFonts w:hint="eastAsia" w:ascii="宋体" w:hAnsi="宋体"/>
          <w:sz w:val="24"/>
          <w:highlight w:val="none"/>
        </w:rPr>
      </w:pPr>
      <w:r>
        <w:rPr>
          <w:rFonts w:hint="eastAsia" w:ascii="宋体" w:hAnsi="宋体"/>
          <w:spacing w:val="20"/>
          <w:sz w:val="24"/>
          <w:highlight w:val="none"/>
        </w:rPr>
        <w:t>投标人盖章：日期：</w:t>
      </w:r>
    </w:p>
    <w:p w14:paraId="347282DA">
      <w:pPr>
        <w:snapToGrid w:val="0"/>
        <w:spacing w:line="360" w:lineRule="auto"/>
        <w:jc w:val="left"/>
        <w:rPr>
          <w:rFonts w:hint="eastAsia" w:ascii="宋体" w:hAnsi="宋体"/>
          <w:sz w:val="24"/>
          <w:szCs w:val="20"/>
          <w:highlight w:val="none"/>
        </w:rPr>
      </w:pPr>
      <w:r>
        <w:rPr>
          <w:rFonts w:hint="eastAsia" w:ascii="宋体" w:hAnsi="宋体"/>
          <w:sz w:val="24"/>
          <w:szCs w:val="20"/>
          <w:highlight w:val="none"/>
        </w:rPr>
        <w:t>18.</w:t>
      </w:r>
      <w:r>
        <w:rPr>
          <w:rFonts w:hint="eastAsia" w:ascii="宋体" w:hAnsi="宋体"/>
          <w:sz w:val="24"/>
          <w:highlight w:val="none"/>
        </w:rPr>
        <w:t>项目实施人员一览表格式：</w:t>
      </w:r>
    </w:p>
    <w:p w14:paraId="2C6F5BDC">
      <w:pPr>
        <w:snapToGrid w:val="0"/>
        <w:spacing w:line="360" w:lineRule="auto"/>
        <w:jc w:val="center"/>
        <w:rPr>
          <w:rFonts w:hint="eastAsia" w:ascii="宋体" w:hAnsi="宋体"/>
          <w:b/>
          <w:sz w:val="24"/>
          <w:szCs w:val="20"/>
          <w:highlight w:val="none"/>
        </w:rPr>
      </w:pPr>
      <w:r>
        <w:rPr>
          <w:rFonts w:hint="eastAsia" w:ascii="宋体" w:hAnsi="宋体"/>
          <w:b/>
          <w:sz w:val="24"/>
          <w:highlight w:val="none"/>
        </w:rPr>
        <w:t>项目实施人员（主要从业人员及其技术资格）一览表</w:t>
      </w:r>
    </w:p>
    <w:p w14:paraId="576E8AE0">
      <w:pPr>
        <w:snapToGrid w:val="0"/>
        <w:spacing w:line="360" w:lineRule="auto"/>
        <w:rPr>
          <w:rFonts w:hint="eastAsia" w:ascii="宋体" w:hAnsi="宋体"/>
          <w:sz w:val="24"/>
          <w:szCs w:val="20"/>
          <w:highlight w:val="none"/>
        </w:rPr>
      </w:pPr>
      <w:r>
        <w:rPr>
          <w:rFonts w:hint="eastAsia" w:ascii="宋体" w:hAnsi="宋体"/>
          <w:highlight w:val="none"/>
        </w:rPr>
        <w:t>项目名称：</w:t>
      </w:r>
    </w:p>
    <w:tbl>
      <w:tblPr>
        <w:tblStyle w:val="28"/>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3776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1AC216B9">
            <w:pPr>
              <w:snapToGrid w:val="0"/>
              <w:spacing w:line="360" w:lineRule="auto"/>
              <w:rPr>
                <w:rFonts w:hint="eastAsia" w:ascii="宋体" w:hAnsi="宋体"/>
                <w:sz w:val="24"/>
                <w:szCs w:val="20"/>
                <w:highlight w:val="none"/>
              </w:rPr>
            </w:pPr>
            <w:r>
              <w:rPr>
                <w:rFonts w:hint="eastAsia" w:ascii="宋体" w:hAnsi="宋体"/>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05E28187">
            <w:pPr>
              <w:snapToGrid w:val="0"/>
              <w:spacing w:line="360" w:lineRule="auto"/>
              <w:rPr>
                <w:rFonts w:hint="eastAsia" w:ascii="宋体" w:hAnsi="宋体"/>
                <w:sz w:val="24"/>
                <w:szCs w:val="20"/>
                <w:highlight w:val="none"/>
              </w:rPr>
            </w:pPr>
            <w:r>
              <w:rPr>
                <w:rFonts w:hint="eastAsia" w:ascii="宋体" w:hAnsi="宋体"/>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42AA41B4">
            <w:pPr>
              <w:snapToGrid w:val="0"/>
              <w:spacing w:line="360" w:lineRule="auto"/>
              <w:jc w:val="center"/>
              <w:rPr>
                <w:rFonts w:hint="eastAsia" w:ascii="宋体" w:hAnsi="宋体"/>
                <w:sz w:val="24"/>
                <w:szCs w:val="20"/>
                <w:highlight w:val="none"/>
              </w:rPr>
            </w:pPr>
            <w:r>
              <w:rPr>
                <w:rFonts w:hint="eastAsia" w:ascii="宋体" w:hAnsi="宋体"/>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AA0A66D">
            <w:pPr>
              <w:snapToGrid w:val="0"/>
              <w:spacing w:line="360" w:lineRule="auto"/>
              <w:rPr>
                <w:rFonts w:hint="eastAsia" w:ascii="宋体" w:hAnsi="宋体"/>
                <w:sz w:val="24"/>
                <w:szCs w:val="20"/>
                <w:highlight w:val="none"/>
              </w:rPr>
            </w:pPr>
            <w:r>
              <w:rPr>
                <w:rFonts w:hint="eastAsia" w:ascii="宋体" w:hAnsi="宋体"/>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0CC8EAAF">
            <w:pPr>
              <w:snapToGrid w:val="0"/>
              <w:spacing w:line="360" w:lineRule="auto"/>
              <w:rPr>
                <w:rFonts w:hint="eastAsia" w:ascii="宋体" w:hAnsi="宋体"/>
                <w:bCs/>
                <w:sz w:val="24"/>
                <w:szCs w:val="20"/>
                <w:highlight w:val="none"/>
              </w:rPr>
            </w:pPr>
            <w:r>
              <w:rPr>
                <w:rFonts w:hint="eastAsia" w:ascii="宋体" w:hAnsi="宋体"/>
                <w:bCs/>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21141A88">
            <w:pPr>
              <w:snapToGrid w:val="0"/>
              <w:spacing w:line="360" w:lineRule="auto"/>
              <w:rPr>
                <w:rFonts w:hint="eastAsia" w:ascii="宋体" w:hAnsi="宋体"/>
                <w:bCs/>
                <w:sz w:val="24"/>
                <w:szCs w:val="20"/>
                <w:highlight w:val="none"/>
              </w:rPr>
            </w:pPr>
            <w:r>
              <w:rPr>
                <w:rFonts w:hint="eastAsia" w:ascii="宋体" w:hAnsi="宋体"/>
                <w:bCs/>
                <w:sz w:val="24"/>
                <w:highlight w:val="none"/>
              </w:rPr>
              <w:t>劳动合同编号</w:t>
            </w:r>
          </w:p>
        </w:tc>
      </w:tr>
      <w:tr w14:paraId="3FF99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EA8834">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04A7B48">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6D19ACF8">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88BD98F">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212BC1C">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3622E06">
            <w:pPr>
              <w:snapToGrid w:val="0"/>
              <w:spacing w:line="360" w:lineRule="auto"/>
              <w:rPr>
                <w:rFonts w:hint="eastAsia" w:ascii="宋体" w:hAnsi="宋体"/>
                <w:sz w:val="24"/>
                <w:szCs w:val="20"/>
                <w:highlight w:val="none"/>
              </w:rPr>
            </w:pPr>
          </w:p>
        </w:tc>
      </w:tr>
      <w:tr w14:paraId="54696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A011AE">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1A6AE0">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DCA452B">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6131B074">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69CE038">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AB9E12C">
            <w:pPr>
              <w:snapToGrid w:val="0"/>
              <w:spacing w:line="360" w:lineRule="auto"/>
              <w:rPr>
                <w:rFonts w:hint="eastAsia" w:ascii="宋体" w:hAnsi="宋体"/>
                <w:sz w:val="24"/>
                <w:szCs w:val="20"/>
                <w:highlight w:val="none"/>
              </w:rPr>
            </w:pPr>
          </w:p>
        </w:tc>
      </w:tr>
      <w:tr w14:paraId="7BE5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EDCD63">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B9D00C">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7EA8646">
            <w:pPr>
              <w:pStyle w:val="15"/>
              <w:snapToGrid w:val="0"/>
              <w:spacing w:line="360" w:lineRule="auto"/>
              <w:ind w:left="5250"/>
              <w:rPr>
                <w:rFonts w:hint="eastAsia" w:ascii="宋体" w:hAnsi="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9477B11">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08AC3807">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65427421">
            <w:pPr>
              <w:snapToGrid w:val="0"/>
              <w:spacing w:line="360" w:lineRule="auto"/>
              <w:rPr>
                <w:rFonts w:hint="eastAsia" w:ascii="宋体" w:hAnsi="宋体"/>
                <w:sz w:val="24"/>
                <w:szCs w:val="20"/>
                <w:highlight w:val="none"/>
              </w:rPr>
            </w:pPr>
          </w:p>
        </w:tc>
      </w:tr>
      <w:tr w14:paraId="5B723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31EDBC">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8204953">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512C2A2">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2311AB5">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A2ECA29">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CE9097F">
            <w:pPr>
              <w:snapToGrid w:val="0"/>
              <w:spacing w:line="360" w:lineRule="auto"/>
              <w:rPr>
                <w:rFonts w:hint="eastAsia" w:ascii="宋体" w:hAnsi="宋体"/>
                <w:sz w:val="24"/>
                <w:szCs w:val="20"/>
                <w:highlight w:val="none"/>
              </w:rPr>
            </w:pPr>
          </w:p>
        </w:tc>
      </w:tr>
      <w:tr w14:paraId="31A09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193AE7">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0C92BFA">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9FD851E">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3E3CD9C">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3761E294">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23572BEA">
            <w:pPr>
              <w:snapToGrid w:val="0"/>
              <w:spacing w:line="360" w:lineRule="auto"/>
              <w:rPr>
                <w:rFonts w:hint="eastAsia" w:ascii="宋体" w:hAnsi="宋体"/>
                <w:sz w:val="24"/>
                <w:szCs w:val="20"/>
                <w:highlight w:val="none"/>
              </w:rPr>
            </w:pPr>
          </w:p>
        </w:tc>
      </w:tr>
      <w:tr w14:paraId="165E2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2F88DC">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73C4F97">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959F3D0">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206C742">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03B09269">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234516B">
            <w:pPr>
              <w:snapToGrid w:val="0"/>
              <w:spacing w:line="360" w:lineRule="auto"/>
              <w:rPr>
                <w:rFonts w:hint="eastAsia" w:ascii="宋体" w:hAnsi="宋体"/>
                <w:sz w:val="24"/>
                <w:szCs w:val="20"/>
                <w:highlight w:val="none"/>
              </w:rPr>
            </w:pPr>
          </w:p>
        </w:tc>
      </w:tr>
      <w:tr w14:paraId="4BFD6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8A70EF">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EE540DD">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657D3A7">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EA228BB">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B0540D0">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027A842">
            <w:pPr>
              <w:snapToGrid w:val="0"/>
              <w:spacing w:line="360" w:lineRule="auto"/>
              <w:rPr>
                <w:rFonts w:hint="eastAsia" w:ascii="宋体" w:hAnsi="宋体"/>
                <w:sz w:val="24"/>
                <w:szCs w:val="20"/>
                <w:highlight w:val="none"/>
              </w:rPr>
            </w:pPr>
          </w:p>
        </w:tc>
      </w:tr>
      <w:tr w14:paraId="7B1A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417B09">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98C7FD7">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49A74A6B">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6AA3D04F">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0A70A811">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9F12AED">
            <w:pPr>
              <w:snapToGrid w:val="0"/>
              <w:spacing w:line="360" w:lineRule="auto"/>
              <w:rPr>
                <w:rFonts w:hint="eastAsia" w:ascii="宋体" w:hAnsi="宋体"/>
                <w:sz w:val="24"/>
                <w:szCs w:val="20"/>
                <w:highlight w:val="none"/>
              </w:rPr>
            </w:pPr>
          </w:p>
        </w:tc>
      </w:tr>
      <w:tr w14:paraId="6F7ED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E1BB36">
            <w:pPr>
              <w:snapToGrid w:val="0"/>
              <w:spacing w:line="360" w:lineRule="auto"/>
              <w:rPr>
                <w:rFonts w:hint="eastAsia" w:ascii="宋体" w:hAnsi="宋体"/>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A7647CD">
            <w:pPr>
              <w:snapToGrid w:val="0"/>
              <w:spacing w:line="360" w:lineRule="auto"/>
              <w:rPr>
                <w:rFonts w:hint="eastAsia" w:ascii="宋体" w:hAnsi="宋体"/>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0DFE24D">
            <w:pPr>
              <w:snapToGrid w:val="0"/>
              <w:spacing w:line="360" w:lineRule="auto"/>
              <w:rPr>
                <w:rFonts w:hint="eastAsia" w:ascii="宋体" w:hAnsi="宋体"/>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A37A266">
            <w:pPr>
              <w:snapToGrid w:val="0"/>
              <w:spacing w:line="360" w:lineRule="auto"/>
              <w:rPr>
                <w:rFonts w:hint="eastAsia" w:ascii="宋体" w:hAnsi="宋体"/>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C5F2B19">
            <w:pPr>
              <w:snapToGrid w:val="0"/>
              <w:spacing w:line="360" w:lineRule="auto"/>
              <w:rPr>
                <w:rFonts w:hint="eastAsia" w:ascii="宋体" w:hAnsi="宋体"/>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D3AEC40">
            <w:pPr>
              <w:snapToGrid w:val="0"/>
              <w:spacing w:line="360" w:lineRule="auto"/>
              <w:rPr>
                <w:rFonts w:hint="eastAsia" w:ascii="宋体" w:hAnsi="宋体"/>
                <w:sz w:val="24"/>
                <w:szCs w:val="20"/>
                <w:highlight w:val="none"/>
              </w:rPr>
            </w:pPr>
          </w:p>
        </w:tc>
      </w:tr>
    </w:tbl>
    <w:p w14:paraId="23568A35">
      <w:pPr>
        <w:snapToGrid w:val="0"/>
        <w:spacing w:line="360" w:lineRule="auto"/>
        <w:jc w:val="left"/>
        <w:rPr>
          <w:rFonts w:hint="eastAsia" w:ascii="宋体" w:hAnsi="宋体"/>
          <w:sz w:val="24"/>
          <w:szCs w:val="20"/>
          <w:highlight w:val="none"/>
        </w:rPr>
      </w:pPr>
      <w:r>
        <w:rPr>
          <w:rFonts w:hint="eastAsia" w:ascii="宋体" w:hAnsi="宋体"/>
          <w:sz w:val="24"/>
          <w:highlight w:val="none"/>
        </w:rPr>
        <w:t>注：在填写时，如本表格不适合投标单位的实际情况，可根据本表格式自行划表填写。</w:t>
      </w:r>
    </w:p>
    <w:p w14:paraId="5E39FB6C">
      <w:pPr>
        <w:snapToGrid w:val="0"/>
        <w:spacing w:line="360" w:lineRule="auto"/>
        <w:rPr>
          <w:rFonts w:hint="eastAsia" w:ascii="宋体" w:hAnsi="宋体"/>
          <w:spacing w:val="20"/>
          <w:sz w:val="24"/>
          <w:szCs w:val="20"/>
          <w:highlight w:val="none"/>
          <w:u w:val="single"/>
        </w:rPr>
      </w:pPr>
      <w:r>
        <w:rPr>
          <w:rFonts w:hint="eastAsia" w:ascii="宋体" w:hAnsi="宋体"/>
          <w:spacing w:val="20"/>
          <w:sz w:val="24"/>
          <w:highlight w:val="none"/>
        </w:rPr>
        <w:t>授权代表签名：</w:t>
      </w:r>
    </w:p>
    <w:p w14:paraId="39299CAE">
      <w:pPr>
        <w:snapToGrid w:val="0"/>
        <w:spacing w:line="360" w:lineRule="auto"/>
        <w:jc w:val="left"/>
        <w:rPr>
          <w:rFonts w:hint="eastAsia" w:ascii="宋体" w:hAnsi="宋体"/>
          <w:spacing w:val="20"/>
          <w:sz w:val="24"/>
          <w:szCs w:val="20"/>
          <w:highlight w:val="none"/>
          <w:u w:val="single"/>
        </w:rPr>
      </w:pPr>
      <w:r>
        <w:rPr>
          <w:rFonts w:hint="eastAsia" w:ascii="宋体" w:hAnsi="宋体"/>
          <w:spacing w:val="20"/>
          <w:sz w:val="24"/>
          <w:highlight w:val="none"/>
        </w:rPr>
        <w:t>投标人盖章：日期：</w:t>
      </w:r>
    </w:p>
    <w:p w14:paraId="52923994">
      <w:pPr>
        <w:rPr>
          <w:highlight w:val="none"/>
        </w:rPr>
      </w:pPr>
    </w:p>
    <w:p w14:paraId="2E88FD21">
      <w:pPr>
        <w:snapToGrid w:val="0"/>
        <w:spacing w:line="360" w:lineRule="auto"/>
        <w:jc w:val="left"/>
        <w:rPr>
          <w:rFonts w:hint="eastAsia" w:ascii="宋体" w:hAnsi="宋体" w:cs="宋体"/>
          <w:color w:val="FF0000"/>
          <w:sz w:val="24"/>
          <w:highlight w:val="none"/>
        </w:rPr>
      </w:pPr>
    </w:p>
    <w:p w14:paraId="0860B7AE">
      <w:pPr>
        <w:pStyle w:val="11"/>
        <w:rPr>
          <w:highlight w:val="none"/>
        </w:rPr>
      </w:pPr>
    </w:p>
    <w:p w14:paraId="786FAD92">
      <w:pPr>
        <w:rPr>
          <w:highlight w:val="none"/>
        </w:rPr>
      </w:pPr>
    </w:p>
    <w:p w14:paraId="3CC196BA">
      <w:pPr>
        <w:snapToGrid w:val="0"/>
        <w:spacing w:line="360" w:lineRule="auto"/>
        <w:jc w:val="left"/>
        <w:rPr>
          <w:rFonts w:hint="eastAsia" w:ascii="宋体" w:hAnsi="宋体"/>
          <w:sz w:val="24"/>
          <w:szCs w:val="20"/>
          <w:highlight w:val="none"/>
        </w:rPr>
      </w:pPr>
      <w:r>
        <w:rPr>
          <w:rFonts w:hint="eastAsia" w:ascii="宋体" w:hAnsi="宋体"/>
          <w:sz w:val="24"/>
          <w:highlight w:val="none"/>
        </w:rPr>
        <w:t>19.投标人对本项目的合理化建议和改进措施（格式自拟）</w:t>
      </w:r>
    </w:p>
    <w:p w14:paraId="2D8E4B81">
      <w:pPr>
        <w:snapToGrid w:val="0"/>
        <w:spacing w:line="360" w:lineRule="auto"/>
        <w:jc w:val="left"/>
        <w:rPr>
          <w:rFonts w:hint="eastAsia" w:ascii="宋体" w:hAnsi="宋体"/>
          <w:sz w:val="24"/>
          <w:szCs w:val="20"/>
          <w:highlight w:val="none"/>
        </w:rPr>
      </w:pPr>
    </w:p>
    <w:p w14:paraId="735290E9">
      <w:pPr>
        <w:pStyle w:val="11"/>
        <w:rPr>
          <w:highlight w:val="none"/>
        </w:rPr>
      </w:pPr>
    </w:p>
    <w:p w14:paraId="0E632317">
      <w:pPr>
        <w:rPr>
          <w:highlight w:val="none"/>
        </w:rPr>
      </w:pPr>
    </w:p>
    <w:p w14:paraId="17EC74C6">
      <w:pPr>
        <w:pStyle w:val="7"/>
        <w:rPr>
          <w:highlight w:val="none"/>
        </w:rPr>
      </w:pPr>
    </w:p>
    <w:p w14:paraId="50881BBC">
      <w:pPr>
        <w:snapToGrid w:val="0"/>
        <w:spacing w:line="360" w:lineRule="auto"/>
        <w:jc w:val="left"/>
        <w:rPr>
          <w:rFonts w:hint="eastAsia" w:ascii="宋体" w:hAnsi="宋体"/>
          <w:sz w:val="24"/>
          <w:highlight w:val="none"/>
        </w:rPr>
      </w:pPr>
      <w:r>
        <w:rPr>
          <w:rFonts w:hint="eastAsia" w:ascii="宋体" w:hAnsi="宋体"/>
          <w:sz w:val="24"/>
          <w:highlight w:val="none"/>
        </w:rPr>
        <w:t>20.投标人需要说明的其他文件和说明（格式自拟）</w:t>
      </w:r>
    </w:p>
    <w:p w14:paraId="06D49575">
      <w:pPr>
        <w:pStyle w:val="11"/>
        <w:rPr>
          <w:highlight w:val="none"/>
        </w:rPr>
        <w:sectPr>
          <w:headerReference r:id="rId3" w:type="default"/>
          <w:footerReference r:id="rId4" w:type="default"/>
          <w:footerReference r:id="rId5" w:type="even"/>
          <w:pgSz w:w="11906" w:h="16838"/>
          <w:pgMar w:top="1440" w:right="1080" w:bottom="1440" w:left="1080" w:header="851" w:footer="851" w:gutter="0"/>
          <w:cols w:space="720" w:num="1"/>
          <w:docGrid w:linePitch="312" w:charSpace="0"/>
        </w:sectPr>
      </w:pPr>
    </w:p>
    <w:p w14:paraId="6B5C7F41">
      <w:pPr>
        <w:snapToGrid w:val="0"/>
        <w:spacing w:line="360" w:lineRule="auto"/>
        <w:jc w:val="left"/>
        <w:rPr>
          <w:rFonts w:hint="eastAsia" w:ascii="宋体" w:hAnsi="宋体"/>
          <w:sz w:val="24"/>
          <w:highlight w:val="none"/>
        </w:rPr>
      </w:pPr>
      <w:r>
        <w:rPr>
          <w:rFonts w:hint="eastAsia" w:ascii="宋体" w:hAnsi="宋体"/>
          <w:sz w:val="24"/>
          <w:highlight w:val="none"/>
        </w:rPr>
        <w:t>21.投标人的类似成功案例的业绩证明文件：</w:t>
      </w:r>
    </w:p>
    <w:p w14:paraId="538D4016">
      <w:pPr>
        <w:pStyle w:val="20"/>
        <w:snapToGrid w:val="0"/>
        <w:spacing w:line="360" w:lineRule="auto"/>
        <w:ind w:left="480" w:hanging="480"/>
        <w:rPr>
          <w:rFonts w:hint="eastAsia" w:ascii="宋体" w:hAnsi="宋体"/>
          <w:sz w:val="24"/>
          <w:highlight w:val="none"/>
        </w:rPr>
      </w:pPr>
      <w:r>
        <w:rPr>
          <w:rFonts w:ascii="宋体" w:hAnsi="宋体"/>
          <w:sz w:val="24"/>
          <w:highlight w:val="none"/>
        </w:rPr>
        <w:t>投标人同类项目实施情况一览表格式：（投标人同类项目合同复印件）</w:t>
      </w:r>
    </w:p>
    <w:tbl>
      <w:tblPr>
        <w:tblStyle w:val="2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4BDC0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B4DAC17">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B044960">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4B87F01">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采购</w:t>
            </w:r>
          </w:p>
          <w:p w14:paraId="084FD11B">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802AB60">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588F31E">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合同</w:t>
            </w:r>
          </w:p>
          <w:p w14:paraId="0DB6FFEE">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金额</w:t>
            </w:r>
          </w:p>
          <w:p w14:paraId="1F4FB7A1">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1DEDFA81">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58FDC74">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采购单位联系人及</w:t>
            </w:r>
          </w:p>
          <w:p w14:paraId="70263E02">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联系电话</w:t>
            </w:r>
          </w:p>
        </w:tc>
      </w:tr>
      <w:tr w14:paraId="4AD9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9A690BD">
            <w:pPr>
              <w:widowControl/>
              <w:spacing w:line="360" w:lineRule="auto"/>
              <w:jc w:val="left"/>
              <w:rPr>
                <w:rFonts w:hint="eastAsia" w:ascii="宋体" w:hAnsi="宋体"/>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5FE0430">
            <w:pPr>
              <w:widowControl/>
              <w:spacing w:line="360" w:lineRule="auto"/>
              <w:jc w:val="left"/>
              <w:rPr>
                <w:rFonts w:hint="eastAsia" w:ascii="宋体" w:hAnsi="宋体"/>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7D11ED">
            <w:pPr>
              <w:widowControl/>
              <w:spacing w:line="360" w:lineRule="auto"/>
              <w:jc w:val="left"/>
              <w:rPr>
                <w:rFonts w:hint="eastAsia" w:ascii="宋体" w:hAnsi="宋体"/>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5632AF0">
            <w:pPr>
              <w:widowControl/>
              <w:spacing w:line="360" w:lineRule="auto"/>
              <w:jc w:val="left"/>
              <w:rPr>
                <w:rFonts w:hint="eastAsia" w:ascii="宋体" w:hAnsi="宋体"/>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D757ACF">
            <w:pPr>
              <w:pStyle w:val="20"/>
              <w:snapToGrid w:val="0"/>
              <w:spacing w:line="360" w:lineRule="auto"/>
              <w:ind w:left="480" w:hanging="480"/>
              <w:rPr>
                <w:rFonts w:hint="eastAsia" w:ascii="宋体" w:hAnsi="宋体"/>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6397497">
            <w:pPr>
              <w:pStyle w:val="20"/>
              <w:snapToGrid w:val="0"/>
              <w:spacing w:line="360" w:lineRule="auto"/>
              <w:ind w:left="480" w:hanging="480"/>
              <w:jc w:val="center"/>
              <w:rPr>
                <w:rFonts w:hint="eastAsia" w:ascii="宋体" w:hAnsi="宋体"/>
                <w:sz w:val="24"/>
                <w:highlight w:val="none"/>
              </w:rPr>
            </w:pPr>
            <w:r>
              <w:rPr>
                <w:rFonts w:hint="eastAsia" w:ascii="宋体" w:hAnsi="宋体"/>
                <w:sz w:val="24"/>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D03080A">
            <w:pPr>
              <w:widowControl/>
              <w:spacing w:line="360" w:lineRule="auto"/>
              <w:jc w:val="left"/>
              <w:rPr>
                <w:rFonts w:hint="eastAsia" w:ascii="宋体" w:hAnsi="宋体"/>
                <w:sz w:val="18"/>
                <w:highlight w:val="none"/>
              </w:rPr>
            </w:pPr>
          </w:p>
        </w:tc>
      </w:tr>
      <w:tr w14:paraId="268E3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39C50EC1">
            <w:pPr>
              <w:snapToGrid w:val="0"/>
              <w:spacing w:line="360" w:lineRule="auto"/>
              <w:jc w:val="left"/>
              <w:rPr>
                <w:rFonts w:hint="eastAsia" w:ascii="宋体" w:hAnsi="宋体"/>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5845197D">
            <w:pPr>
              <w:snapToGrid w:val="0"/>
              <w:spacing w:line="360" w:lineRule="auto"/>
              <w:jc w:val="left"/>
              <w:rPr>
                <w:rFonts w:hint="eastAsia" w:ascii="宋体" w:hAnsi="宋体"/>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A40EA16">
            <w:pPr>
              <w:snapToGrid w:val="0"/>
              <w:spacing w:line="360" w:lineRule="auto"/>
              <w:jc w:val="left"/>
              <w:rPr>
                <w:rFonts w:hint="eastAsia" w:ascii="宋体" w:hAnsi="宋体"/>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EF61421">
            <w:pPr>
              <w:snapToGrid w:val="0"/>
              <w:spacing w:line="360" w:lineRule="auto"/>
              <w:jc w:val="left"/>
              <w:rPr>
                <w:rFonts w:hint="eastAsia" w:ascii="宋体" w:hAnsi="宋体"/>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322C1FE">
            <w:pPr>
              <w:snapToGrid w:val="0"/>
              <w:spacing w:line="360" w:lineRule="auto"/>
              <w:jc w:val="left"/>
              <w:rPr>
                <w:rFonts w:hint="eastAsia" w:ascii="宋体" w:hAnsi="宋体"/>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61D3A66">
            <w:pPr>
              <w:snapToGrid w:val="0"/>
              <w:spacing w:line="360" w:lineRule="auto"/>
              <w:jc w:val="left"/>
              <w:rPr>
                <w:rFonts w:hint="eastAsia" w:ascii="宋体" w:hAnsi="宋体"/>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DB375C4">
            <w:pPr>
              <w:snapToGrid w:val="0"/>
              <w:spacing w:line="360" w:lineRule="auto"/>
              <w:jc w:val="left"/>
              <w:rPr>
                <w:rFonts w:hint="eastAsia" w:ascii="宋体" w:hAnsi="宋体"/>
                <w:sz w:val="18"/>
                <w:szCs w:val="20"/>
                <w:highlight w:val="none"/>
              </w:rPr>
            </w:pPr>
          </w:p>
        </w:tc>
      </w:tr>
      <w:tr w14:paraId="3646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11187FC">
            <w:pPr>
              <w:snapToGrid w:val="0"/>
              <w:spacing w:line="360" w:lineRule="auto"/>
              <w:jc w:val="left"/>
              <w:rPr>
                <w:rFonts w:hint="eastAsia"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22059B08">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C8D35B5">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6E62634">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EF346FA">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F3CBC3B">
            <w:pPr>
              <w:snapToGrid w:val="0"/>
              <w:spacing w:line="360" w:lineRule="auto"/>
              <w:jc w:val="left"/>
              <w:rPr>
                <w:rFonts w:hint="eastAsia"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462F63E8">
            <w:pPr>
              <w:snapToGrid w:val="0"/>
              <w:spacing w:line="360" w:lineRule="auto"/>
              <w:jc w:val="left"/>
              <w:rPr>
                <w:rFonts w:hint="eastAsia" w:ascii="宋体" w:hAnsi="宋体"/>
                <w:sz w:val="24"/>
                <w:szCs w:val="20"/>
                <w:highlight w:val="none"/>
              </w:rPr>
            </w:pPr>
          </w:p>
        </w:tc>
      </w:tr>
      <w:tr w14:paraId="2B330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21BE08D">
            <w:pPr>
              <w:snapToGrid w:val="0"/>
              <w:spacing w:line="360" w:lineRule="auto"/>
              <w:jc w:val="left"/>
              <w:rPr>
                <w:rFonts w:hint="eastAsia"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156EA856">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EF49D0B">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A93F028">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43FA102">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46AA657">
            <w:pPr>
              <w:snapToGrid w:val="0"/>
              <w:spacing w:line="360" w:lineRule="auto"/>
              <w:jc w:val="left"/>
              <w:rPr>
                <w:rFonts w:hint="eastAsia"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C30A62B">
            <w:pPr>
              <w:snapToGrid w:val="0"/>
              <w:spacing w:line="360" w:lineRule="auto"/>
              <w:jc w:val="left"/>
              <w:rPr>
                <w:rFonts w:hint="eastAsia" w:ascii="宋体" w:hAnsi="宋体"/>
                <w:sz w:val="24"/>
                <w:szCs w:val="20"/>
                <w:highlight w:val="none"/>
              </w:rPr>
            </w:pPr>
          </w:p>
        </w:tc>
      </w:tr>
      <w:tr w14:paraId="4DAEA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60803E0E">
            <w:pPr>
              <w:snapToGrid w:val="0"/>
              <w:spacing w:line="360" w:lineRule="auto"/>
              <w:jc w:val="left"/>
              <w:rPr>
                <w:rFonts w:hint="eastAsia"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0D39B75">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B8FC10F">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15085F28">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0EE1D359">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462C4537">
            <w:pPr>
              <w:snapToGrid w:val="0"/>
              <w:spacing w:line="360" w:lineRule="auto"/>
              <w:jc w:val="left"/>
              <w:rPr>
                <w:rFonts w:hint="eastAsia"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1AD4EF26">
            <w:pPr>
              <w:snapToGrid w:val="0"/>
              <w:spacing w:line="360" w:lineRule="auto"/>
              <w:jc w:val="left"/>
              <w:rPr>
                <w:rFonts w:hint="eastAsia" w:ascii="宋体" w:hAnsi="宋体"/>
                <w:sz w:val="24"/>
                <w:szCs w:val="20"/>
                <w:highlight w:val="none"/>
              </w:rPr>
            </w:pPr>
          </w:p>
        </w:tc>
      </w:tr>
      <w:tr w14:paraId="2BBBB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208F309B">
            <w:pPr>
              <w:snapToGrid w:val="0"/>
              <w:spacing w:line="360" w:lineRule="auto"/>
              <w:jc w:val="left"/>
              <w:rPr>
                <w:rFonts w:hint="eastAsia"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2288E2A">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09B3E25E">
            <w:pPr>
              <w:snapToGrid w:val="0"/>
              <w:spacing w:line="360" w:lineRule="auto"/>
              <w:jc w:val="left"/>
              <w:rPr>
                <w:rFonts w:hint="eastAsia"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5B377BC4">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5B97D7EC">
            <w:pPr>
              <w:snapToGrid w:val="0"/>
              <w:spacing w:line="360" w:lineRule="auto"/>
              <w:jc w:val="left"/>
              <w:rPr>
                <w:rFonts w:hint="eastAsia" w:ascii="宋体" w:hAnsi="宋体"/>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76CD8BF">
            <w:pPr>
              <w:snapToGrid w:val="0"/>
              <w:spacing w:line="360" w:lineRule="auto"/>
              <w:jc w:val="left"/>
              <w:rPr>
                <w:rFonts w:hint="eastAsia"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0723C4FD">
            <w:pPr>
              <w:snapToGrid w:val="0"/>
              <w:spacing w:line="360" w:lineRule="auto"/>
              <w:jc w:val="left"/>
              <w:rPr>
                <w:rFonts w:hint="eastAsia" w:ascii="宋体" w:hAnsi="宋体"/>
                <w:sz w:val="24"/>
                <w:szCs w:val="20"/>
                <w:highlight w:val="none"/>
              </w:rPr>
            </w:pPr>
          </w:p>
        </w:tc>
      </w:tr>
    </w:tbl>
    <w:p w14:paraId="3FCF509D">
      <w:pPr>
        <w:pStyle w:val="8"/>
        <w:snapToGrid w:val="0"/>
        <w:spacing w:line="360" w:lineRule="auto"/>
        <w:rPr>
          <w:rFonts w:hint="eastAsia" w:ascii="宋体" w:hAnsi="宋体" w:eastAsia="宋体"/>
          <w:sz w:val="24"/>
          <w:highlight w:val="none"/>
        </w:rPr>
      </w:pPr>
    </w:p>
    <w:p w14:paraId="4C7C45B8">
      <w:pPr>
        <w:pStyle w:val="8"/>
        <w:snapToGrid w:val="0"/>
        <w:spacing w:line="360" w:lineRule="auto"/>
        <w:ind w:firstLine="600" w:firstLineChars="250"/>
        <w:rPr>
          <w:rFonts w:hint="eastAsia" w:ascii="宋体" w:hAnsi="宋体" w:eastAsia="宋体"/>
          <w:sz w:val="24"/>
          <w:highlight w:val="none"/>
          <w:u w:val="single"/>
        </w:rPr>
      </w:pPr>
      <w:r>
        <w:rPr>
          <w:rFonts w:hint="eastAsia" w:ascii="宋体" w:hAnsi="宋体" w:eastAsia="宋体"/>
          <w:sz w:val="24"/>
          <w:highlight w:val="none"/>
        </w:rPr>
        <w:t>法定代表人签字：</w:t>
      </w:r>
      <w:r>
        <w:rPr>
          <w:rFonts w:hint="eastAsia" w:ascii="宋体" w:hAnsi="宋体" w:eastAsia="宋体"/>
          <w:sz w:val="24"/>
          <w:highlight w:val="none"/>
          <w:u w:val="single"/>
        </w:rPr>
        <w:t>　　　　　</w:t>
      </w:r>
    </w:p>
    <w:p w14:paraId="12702D01">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投标人公章：年月日</w:t>
      </w:r>
    </w:p>
    <w:p w14:paraId="55C2857C">
      <w:pPr>
        <w:snapToGrid w:val="0"/>
        <w:spacing w:line="360" w:lineRule="auto"/>
        <w:ind w:firstLine="480" w:firstLineChars="200"/>
        <w:jc w:val="left"/>
        <w:rPr>
          <w:rFonts w:ascii="仿宋_GB2312" w:eastAsia="仿宋_GB2312"/>
          <w:sz w:val="24"/>
          <w:highlight w:val="none"/>
        </w:rPr>
      </w:pPr>
    </w:p>
    <w:p w14:paraId="2EEC63A9">
      <w:pPr>
        <w:snapToGrid w:val="0"/>
        <w:spacing w:line="360" w:lineRule="auto"/>
        <w:jc w:val="left"/>
        <w:rPr>
          <w:rFonts w:hint="eastAsia" w:ascii="宋体" w:hAnsi="宋体"/>
          <w:sz w:val="24"/>
          <w:highlight w:val="none"/>
        </w:rPr>
        <w:sectPr>
          <w:pgSz w:w="16838" w:h="11906" w:orient="landscape"/>
          <w:pgMar w:top="1797" w:right="1474" w:bottom="1797" w:left="1247" w:header="851" w:footer="851" w:gutter="0"/>
          <w:cols w:space="720" w:num="1"/>
          <w:docGrid w:linePitch="312" w:charSpace="0"/>
        </w:sectPr>
      </w:pPr>
    </w:p>
    <w:p w14:paraId="35E78FCF">
      <w:pPr>
        <w:snapToGrid w:val="0"/>
        <w:spacing w:line="360" w:lineRule="auto"/>
        <w:jc w:val="left"/>
        <w:rPr>
          <w:rFonts w:hint="eastAsia" w:ascii="宋体" w:hAnsi="宋体"/>
          <w:sz w:val="24"/>
          <w:highlight w:val="none"/>
        </w:rPr>
      </w:pPr>
      <w:r>
        <w:rPr>
          <w:rFonts w:hint="eastAsia" w:ascii="宋体" w:hAnsi="宋体"/>
          <w:sz w:val="24"/>
          <w:highlight w:val="none"/>
        </w:rPr>
        <w:t>22.</w:t>
      </w:r>
      <w:r>
        <w:rPr>
          <w:rFonts w:ascii="宋体" w:hAnsi="宋体"/>
          <w:sz w:val="24"/>
          <w:highlight w:val="none"/>
        </w:rPr>
        <w:t>权威认证及其他证书复印件</w:t>
      </w:r>
    </w:p>
    <w:p w14:paraId="46B475FF">
      <w:pPr>
        <w:pStyle w:val="11"/>
        <w:rPr>
          <w:highlight w:val="none"/>
        </w:rPr>
      </w:pPr>
    </w:p>
    <w:p w14:paraId="1A9FF935">
      <w:pPr>
        <w:rPr>
          <w:highlight w:val="none"/>
        </w:rPr>
      </w:pPr>
    </w:p>
    <w:p w14:paraId="72EBB136">
      <w:pPr>
        <w:rPr>
          <w:highlight w:val="none"/>
        </w:rPr>
      </w:pPr>
    </w:p>
    <w:p w14:paraId="2CE12D51">
      <w:pPr>
        <w:pStyle w:val="11"/>
        <w:rPr>
          <w:highlight w:val="none"/>
        </w:rPr>
      </w:pPr>
    </w:p>
    <w:p w14:paraId="1FE98005">
      <w:pPr>
        <w:rPr>
          <w:highlight w:val="none"/>
        </w:rPr>
      </w:pPr>
    </w:p>
    <w:p w14:paraId="0B9AB94E">
      <w:pPr>
        <w:snapToGrid w:val="0"/>
        <w:spacing w:line="360" w:lineRule="auto"/>
        <w:jc w:val="left"/>
        <w:rPr>
          <w:rFonts w:hint="eastAsia" w:ascii="宋体" w:hAnsi="宋体"/>
          <w:sz w:val="24"/>
          <w:highlight w:val="none"/>
        </w:rPr>
      </w:pPr>
      <w:r>
        <w:rPr>
          <w:rFonts w:hint="eastAsia" w:ascii="宋体" w:hAnsi="宋体"/>
          <w:sz w:val="24"/>
          <w:highlight w:val="none"/>
        </w:rPr>
        <w:t>23.其他特殊资质证书</w:t>
      </w:r>
      <w:r>
        <w:rPr>
          <w:rFonts w:ascii="宋体" w:hAnsi="宋体"/>
          <w:sz w:val="24"/>
          <w:highlight w:val="none"/>
        </w:rPr>
        <w:t>（如</w:t>
      </w:r>
      <w:r>
        <w:rPr>
          <w:rFonts w:hint="eastAsia" w:ascii="宋体" w:hAnsi="宋体"/>
          <w:sz w:val="24"/>
          <w:highlight w:val="none"/>
        </w:rPr>
        <w:t>本地化服务能力等）</w:t>
      </w:r>
    </w:p>
    <w:p w14:paraId="6FC8D656">
      <w:pPr>
        <w:snapToGrid w:val="0"/>
        <w:spacing w:line="360" w:lineRule="auto"/>
        <w:jc w:val="left"/>
        <w:rPr>
          <w:rFonts w:hint="eastAsia" w:ascii="宋体" w:hAnsi="宋体"/>
          <w:i/>
          <w:sz w:val="24"/>
          <w:highlight w:val="none"/>
        </w:rPr>
      </w:pPr>
      <w:r>
        <w:rPr>
          <w:rFonts w:hint="eastAsia" w:ascii="宋体" w:hAnsi="宋体"/>
          <w:sz w:val="24"/>
          <w:highlight w:val="none"/>
        </w:rPr>
        <w:t>距采购人最近或者能为本项目提供最优服务的网点情况表</w:t>
      </w:r>
    </w:p>
    <w:tbl>
      <w:tblPr>
        <w:tblStyle w:val="2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3990A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1933072">
            <w:pPr>
              <w:snapToGrid w:val="0"/>
              <w:spacing w:line="360" w:lineRule="auto"/>
              <w:jc w:val="left"/>
              <w:rPr>
                <w:rFonts w:hint="eastAsia" w:ascii="宋体" w:hAnsi="宋体"/>
                <w:sz w:val="24"/>
                <w:szCs w:val="20"/>
                <w:highlight w:val="none"/>
              </w:rPr>
            </w:pPr>
            <w:r>
              <w:rPr>
                <w:rFonts w:hint="eastAsia" w:ascii="宋体" w:hAnsi="宋体"/>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1BC4F145">
            <w:pPr>
              <w:snapToGrid w:val="0"/>
              <w:spacing w:line="360" w:lineRule="auto"/>
              <w:jc w:val="left"/>
              <w:rPr>
                <w:rFonts w:hint="eastAsia" w:ascii="宋体" w:hAnsi="宋体"/>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14F1BEAD">
            <w:pPr>
              <w:snapToGrid w:val="0"/>
              <w:spacing w:line="360" w:lineRule="auto"/>
              <w:jc w:val="left"/>
              <w:rPr>
                <w:rFonts w:hint="eastAsia" w:ascii="宋体" w:hAnsi="宋体"/>
                <w:sz w:val="24"/>
                <w:szCs w:val="20"/>
                <w:highlight w:val="none"/>
              </w:rPr>
            </w:pPr>
            <w:r>
              <w:rPr>
                <w:rFonts w:hint="eastAsia" w:ascii="宋体" w:hAnsi="宋体"/>
                <w:sz w:val="24"/>
                <w:highlight w:val="none"/>
              </w:rPr>
              <w:t>投标文件</w:t>
            </w:r>
          </w:p>
          <w:p w14:paraId="6C530753">
            <w:pPr>
              <w:snapToGrid w:val="0"/>
              <w:spacing w:line="360" w:lineRule="auto"/>
              <w:jc w:val="center"/>
              <w:rPr>
                <w:rFonts w:hint="eastAsia" w:ascii="宋体" w:hAnsi="宋体"/>
                <w:sz w:val="24"/>
                <w:szCs w:val="20"/>
                <w:highlight w:val="none"/>
              </w:rPr>
            </w:pPr>
            <w:r>
              <w:rPr>
                <w:rFonts w:hint="eastAsia" w:ascii="宋体" w:hAnsi="宋体"/>
                <w:sz w:val="24"/>
                <w:highlight w:val="none"/>
              </w:rPr>
              <w:t>页码</w:t>
            </w:r>
          </w:p>
        </w:tc>
      </w:tr>
      <w:tr w14:paraId="1865A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2FF6945">
            <w:pPr>
              <w:snapToGrid w:val="0"/>
              <w:spacing w:line="360" w:lineRule="auto"/>
              <w:jc w:val="left"/>
              <w:rPr>
                <w:rFonts w:hint="eastAsia" w:ascii="宋体" w:hAnsi="宋体"/>
                <w:sz w:val="24"/>
                <w:szCs w:val="20"/>
                <w:highlight w:val="none"/>
              </w:rPr>
            </w:pPr>
            <w:r>
              <w:rPr>
                <w:rFonts w:hint="eastAsia" w:ascii="宋体" w:hAnsi="宋体"/>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4C6D445E">
            <w:pPr>
              <w:snapToGrid w:val="0"/>
              <w:spacing w:line="360" w:lineRule="auto"/>
              <w:jc w:val="left"/>
              <w:rPr>
                <w:rFonts w:hint="eastAsia" w:ascii="宋体" w:hAnsi="宋体"/>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56D09405">
            <w:pPr>
              <w:widowControl/>
              <w:spacing w:line="360" w:lineRule="auto"/>
              <w:jc w:val="left"/>
              <w:rPr>
                <w:rFonts w:hint="eastAsia" w:ascii="宋体" w:hAnsi="宋体"/>
                <w:sz w:val="24"/>
                <w:highlight w:val="none"/>
              </w:rPr>
            </w:pPr>
          </w:p>
        </w:tc>
      </w:tr>
      <w:tr w14:paraId="2F0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407CB9B">
            <w:pPr>
              <w:snapToGrid w:val="0"/>
              <w:spacing w:line="360" w:lineRule="auto"/>
              <w:jc w:val="left"/>
              <w:rPr>
                <w:rFonts w:hint="eastAsia" w:ascii="宋体" w:hAnsi="宋体"/>
                <w:sz w:val="24"/>
                <w:szCs w:val="20"/>
                <w:highlight w:val="none"/>
              </w:rPr>
            </w:pPr>
            <w:r>
              <w:rPr>
                <w:rFonts w:hint="eastAsia" w:ascii="宋体" w:hAnsi="宋体"/>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666FAEB6">
            <w:pPr>
              <w:snapToGrid w:val="0"/>
              <w:spacing w:line="360" w:lineRule="auto"/>
              <w:jc w:val="left"/>
              <w:rPr>
                <w:rFonts w:hint="eastAsia"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5DF05A6">
            <w:pPr>
              <w:snapToGrid w:val="0"/>
              <w:spacing w:line="360" w:lineRule="auto"/>
              <w:jc w:val="left"/>
              <w:rPr>
                <w:rFonts w:hint="eastAsia" w:ascii="宋体" w:hAnsi="宋体"/>
                <w:sz w:val="24"/>
                <w:szCs w:val="20"/>
                <w:highlight w:val="none"/>
              </w:rPr>
            </w:pPr>
            <w:r>
              <w:rPr>
                <w:rFonts w:hint="eastAsia" w:ascii="宋体" w:hAnsi="宋体"/>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27A297AD">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2F246076">
            <w:pPr>
              <w:snapToGrid w:val="0"/>
              <w:spacing w:line="360" w:lineRule="auto"/>
              <w:jc w:val="left"/>
              <w:rPr>
                <w:rFonts w:hint="eastAsia" w:ascii="宋体" w:hAnsi="宋体"/>
                <w:sz w:val="24"/>
                <w:szCs w:val="20"/>
                <w:highlight w:val="none"/>
              </w:rPr>
            </w:pPr>
          </w:p>
        </w:tc>
      </w:tr>
      <w:tr w14:paraId="574EF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4A18A4E">
            <w:pPr>
              <w:snapToGrid w:val="0"/>
              <w:spacing w:line="360" w:lineRule="auto"/>
              <w:jc w:val="left"/>
              <w:rPr>
                <w:rFonts w:hint="eastAsia" w:ascii="宋体" w:hAnsi="宋体"/>
                <w:sz w:val="24"/>
                <w:szCs w:val="20"/>
                <w:highlight w:val="none"/>
              </w:rPr>
            </w:pPr>
            <w:r>
              <w:rPr>
                <w:rFonts w:hint="eastAsia" w:ascii="宋体" w:hAnsi="宋体"/>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1298732F">
            <w:pPr>
              <w:snapToGrid w:val="0"/>
              <w:spacing w:line="360" w:lineRule="auto"/>
              <w:jc w:val="left"/>
              <w:rPr>
                <w:rFonts w:hint="eastAsia"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FB5F9A0">
            <w:pPr>
              <w:snapToGrid w:val="0"/>
              <w:spacing w:line="360" w:lineRule="auto"/>
              <w:ind w:left="60"/>
              <w:jc w:val="left"/>
              <w:rPr>
                <w:rFonts w:hint="eastAsia" w:ascii="宋体" w:hAnsi="宋体"/>
                <w:sz w:val="24"/>
                <w:szCs w:val="20"/>
                <w:highlight w:val="none"/>
              </w:rPr>
            </w:pPr>
            <w:r>
              <w:rPr>
                <w:rFonts w:hint="eastAsia" w:ascii="宋体" w:hAnsi="宋体"/>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128B9CEA">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65E93FD">
            <w:pPr>
              <w:snapToGrid w:val="0"/>
              <w:spacing w:line="360" w:lineRule="auto"/>
              <w:jc w:val="left"/>
              <w:rPr>
                <w:rFonts w:hint="eastAsia" w:ascii="宋体" w:hAnsi="宋体"/>
                <w:sz w:val="24"/>
                <w:szCs w:val="20"/>
                <w:highlight w:val="none"/>
              </w:rPr>
            </w:pPr>
          </w:p>
        </w:tc>
      </w:tr>
      <w:tr w14:paraId="09662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99D4D8">
            <w:pPr>
              <w:snapToGrid w:val="0"/>
              <w:spacing w:line="360" w:lineRule="auto"/>
              <w:jc w:val="left"/>
              <w:rPr>
                <w:rFonts w:hint="eastAsia" w:ascii="宋体" w:hAnsi="宋体"/>
                <w:sz w:val="24"/>
                <w:szCs w:val="20"/>
                <w:highlight w:val="none"/>
              </w:rPr>
            </w:pPr>
            <w:r>
              <w:rPr>
                <w:rFonts w:hint="eastAsia" w:ascii="宋体" w:hAnsi="宋体"/>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757564A9">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30D5CE0">
            <w:pPr>
              <w:snapToGrid w:val="0"/>
              <w:spacing w:line="360" w:lineRule="auto"/>
              <w:jc w:val="left"/>
              <w:rPr>
                <w:rFonts w:hint="eastAsia" w:ascii="宋体" w:hAnsi="宋体"/>
                <w:sz w:val="24"/>
                <w:szCs w:val="20"/>
                <w:highlight w:val="none"/>
              </w:rPr>
            </w:pPr>
          </w:p>
        </w:tc>
      </w:tr>
      <w:tr w14:paraId="2F36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669BBE">
            <w:pPr>
              <w:snapToGrid w:val="0"/>
              <w:spacing w:line="360" w:lineRule="auto"/>
              <w:jc w:val="left"/>
              <w:rPr>
                <w:rFonts w:hint="eastAsia" w:ascii="宋体" w:hAnsi="宋体"/>
                <w:sz w:val="24"/>
                <w:szCs w:val="20"/>
                <w:highlight w:val="none"/>
              </w:rPr>
            </w:pPr>
            <w:r>
              <w:rPr>
                <w:rFonts w:hint="eastAsia" w:ascii="宋体" w:hAnsi="宋体"/>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0FB51BD7">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030DCD6E">
            <w:pPr>
              <w:snapToGrid w:val="0"/>
              <w:spacing w:line="360" w:lineRule="auto"/>
              <w:jc w:val="left"/>
              <w:rPr>
                <w:rFonts w:hint="eastAsia" w:ascii="宋体" w:hAnsi="宋体"/>
                <w:sz w:val="24"/>
                <w:szCs w:val="20"/>
                <w:highlight w:val="none"/>
              </w:rPr>
            </w:pPr>
          </w:p>
        </w:tc>
      </w:tr>
      <w:tr w14:paraId="3933D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0DF829D">
            <w:pPr>
              <w:snapToGrid w:val="0"/>
              <w:spacing w:line="360" w:lineRule="auto"/>
              <w:jc w:val="left"/>
              <w:rPr>
                <w:rFonts w:hint="eastAsia" w:ascii="宋体" w:hAnsi="宋体"/>
                <w:sz w:val="24"/>
                <w:szCs w:val="20"/>
                <w:highlight w:val="none"/>
              </w:rPr>
            </w:pPr>
            <w:r>
              <w:rPr>
                <w:rFonts w:hint="eastAsia" w:ascii="宋体" w:hAnsi="宋体"/>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23556DF1">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89E5734">
            <w:pPr>
              <w:snapToGrid w:val="0"/>
              <w:spacing w:line="360" w:lineRule="auto"/>
              <w:jc w:val="left"/>
              <w:rPr>
                <w:rFonts w:hint="eastAsia" w:ascii="宋体" w:hAnsi="宋体"/>
                <w:sz w:val="24"/>
                <w:szCs w:val="20"/>
                <w:highlight w:val="none"/>
              </w:rPr>
            </w:pPr>
          </w:p>
        </w:tc>
      </w:tr>
      <w:tr w14:paraId="1E3B3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E6527FD">
            <w:pPr>
              <w:snapToGrid w:val="0"/>
              <w:spacing w:line="360" w:lineRule="auto"/>
              <w:jc w:val="left"/>
              <w:rPr>
                <w:rFonts w:hint="eastAsia" w:ascii="宋体" w:hAnsi="宋体"/>
                <w:sz w:val="24"/>
                <w:szCs w:val="20"/>
                <w:highlight w:val="none"/>
              </w:rPr>
            </w:pPr>
            <w:r>
              <w:rPr>
                <w:rFonts w:hint="eastAsia" w:ascii="宋体" w:hAnsi="宋体"/>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32219764">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B28102A">
            <w:pPr>
              <w:snapToGrid w:val="0"/>
              <w:spacing w:line="360" w:lineRule="auto"/>
              <w:jc w:val="left"/>
              <w:rPr>
                <w:rFonts w:hint="eastAsia" w:ascii="宋体" w:hAnsi="宋体"/>
                <w:sz w:val="24"/>
                <w:szCs w:val="20"/>
                <w:highlight w:val="none"/>
              </w:rPr>
            </w:pPr>
          </w:p>
        </w:tc>
      </w:tr>
      <w:tr w14:paraId="32E7C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C1892C5">
            <w:pPr>
              <w:snapToGrid w:val="0"/>
              <w:spacing w:line="360" w:lineRule="auto"/>
              <w:jc w:val="left"/>
              <w:rPr>
                <w:rFonts w:hint="eastAsia" w:ascii="宋体" w:hAnsi="宋体"/>
                <w:sz w:val="24"/>
                <w:szCs w:val="20"/>
                <w:highlight w:val="none"/>
              </w:rPr>
            </w:pPr>
            <w:r>
              <w:rPr>
                <w:rFonts w:hint="eastAsia" w:ascii="宋体" w:hAnsi="宋体"/>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6A6E4143">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7479C50C">
            <w:pPr>
              <w:snapToGrid w:val="0"/>
              <w:spacing w:line="360" w:lineRule="auto"/>
              <w:jc w:val="left"/>
              <w:rPr>
                <w:rFonts w:hint="eastAsia" w:ascii="宋体" w:hAnsi="宋体"/>
                <w:sz w:val="24"/>
                <w:szCs w:val="20"/>
                <w:highlight w:val="none"/>
              </w:rPr>
            </w:pPr>
          </w:p>
        </w:tc>
      </w:tr>
      <w:tr w14:paraId="6E2C1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AB22929">
            <w:pPr>
              <w:snapToGrid w:val="0"/>
              <w:spacing w:line="360" w:lineRule="auto"/>
              <w:jc w:val="left"/>
              <w:rPr>
                <w:rFonts w:hint="eastAsia" w:ascii="宋体" w:hAnsi="宋体"/>
                <w:sz w:val="24"/>
                <w:szCs w:val="20"/>
                <w:highlight w:val="none"/>
              </w:rPr>
            </w:pPr>
            <w:r>
              <w:rPr>
                <w:rFonts w:hint="eastAsia" w:ascii="宋体" w:hAnsi="宋体"/>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12BD94B9">
            <w:pPr>
              <w:snapToGrid w:val="0"/>
              <w:spacing w:line="360" w:lineRule="auto"/>
              <w:jc w:val="left"/>
              <w:rPr>
                <w:rFonts w:hint="eastAsia"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17E7DB9D">
            <w:pPr>
              <w:snapToGrid w:val="0"/>
              <w:spacing w:line="360" w:lineRule="auto"/>
              <w:ind w:firstLine="240" w:firstLineChars="100"/>
              <w:jc w:val="left"/>
              <w:rPr>
                <w:rFonts w:hint="eastAsia" w:ascii="宋体" w:hAnsi="宋体"/>
                <w:sz w:val="24"/>
                <w:szCs w:val="20"/>
                <w:highlight w:val="none"/>
              </w:rPr>
            </w:pPr>
            <w:r>
              <w:rPr>
                <w:rFonts w:hint="eastAsia" w:ascii="宋体" w:hAnsi="宋体"/>
                <w:sz w:val="24"/>
                <w:highlight w:val="none"/>
              </w:rPr>
              <w:t>传</w:t>
            </w:r>
            <w:r>
              <w:rPr>
                <w:rFonts w:ascii="宋体" w:hAnsi="宋体"/>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6CBE22DC">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69B3361C">
            <w:pPr>
              <w:snapToGrid w:val="0"/>
              <w:spacing w:line="360" w:lineRule="auto"/>
              <w:jc w:val="left"/>
              <w:rPr>
                <w:rFonts w:hint="eastAsia" w:ascii="宋体" w:hAnsi="宋体"/>
                <w:sz w:val="24"/>
                <w:szCs w:val="20"/>
                <w:highlight w:val="none"/>
              </w:rPr>
            </w:pPr>
          </w:p>
        </w:tc>
      </w:tr>
      <w:tr w14:paraId="325A4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DB6682A">
            <w:pPr>
              <w:snapToGrid w:val="0"/>
              <w:spacing w:line="360" w:lineRule="auto"/>
              <w:jc w:val="left"/>
              <w:rPr>
                <w:rFonts w:hint="eastAsia" w:ascii="宋体" w:hAnsi="宋体"/>
                <w:sz w:val="24"/>
                <w:szCs w:val="20"/>
                <w:highlight w:val="none"/>
              </w:rPr>
            </w:pPr>
            <w:r>
              <w:rPr>
                <w:rFonts w:hint="eastAsia" w:ascii="宋体" w:hAnsi="宋体"/>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41861130">
            <w:pPr>
              <w:snapToGrid w:val="0"/>
              <w:spacing w:line="360" w:lineRule="auto"/>
              <w:jc w:val="left"/>
              <w:rPr>
                <w:rFonts w:hint="eastAsia"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59A70160">
            <w:pPr>
              <w:snapToGrid w:val="0"/>
              <w:spacing w:line="360" w:lineRule="auto"/>
              <w:jc w:val="left"/>
              <w:rPr>
                <w:rFonts w:hint="eastAsia" w:ascii="宋体" w:hAnsi="宋体"/>
                <w:sz w:val="24"/>
                <w:szCs w:val="20"/>
                <w:highlight w:val="none"/>
              </w:rPr>
            </w:pPr>
            <w:r>
              <w:rPr>
                <w:rFonts w:hint="eastAsia" w:ascii="宋体" w:hAnsi="宋体"/>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2E738DB6">
            <w:pPr>
              <w:snapToGrid w:val="0"/>
              <w:spacing w:line="360" w:lineRule="auto"/>
              <w:jc w:val="left"/>
              <w:rPr>
                <w:rFonts w:hint="eastAsia"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4ED53796">
            <w:pPr>
              <w:snapToGrid w:val="0"/>
              <w:spacing w:line="360" w:lineRule="auto"/>
              <w:jc w:val="left"/>
              <w:rPr>
                <w:rFonts w:hint="eastAsia" w:ascii="宋体" w:hAnsi="宋体"/>
                <w:sz w:val="24"/>
                <w:szCs w:val="20"/>
                <w:highlight w:val="none"/>
              </w:rPr>
            </w:pPr>
          </w:p>
        </w:tc>
      </w:tr>
    </w:tbl>
    <w:p w14:paraId="69F22AEE">
      <w:pPr>
        <w:pStyle w:val="8"/>
        <w:snapToGrid w:val="0"/>
        <w:spacing w:line="360" w:lineRule="auto"/>
        <w:rPr>
          <w:rFonts w:hint="eastAsia" w:ascii="宋体" w:hAnsi="宋体" w:eastAsia="宋体"/>
          <w:sz w:val="24"/>
          <w:highlight w:val="none"/>
          <w:u w:val="single"/>
        </w:rPr>
      </w:pPr>
      <w:r>
        <w:rPr>
          <w:rFonts w:hint="eastAsia" w:ascii="宋体" w:hAnsi="宋体" w:eastAsia="宋体"/>
          <w:sz w:val="24"/>
          <w:highlight w:val="none"/>
        </w:rPr>
        <w:t>授权代表签字：</w:t>
      </w:r>
      <w:r>
        <w:rPr>
          <w:rFonts w:hint="eastAsia" w:ascii="宋体" w:hAnsi="宋体" w:eastAsia="宋体"/>
          <w:sz w:val="24"/>
          <w:highlight w:val="none"/>
          <w:u w:val="single"/>
        </w:rPr>
        <w:t>　　　　　</w:t>
      </w:r>
    </w:p>
    <w:p w14:paraId="780BAC8E">
      <w:pPr>
        <w:pStyle w:val="11"/>
        <w:snapToGrid w:val="0"/>
        <w:spacing w:after="0" w:line="360" w:lineRule="auto"/>
        <w:rPr>
          <w:rFonts w:hint="eastAsia" w:ascii="宋体" w:hAnsi="宋体"/>
          <w:sz w:val="24"/>
          <w:highlight w:val="none"/>
        </w:rPr>
      </w:pPr>
      <w:r>
        <w:rPr>
          <w:rFonts w:hint="eastAsia" w:ascii="宋体" w:hAnsi="宋体"/>
          <w:sz w:val="24"/>
          <w:highlight w:val="none"/>
        </w:rPr>
        <w:t>投标人公章：　 年月　 日</w:t>
      </w:r>
    </w:p>
    <w:p w14:paraId="71D09BFD">
      <w:pPr>
        <w:rPr>
          <w:highlight w:val="none"/>
        </w:rPr>
      </w:pPr>
    </w:p>
    <w:p w14:paraId="3AC41034">
      <w:pPr>
        <w:pStyle w:val="11"/>
        <w:rPr>
          <w:highlight w:val="none"/>
        </w:rPr>
      </w:pPr>
    </w:p>
    <w:p w14:paraId="558BBC28">
      <w:pPr>
        <w:rPr>
          <w:highlight w:val="none"/>
        </w:rPr>
      </w:pPr>
    </w:p>
    <w:p w14:paraId="23F96BC3">
      <w:pPr>
        <w:pStyle w:val="11"/>
        <w:rPr>
          <w:highlight w:val="none"/>
        </w:rPr>
      </w:pPr>
    </w:p>
    <w:p w14:paraId="4EF7EC5D">
      <w:pPr>
        <w:rPr>
          <w:highlight w:val="none"/>
        </w:rPr>
      </w:pPr>
    </w:p>
    <w:p w14:paraId="78A3D9C2">
      <w:pPr>
        <w:pStyle w:val="7"/>
        <w:rPr>
          <w:highlight w:val="none"/>
        </w:rPr>
      </w:pPr>
    </w:p>
    <w:p w14:paraId="21ABE6B4">
      <w:pPr>
        <w:snapToGrid w:val="0"/>
        <w:spacing w:line="360" w:lineRule="auto"/>
        <w:jc w:val="left"/>
        <w:rPr>
          <w:rFonts w:hint="eastAsia" w:ascii="宋体" w:hAnsi="宋体"/>
          <w:sz w:val="24"/>
          <w:highlight w:val="none"/>
        </w:rPr>
      </w:pPr>
      <w:r>
        <w:rPr>
          <w:rFonts w:hint="eastAsia" w:ascii="宋体" w:hAnsi="宋体"/>
          <w:sz w:val="24"/>
          <w:highlight w:val="none"/>
        </w:rPr>
        <w:t>24.投标人认为可以证明其能力或业绩的其他材料（格式自拟）</w:t>
      </w:r>
    </w:p>
    <w:p w14:paraId="4EF4CF3B">
      <w:pPr>
        <w:pStyle w:val="39"/>
        <w:rPr>
          <w:color w:val="auto"/>
          <w:highlight w:val="none"/>
        </w:rPr>
      </w:pPr>
    </w:p>
    <w:p w14:paraId="1FE71949">
      <w:pPr>
        <w:pStyle w:val="39"/>
        <w:rPr>
          <w:color w:val="auto"/>
          <w:highlight w:val="none"/>
        </w:rPr>
      </w:pPr>
    </w:p>
    <w:p w14:paraId="7D55F092">
      <w:pPr>
        <w:pStyle w:val="39"/>
        <w:rPr>
          <w:color w:val="auto"/>
          <w:highlight w:val="none"/>
        </w:rPr>
      </w:pPr>
    </w:p>
    <w:p w14:paraId="07836AC7">
      <w:pPr>
        <w:pStyle w:val="39"/>
        <w:rPr>
          <w:color w:val="auto"/>
          <w:highlight w:val="none"/>
        </w:rPr>
      </w:pPr>
    </w:p>
    <w:p w14:paraId="40EDE260">
      <w:pPr>
        <w:pStyle w:val="39"/>
        <w:rPr>
          <w:color w:val="auto"/>
          <w:highlight w:val="none"/>
        </w:rPr>
      </w:pPr>
    </w:p>
    <w:p w14:paraId="2C0E273F">
      <w:pPr>
        <w:pStyle w:val="39"/>
        <w:rPr>
          <w:color w:val="auto"/>
          <w:highlight w:val="none"/>
        </w:rPr>
      </w:pPr>
    </w:p>
    <w:p w14:paraId="3A57BB06">
      <w:pPr>
        <w:pStyle w:val="39"/>
        <w:rPr>
          <w:color w:val="auto"/>
          <w:highlight w:val="none"/>
        </w:rPr>
      </w:pPr>
    </w:p>
    <w:p w14:paraId="0D8B97A8">
      <w:pPr>
        <w:pStyle w:val="39"/>
        <w:rPr>
          <w:color w:val="auto"/>
          <w:highlight w:val="none"/>
        </w:rPr>
      </w:pPr>
    </w:p>
    <w:p w14:paraId="03E4C615">
      <w:pPr>
        <w:pStyle w:val="39"/>
        <w:rPr>
          <w:color w:val="auto"/>
          <w:highlight w:val="none"/>
        </w:rPr>
      </w:pPr>
    </w:p>
    <w:p w14:paraId="369C5661">
      <w:pPr>
        <w:snapToGrid w:val="0"/>
        <w:spacing w:line="360" w:lineRule="auto"/>
        <w:jc w:val="left"/>
        <w:rPr>
          <w:rFonts w:hint="eastAsia" w:ascii="宋体" w:hAnsi="宋体"/>
          <w:sz w:val="24"/>
          <w:szCs w:val="20"/>
          <w:highlight w:val="none"/>
        </w:rPr>
      </w:pPr>
      <w:r>
        <w:rPr>
          <w:rFonts w:hint="eastAsia" w:ascii="宋体" w:hAnsi="宋体"/>
          <w:sz w:val="24"/>
          <w:highlight w:val="none"/>
        </w:rPr>
        <w:t>25.商务响应表格式：</w:t>
      </w:r>
    </w:p>
    <w:p w14:paraId="1E0D27B1">
      <w:pPr>
        <w:snapToGrid w:val="0"/>
        <w:spacing w:line="360" w:lineRule="auto"/>
        <w:jc w:val="left"/>
        <w:rPr>
          <w:rFonts w:hint="eastAsia" w:ascii="宋体" w:hAnsi="宋体"/>
          <w:sz w:val="24"/>
          <w:szCs w:val="20"/>
          <w:highlight w:val="none"/>
          <w:u w:val="single"/>
        </w:rPr>
      </w:pPr>
      <w:r>
        <w:rPr>
          <w:rFonts w:hint="eastAsia" w:ascii="宋体" w:hAnsi="宋体"/>
          <w:sz w:val="24"/>
          <w:highlight w:val="none"/>
        </w:rPr>
        <w:t>项目名称：</w:t>
      </w:r>
    </w:p>
    <w:tbl>
      <w:tblPr>
        <w:tblStyle w:val="28"/>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6036"/>
        <w:gridCol w:w="1335"/>
        <w:gridCol w:w="1418"/>
      </w:tblGrid>
      <w:tr w14:paraId="58837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8" w:type="dxa"/>
            <w:tcBorders>
              <w:top w:val="single" w:color="auto" w:sz="4" w:space="0"/>
              <w:left w:val="single" w:color="auto" w:sz="4" w:space="0"/>
              <w:bottom w:val="single" w:color="auto" w:sz="4" w:space="0"/>
              <w:right w:val="single" w:color="auto" w:sz="4" w:space="0"/>
            </w:tcBorders>
          </w:tcPr>
          <w:p w14:paraId="175938A2">
            <w:pPr>
              <w:snapToGrid w:val="0"/>
              <w:spacing w:line="360" w:lineRule="auto"/>
              <w:rPr>
                <w:rFonts w:hint="eastAsia" w:ascii="宋体" w:hAnsi="宋体"/>
                <w:sz w:val="24"/>
                <w:szCs w:val="20"/>
                <w:highlight w:val="none"/>
              </w:rPr>
            </w:pPr>
            <w:r>
              <w:rPr>
                <w:rFonts w:hint="eastAsia" w:ascii="宋体" w:hAnsi="宋体"/>
                <w:sz w:val="24"/>
                <w:highlight w:val="none"/>
              </w:rPr>
              <w:t>项目</w:t>
            </w:r>
          </w:p>
        </w:tc>
        <w:tc>
          <w:tcPr>
            <w:tcW w:w="6036" w:type="dxa"/>
            <w:tcBorders>
              <w:top w:val="single" w:color="auto" w:sz="4" w:space="0"/>
              <w:left w:val="single" w:color="auto" w:sz="4" w:space="0"/>
              <w:bottom w:val="single" w:color="auto" w:sz="4" w:space="0"/>
              <w:right w:val="single" w:color="auto" w:sz="4" w:space="0"/>
            </w:tcBorders>
          </w:tcPr>
          <w:p w14:paraId="59FEB757">
            <w:pPr>
              <w:snapToGrid w:val="0"/>
              <w:spacing w:line="360" w:lineRule="auto"/>
              <w:rPr>
                <w:rFonts w:hint="eastAsia" w:ascii="宋体" w:hAnsi="宋体"/>
                <w:sz w:val="24"/>
                <w:szCs w:val="20"/>
                <w:highlight w:val="none"/>
              </w:rPr>
            </w:pPr>
            <w:r>
              <w:rPr>
                <w:rFonts w:hint="eastAsia" w:ascii="宋体" w:hAnsi="宋体"/>
                <w:sz w:val="24"/>
                <w:highlight w:val="none"/>
              </w:rPr>
              <w:t>招标文件要求</w:t>
            </w:r>
          </w:p>
        </w:tc>
        <w:tc>
          <w:tcPr>
            <w:tcW w:w="1335" w:type="dxa"/>
            <w:tcBorders>
              <w:top w:val="single" w:color="auto" w:sz="4" w:space="0"/>
              <w:left w:val="single" w:color="auto" w:sz="4" w:space="0"/>
              <w:bottom w:val="single" w:color="auto" w:sz="4" w:space="0"/>
              <w:right w:val="single" w:color="auto" w:sz="4" w:space="0"/>
            </w:tcBorders>
          </w:tcPr>
          <w:p w14:paraId="257D6065">
            <w:pPr>
              <w:snapToGrid w:val="0"/>
              <w:spacing w:line="360" w:lineRule="auto"/>
              <w:rPr>
                <w:rFonts w:hint="eastAsia" w:ascii="宋体" w:hAnsi="宋体"/>
                <w:sz w:val="24"/>
                <w:szCs w:val="20"/>
                <w:highlight w:val="none"/>
              </w:rPr>
            </w:pPr>
            <w:r>
              <w:rPr>
                <w:rFonts w:hint="eastAsia" w:ascii="宋体" w:hAnsi="宋体"/>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14:paraId="5AF60939">
            <w:pPr>
              <w:snapToGrid w:val="0"/>
              <w:spacing w:line="360" w:lineRule="auto"/>
              <w:rPr>
                <w:rFonts w:hint="eastAsia" w:ascii="宋体" w:hAnsi="宋体"/>
                <w:sz w:val="24"/>
                <w:szCs w:val="20"/>
                <w:highlight w:val="none"/>
              </w:rPr>
            </w:pPr>
            <w:r>
              <w:rPr>
                <w:rFonts w:hint="eastAsia" w:ascii="宋体" w:hAnsi="宋体"/>
                <w:sz w:val="24"/>
                <w:highlight w:val="none"/>
              </w:rPr>
              <w:t>投标人的承诺或说明</w:t>
            </w:r>
          </w:p>
        </w:tc>
      </w:tr>
      <w:tr w14:paraId="6BDC7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14:paraId="595687A5">
            <w:pPr>
              <w:rPr>
                <w:rFonts w:hint="eastAsia" w:ascii="宋体" w:hAnsi="宋体" w:cs="宋体"/>
                <w:sz w:val="24"/>
                <w:highlight w:val="none"/>
              </w:rPr>
            </w:pPr>
            <w:r>
              <w:rPr>
                <w:rFonts w:hint="eastAsia" w:ascii="宋体" w:hAnsi="宋体" w:cs="宋体"/>
                <w:sz w:val="24"/>
                <w:highlight w:val="none"/>
              </w:rPr>
              <w:t>服务期及地点</w:t>
            </w:r>
          </w:p>
        </w:tc>
        <w:tc>
          <w:tcPr>
            <w:tcW w:w="6036" w:type="dxa"/>
            <w:tcBorders>
              <w:top w:val="single" w:color="auto" w:sz="4" w:space="0"/>
              <w:left w:val="single" w:color="auto" w:sz="4" w:space="0"/>
              <w:bottom w:val="single" w:color="auto" w:sz="4" w:space="0"/>
              <w:right w:val="single" w:color="auto" w:sz="4" w:space="0"/>
            </w:tcBorders>
          </w:tcPr>
          <w:p w14:paraId="45943573">
            <w:pPr>
              <w:spacing w:line="360" w:lineRule="auto"/>
              <w:textAlignment w:val="center"/>
              <w:rPr>
                <w:rFonts w:hint="eastAsia" w:ascii="宋体" w:hAnsi="宋体" w:cs="宋体"/>
                <w:sz w:val="24"/>
                <w:highlight w:val="none"/>
              </w:rPr>
            </w:pPr>
            <w:r>
              <w:rPr>
                <w:rFonts w:hint="eastAsia" w:ascii="宋体" w:hAnsi="宋体" w:cs="宋体"/>
                <w:sz w:val="24"/>
                <w:highlight w:val="none"/>
              </w:rPr>
              <w:t>▲服务期：2025年1</w:t>
            </w:r>
            <w:r>
              <w:rPr>
                <w:rFonts w:hint="eastAsia" w:ascii="宋体" w:hAnsi="宋体" w:cs="宋体"/>
                <w:sz w:val="24"/>
                <w:highlight w:val="none"/>
                <w:lang w:val="en-US" w:eastAsia="zh-CN"/>
              </w:rPr>
              <w:t>2</w:t>
            </w:r>
            <w:r>
              <w:rPr>
                <w:rFonts w:hint="eastAsia" w:ascii="宋体" w:hAnsi="宋体" w:cs="宋体"/>
                <w:sz w:val="24"/>
                <w:highlight w:val="none"/>
              </w:rPr>
              <w:t>月30日前完成项目建设</w:t>
            </w:r>
          </w:p>
          <w:p w14:paraId="46223C07">
            <w:pPr>
              <w:snapToGrid w:val="0"/>
              <w:rPr>
                <w:rFonts w:hint="eastAsia" w:ascii="宋体" w:hAnsi="宋体" w:cs="宋体"/>
                <w:sz w:val="24"/>
                <w:highlight w:val="none"/>
              </w:rPr>
            </w:pPr>
            <w:r>
              <w:rPr>
                <w:rFonts w:hint="eastAsia" w:ascii="宋体" w:hAnsi="宋体" w:cs="宋体"/>
                <w:sz w:val="24"/>
                <w:highlight w:val="none"/>
              </w:rPr>
              <w:t>地点：采购人指定地点</w:t>
            </w:r>
          </w:p>
        </w:tc>
        <w:tc>
          <w:tcPr>
            <w:tcW w:w="1335" w:type="dxa"/>
            <w:tcBorders>
              <w:top w:val="single" w:color="auto" w:sz="4" w:space="0"/>
              <w:left w:val="single" w:color="auto" w:sz="4" w:space="0"/>
              <w:bottom w:val="single" w:color="auto" w:sz="4" w:space="0"/>
              <w:right w:val="single" w:color="auto" w:sz="4" w:space="0"/>
            </w:tcBorders>
          </w:tcPr>
          <w:p w14:paraId="710378A1">
            <w:pPr>
              <w:snapToGrid w:val="0"/>
              <w:spacing w:line="360" w:lineRule="auto"/>
              <w:rPr>
                <w:rFonts w:hint="eastAsia" w:ascii="宋体" w:hAnsi="宋体"/>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D6CEF50">
            <w:pPr>
              <w:snapToGrid w:val="0"/>
              <w:spacing w:line="360" w:lineRule="auto"/>
              <w:rPr>
                <w:rFonts w:hint="eastAsia" w:ascii="宋体" w:hAnsi="宋体"/>
                <w:sz w:val="24"/>
                <w:szCs w:val="20"/>
                <w:highlight w:val="none"/>
              </w:rPr>
            </w:pPr>
          </w:p>
        </w:tc>
      </w:tr>
      <w:tr w14:paraId="270AA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14:paraId="72D5C559">
            <w:pPr>
              <w:rPr>
                <w:rFonts w:hint="eastAsia" w:ascii="宋体" w:hAnsi="宋体" w:cs="宋体"/>
                <w:sz w:val="24"/>
                <w:highlight w:val="none"/>
              </w:rPr>
            </w:pPr>
            <w:r>
              <w:rPr>
                <w:rFonts w:hint="eastAsia" w:ascii="宋体" w:hAnsi="宋体" w:cs="宋体"/>
                <w:sz w:val="24"/>
                <w:highlight w:val="none"/>
              </w:rPr>
              <w:t>付款方式</w:t>
            </w:r>
          </w:p>
        </w:tc>
        <w:tc>
          <w:tcPr>
            <w:tcW w:w="6036" w:type="dxa"/>
            <w:tcBorders>
              <w:top w:val="single" w:color="auto" w:sz="4" w:space="0"/>
              <w:left w:val="single" w:color="auto" w:sz="4" w:space="0"/>
              <w:bottom w:val="single" w:color="auto" w:sz="4" w:space="0"/>
              <w:right w:val="single" w:color="auto" w:sz="4" w:space="0"/>
            </w:tcBorders>
          </w:tcPr>
          <w:p w14:paraId="0E291AD6">
            <w:pPr>
              <w:snapToGrid w:val="0"/>
              <w:rPr>
                <w:rFonts w:hint="eastAsia" w:ascii="宋体" w:hAnsi="宋体" w:cs="宋体"/>
                <w:sz w:val="24"/>
                <w:highlight w:val="none"/>
              </w:rPr>
            </w:pPr>
            <w:r>
              <w:rPr>
                <w:rFonts w:hint="eastAsia" w:ascii="宋体" w:hAnsi="宋体" w:cs="宋体"/>
                <w:sz w:val="24"/>
                <w:highlight w:val="none"/>
              </w:rPr>
              <w:t>▲根据《保障中小企业款项支付条例》</w:t>
            </w:r>
            <w:r>
              <w:rPr>
                <w:rFonts w:ascii="宋体" w:hAnsi="宋体" w:cs="宋体"/>
                <w:sz w:val="24"/>
                <w:highlight w:val="none"/>
              </w:rPr>
              <w:t>、</w:t>
            </w:r>
            <w:r>
              <w:rPr>
                <w:rFonts w:hint="eastAsia" w:ascii="宋体" w:hAnsi="宋体" w:cs="宋体"/>
                <w:sz w:val="24"/>
                <w:highlight w:val="none"/>
              </w:rPr>
              <w:t>省财政厅《浙江省财政厅关于进一步发挥政府采购政策功能全力推动经济稳进提质的通知》（浙财采监【2022】3号）要求，制定如下付款方式：</w:t>
            </w:r>
          </w:p>
          <w:p w14:paraId="7077A128">
            <w:pPr>
              <w:snapToGrid w:val="0"/>
              <w:rPr>
                <w:rFonts w:hint="eastAsia" w:ascii="宋体" w:hAnsi="宋体" w:cs="宋体"/>
                <w:sz w:val="24"/>
                <w:highlight w:val="none"/>
              </w:rPr>
            </w:pPr>
            <w:r>
              <w:rPr>
                <w:rFonts w:hint="eastAsia" w:ascii="宋体" w:hAnsi="宋体" w:cs="宋体"/>
                <w:sz w:val="24"/>
                <w:highlight w:val="none"/>
              </w:rPr>
              <w:t>（1）预付款：合同生效及具备实施条件后7个工作日内采购人支付合同金额的40%作为预付款</w:t>
            </w:r>
          </w:p>
          <w:p w14:paraId="188986DC">
            <w:pPr>
              <w:snapToGrid w:val="0"/>
              <w:rPr>
                <w:rFonts w:hint="eastAsia" w:ascii="宋体" w:hAnsi="宋体" w:cs="宋体"/>
                <w:sz w:val="24"/>
                <w:highlight w:val="none"/>
              </w:rPr>
            </w:pPr>
            <w:r>
              <w:rPr>
                <w:rFonts w:hint="eastAsia" w:ascii="宋体" w:hAnsi="宋体" w:cs="宋体"/>
                <w:sz w:val="24"/>
                <w:highlight w:val="none"/>
              </w:rPr>
              <w:t>（2）剩余款项（可在预付款中扣回）：第一期付款：本项目合同签订后，支付合同总金额的10%；</w:t>
            </w:r>
          </w:p>
          <w:p w14:paraId="68148D53">
            <w:pPr>
              <w:snapToGrid w:val="0"/>
              <w:rPr>
                <w:rFonts w:hint="eastAsia" w:ascii="宋体" w:hAnsi="宋体" w:cs="宋体"/>
                <w:sz w:val="24"/>
                <w:highlight w:val="none"/>
              </w:rPr>
            </w:pPr>
            <w:r>
              <w:rPr>
                <w:rFonts w:hint="eastAsia" w:ascii="宋体" w:hAnsi="宋体" w:cs="宋体"/>
                <w:sz w:val="24"/>
                <w:highlight w:val="none"/>
              </w:rPr>
              <w:t>第二期付款：项目组进场实施后支付合同总金额的20%；</w:t>
            </w:r>
          </w:p>
          <w:p w14:paraId="02C42D76">
            <w:pPr>
              <w:snapToGrid w:val="0"/>
              <w:rPr>
                <w:rFonts w:hint="eastAsia" w:ascii="宋体" w:hAnsi="宋体" w:cs="宋体"/>
                <w:sz w:val="24"/>
                <w:highlight w:val="none"/>
              </w:rPr>
            </w:pPr>
            <w:r>
              <w:rPr>
                <w:rFonts w:hint="eastAsia" w:ascii="宋体" w:hAnsi="宋体" w:cs="宋体"/>
                <w:sz w:val="24"/>
                <w:highlight w:val="none"/>
              </w:rPr>
              <w:t>第三期付款：系统所有功能实施完成，系统上线后，支付合同总金额的30%；</w:t>
            </w:r>
          </w:p>
          <w:p w14:paraId="7A024A58">
            <w:pPr>
              <w:snapToGrid w:val="0"/>
              <w:rPr>
                <w:rFonts w:hint="eastAsia" w:ascii="宋体" w:hAnsi="宋体" w:cs="宋体"/>
                <w:sz w:val="24"/>
                <w:highlight w:val="none"/>
              </w:rPr>
            </w:pPr>
            <w:r>
              <w:rPr>
                <w:rFonts w:hint="eastAsia" w:ascii="宋体" w:hAnsi="宋体" w:cs="宋体"/>
                <w:sz w:val="24"/>
                <w:highlight w:val="none"/>
              </w:rPr>
              <w:t>第四期付款：系统稳定运行一段时间后，双方组织验收并签订竣工验收报告后，支付合同总价款的30%。</w:t>
            </w:r>
          </w:p>
          <w:p w14:paraId="3DC7B3E5">
            <w:pPr>
              <w:snapToGrid w:val="0"/>
              <w:rPr>
                <w:rFonts w:hint="eastAsia" w:ascii="宋体" w:hAnsi="宋体" w:cs="宋体"/>
                <w:sz w:val="24"/>
                <w:highlight w:val="none"/>
              </w:rPr>
            </w:pPr>
            <w:r>
              <w:rPr>
                <w:rFonts w:hint="eastAsia" w:ascii="宋体" w:hAnsi="宋体" w:cs="宋体"/>
                <w:sz w:val="24"/>
                <w:highlight w:val="none"/>
              </w:rPr>
              <w:t>第五期付款：系统免费维保结束后，支付合同总价款的10%。</w:t>
            </w:r>
          </w:p>
          <w:p w14:paraId="171C4780">
            <w:pPr>
              <w:snapToGrid w:val="0"/>
              <w:rPr>
                <w:rFonts w:hint="eastAsia" w:ascii="宋体" w:hAnsi="宋体" w:cs="宋体"/>
                <w:sz w:val="24"/>
                <w:highlight w:val="none"/>
              </w:rPr>
            </w:pPr>
            <w:r>
              <w:rPr>
                <w:rFonts w:hint="eastAsia" w:ascii="宋体" w:hAnsi="宋体" w:cs="宋体"/>
                <w:sz w:val="24"/>
                <w:highlight w:val="none"/>
              </w:rPr>
              <w:t>注：（1）签订合同时中标人明确表示无需预付款或者要求降低预付款比例的，采购人可在合同中另行约定。</w:t>
            </w:r>
          </w:p>
          <w:p w14:paraId="18282AB6">
            <w:pPr>
              <w:snapToGrid w:val="0"/>
              <w:rPr>
                <w:rFonts w:hint="eastAsia" w:ascii="宋体" w:hAnsi="宋体" w:cs="宋体"/>
                <w:sz w:val="24"/>
                <w:highlight w:val="none"/>
              </w:rPr>
            </w:pPr>
            <w:r>
              <w:rPr>
                <w:rFonts w:hint="eastAsia" w:ascii="宋体" w:hAnsi="宋体" w:cs="宋体"/>
                <w:sz w:val="24"/>
                <w:highlight w:val="none"/>
              </w:rPr>
              <w:t>注：若成交供应商明确表示</w:t>
            </w:r>
            <w:r>
              <w:rPr>
                <w:rFonts w:ascii="宋体" w:hAnsi="宋体" w:cs="宋体"/>
                <w:sz w:val="24"/>
                <w:highlight w:val="none"/>
              </w:rPr>
              <w:t>无需预付款或者主动要求降低预付款比例的，采购人可不适用前述规定。</w:t>
            </w:r>
          </w:p>
        </w:tc>
        <w:tc>
          <w:tcPr>
            <w:tcW w:w="1335" w:type="dxa"/>
            <w:tcBorders>
              <w:top w:val="single" w:color="auto" w:sz="4" w:space="0"/>
              <w:left w:val="single" w:color="auto" w:sz="4" w:space="0"/>
              <w:bottom w:val="single" w:color="auto" w:sz="4" w:space="0"/>
              <w:right w:val="single" w:color="auto" w:sz="4" w:space="0"/>
            </w:tcBorders>
          </w:tcPr>
          <w:p w14:paraId="7D842298">
            <w:pPr>
              <w:snapToGrid w:val="0"/>
              <w:spacing w:line="360" w:lineRule="auto"/>
              <w:rPr>
                <w:rFonts w:hint="eastAsia" w:ascii="宋体" w:hAnsi="宋体"/>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06B5060">
            <w:pPr>
              <w:snapToGrid w:val="0"/>
              <w:spacing w:line="360" w:lineRule="auto"/>
              <w:rPr>
                <w:rFonts w:hint="eastAsia" w:ascii="宋体" w:hAnsi="宋体"/>
                <w:sz w:val="24"/>
                <w:szCs w:val="20"/>
                <w:highlight w:val="none"/>
              </w:rPr>
            </w:pPr>
          </w:p>
        </w:tc>
      </w:tr>
    </w:tbl>
    <w:p w14:paraId="77CA65EB">
      <w:pPr>
        <w:rPr>
          <w:highlight w:val="none"/>
        </w:rPr>
      </w:pPr>
    </w:p>
    <w:p w14:paraId="5359425A">
      <w:pPr>
        <w:pStyle w:val="11"/>
        <w:rPr>
          <w:highlight w:val="none"/>
        </w:rPr>
      </w:pPr>
    </w:p>
    <w:p w14:paraId="64EA6FD8">
      <w:pPr>
        <w:rPr>
          <w:highlight w:val="none"/>
        </w:rPr>
      </w:pPr>
    </w:p>
    <w:p w14:paraId="07395937">
      <w:pPr>
        <w:pStyle w:val="11"/>
        <w:rPr>
          <w:highlight w:val="none"/>
        </w:rPr>
      </w:pPr>
    </w:p>
    <w:p w14:paraId="21B56237">
      <w:pPr>
        <w:pStyle w:val="11"/>
        <w:rPr>
          <w:highlight w:val="none"/>
        </w:rPr>
      </w:pPr>
    </w:p>
    <w:p w14:paraId="00773B9E">
      <w:pPr>
        <w:snapToGrid w:val="0"/>
        <w:spacing w:line="360" w:lineRule="auto"/>
        <w:jc w:val="left"/>
        <w:rPr>
          <w:rFonts w:hint="eastAsia" w:ascii="宋体" w:hAnsi="宋体"/>
          <w:sz w:val="24"/>
          <w:highlight w:val="none"/>
        </w:rPr>
      </w:pPr>
      <w:r>
        <w:rPr>
          <w:rFonts w:hint="eastAsia" w:ascii="宋体" w:hAnsi="宋体"/>
          <w:sz w:val="24"/>
          <w:highlight w:val="none"/>
        </w:rPr>
        <w:t>26.服务承诺（格式自拟）</w:t>
      </w:r>
    </w:p>
    <w:p w14:paraId="721A59EC">
      <w:pPr>
        <w:pStyle w:val="39"/>
        <w:rPr>
          <w:rFonts w:hint="eastAsia" w:hAnsi="宋体" w:cs="Times New Roman"/>
          <w:color w:val="auto"/>
          <w:kern w:val="2"/>
          <w:highlight w:val="none"/>
        </w:rPr>
      </w:pPr>
    </w:p>
    <w:p w14:paraId="5832E15C">
      <w:pPr>
        <w:rPr>
          <w:rFonts w:hint="eastAsia" w:ascii="宋体" w:hAnsi="宋体"/>
          <w:sz w:val="24"/>
          <w:highlight w:val="none"/>
        </w:rPr>
      </w:pPr>
    </w:p>
    <w:p w14:paraId="77AE856F">
      <w:pPr>
        <w:pStyle w:val="11"/>
        <w:rPr>
          <w:highlight w:val="none"/>
        </w:rPr>
      </w:pPr>
    </w:p>
    <w:p w14:paraId="43F10BC4">
      <w:pPr>
        <w:rPr>
          <w:rFonts w:hint="eastAsia" w:ascii="宋体" w:hAnsi="宋体"/>
          <w:sz w:val="24"/>
          <w:highlight w:val="none"/>
        </w:rPr>
      </w:pPr>
    </w:p>
    <w:p w14:paraId="686E8259">
      <w:pPr>
        <w:pStyle w:val="11"/>
        <w:rPr>
          <w:rFonts w:hint="eastAsia" w:ascii="宋体" w:hAnsi="宋体"/>
          <w:kern w:val="2"/>
          <w:sz w:val="24"/>
          <w:szCs w:val="24"/>
          <w:highlight w:val="none"/>
        </w:rPr>
      </w:pPr>
      <w:r>
        <w:rPr>
          <w:rFonts w:hint="eastAsia" w:ascii="宋体" w:hAnsi="宋体"/>
          <w:kern w:val="2"/>
          <w:sz w:val="24"/>
          <w:szCs w:val="24"/>
          <w:highlight w:val="none"/>
        </w:rPr>
        <w:t>27.培训方案（格式自拟）</w:t>
      </w:r>
    </w:p>
    <w:p w14:paraId="1D8D677F">
      <w:pPr>
        <w:pStyle w:val="11"/>
        <w:rPr>
          <w:rFonts w:hint="eastAsia" w:ascii="宋体" w:hAnsi="宋体"/>
          <w:kern w:val="2"/>
          <w:sz w:val="24"/>
          <w:szCs w:val="24"/>
          <w:highlight w:val="none"/>
        </w:rPr>
      </w:pPr>
    </w:p>
    <w:p w14:paraId="2B9FEB8C">
      <w:pPr>
        <w:rPr>
          <w:rFonts w:hint="eastAsia" w:ascii="宋体" w:hAnsi="宋体"/>
          <w:sz w:val="24"/>
          <w:highlight w:val="none"/>
        </w:rPr>
      </w:pPr>
    </w:p>
    <w:p w14:paraId="4CA32059">
      <w:pPr>
        <w:pStyle w:val="11"/>
        <w:rPr>
          <w:highlight w:val="none"/>
        </w:rPr>
      </w:pPr>
    </w:p>
    <w:p w14:paraId="6BC0214B">
      <w:pPr>
        <w:rPr>
          <w:highlight w:val="none"/>
        </w:rPr>
      </w:pPr>
    </w:p>
    <w:p w14:paraId="082FE3F2">
      <w:pPr>
        <w:pStyle w:val="11"/>
        <w:rPr>
          <w:rFonts w:hint="eastAsia" w:ascii="宋体" w:hAnsi="宋体"/>
          <w:kern w:val="2"/>
          <w:sz w:val="24"/>
          <w:szCs w:val="24"/>
          <w:highlight w:val="none"/>
        </w:rPr>
      </w:pPr>
      <w:r>
        <w:rPr>
          <w:rFonts w:hint="eastAsia" w:ascii="宋体" w:hAnsi="宋体"/>
          <w:kern w:val="2"/>
          <w:sz w:val="24"/>
          <w:szCs w:val="24"/>
          <w:highlight w:val="none"/>
        </w:rPr>
        <w:t>28.响应时间（格式自拟）</w:t>
      </w:r>
    </w:p>
    <w:p w14:paraId="23112DBE">
      <w:pPr>
        <w:rPr>
          <w:highlight w:val="none"/>
        </w:rPr>
      </w:pPr>
    </w:p>
    <w:p w14:paraId="01E09B22">
      <w:pPr>
        <w:pStyle w:val="11"/>
        <w:rPr>
          <w:highlight w:val="none"/>
        </w:rPr>
      </w:pPr>
    </w:p>
    <w:p w14:paraId="5CC46006">
      <w:pPr>
        <w:snapToGrid w:val="0"/>
        <w:spacing w:line="360" w:lineRule="auto"/>
        <w:jc w:val="left"/>
        <w:rPr>
          <w:rFonts w:hint="eastAsia" w:ascii="宋体" w:hAnsi="宋体"/>
          <w:sz w:val="24"/>
          <w:highlight w:val="none"/>
        </w:rPr>
      </w:pPr>
      <w:r>
        <w:rPr>
          <w:rFonts w:hint="eastAsia" w:ascii="宋体" w:hAnsi="宋体"/>
          <w:sz w:val="24"/>
          <w:highlight w:val="none"/>
        </w:rPr>
        <w:t>29.信用承诺书</w:t>
      </w:r>
    </w:p>
    <w:p w14:paraId="7934A040">
      <w:pPr>
        <w:tabs>
          <w:tab w:val="left" w:pos="1650"/>
        </w:tabs>
        <w:spacing w:line="360" w:lineRule="auto"/>
        <w:jc w:val="center"/>
        <w:rPr>
          <w:rFonts w:hint="eastAsia" w:ascii="宋体" w:hAnsi="宋体"/>
          <w:sz w:val="44"/>
          <w:szCs w:val="44"/>
          <w:highlight w:val="none"/>
        </w:rPr>
      </w:pPr>
      <w:r>
        <w:rPr>
          <w:rFonts w:hint="eastAsia" w:ascii="宋体" w:hAnsi="宋体"/>
          <w:sz w:val="44"/>
          <w:szCs w:val="44"/>
          <w:highlight w:val="none"/>
        </w:rPr>
        <w:t>信用承诺书</w:t>
      </w:r>
    </w:p>
    <w:p w14:paraId="6E0AD51A">
      <w:pPr>
        <w:tabs>
          <w:tab w:val="left" w:pos="1650"/>
        </w:tabs>
        <w:spacing w:line="360" w:lineRule="auto"/>
        <w:jc w:val="left"/>
        <w:rPr>
          <w:rFonts w:hint="eastAsia" w:ascii="宋体" w:hAnsi="宋体"/>
          <w:sz w:val="24"/>
          <w:highlight w:val="none"/>
        </w:rPr>
      </w:pPr>
      <w:r>
        <w:rPr>
          <w:rFonts w:hint="eastAsia" w:ascii="宋体" w:hAnsi="宋体"/>
          <w:sz w:val="24"/>
          <w:highlight w:val="none"/>
        </w:rPr>
        <w:t>（投标单位）现参加（采购项目）政府采购活动，郑重承诺如下：</w:t>
      </w:r>
    </w:p>
    <w:p w14:paraId="491593FE">
      <w:pPr>
        <w:tabs>
          <w:tab w:val="left" w:pos="1650"/>
        </w:tabs>
        <w:spacing w:line="360" w:lineRule="auto"/>
        <w:ind w:firstLine="630"/>
        <w:rPr>
          <w:rFonts w:hint="eastAsia" w:ascii="宋体" w:hAnsi="宋体"/>
          <w:sz w:val="24"/>
          <w:highlight w:val="none"/>
        </w:rPr>
      </w:pPr>
      <w:r>
        <w:rPr>
          <w:rFonts w:hint="eastAsia" w:ascii="宋体" w:hAnsi="宋体"/>
          <w:sz w:val="24"/>
          <w:highlight w:val="none"/>
        </w:rPr>
        <w:t>对所提供的资料合法性、真实性、准确性和有效性负责；</w:t>
      </w:r>
    </w:p>
    <w:p w14:paraId="3AD72B05">
      <w:pPr>
        <w:tabs>
          <w:tab w:val="left" w:pos="1650"/>
        </w:tabs>
        <w:spacing w:line="360" w:lineRule="auto"/>
        <w:ind w:firstLine="630"/>
        <w:rPr>
          <w:rFonts w:hint="eastAsia" w:ascii="宋体" w:hAnsi="宋体"/>
          <w:sz w:val="24"/>
          <w:highlight w:val="none"/>
        </w:rPr>
      </w:pPr>
      <w:r>
        <w:rPr>
          <w:rFonts w:hint="eastAsia" w:ascii="宋体" w:hAnsi="宋体"/>
          <w:sz w:val="24"/>
          <w:highlight w:val="none"/>
        </w:rPr>
        <w:t>严格按照国家法律、法规和规章，依法开展相关经济活动，全面履行应尽的责任和义务；</w:t>
      </w:r>
    </w:p>
    <w:p w14:paraId="0B50F8CE">
      <w:pPr>
        <w:tabs>
          <w:tab w:val="left" w:pos="1650"/>
        </w:tabs>
        <w:spacing w:line="360" w:lineRule="auto"/>
        <w:ind w:firstLine="630"/>
        <w:rPr>
          <w:rFonts w:hint="eastAsia" w:ascii="宋体" w:hAnsi="宋体"/>
          <w:sz w:val="24"/>
          <w:highlight w:val="none"/>
        </w:rPr>
      </w:pPr>
      <w:r>
        <w:rPr>
          <w:rFonts w:hint="eastAsia" w:ascii="宋体" w:hAnsi="宋体"/>
          <w:sz w:val="24"/>
          <w:highlight w:val="none"/>
        </w:rPr>
        <w:t>加强自我约束、自我规范、自我管理，不制假售假、不虚假宣传、不违约毁约、不恶意逃债、不偷税漏税，诚信依法经营；</w:t>
      </w:r>
    </w:p>
    <w:p w14:paraId="1FE4B429">
      <w:pPr>
        <w:tabs>
          <w:tab w:val="left" w:pos="1650"/>
        </w:tabs>
        <w:spacing w:line="360" w:lineRule="auto"/>
        <w:ind w:firstLine="630"/>
        <w:rPr>
          <w:rFonts w:hint="eastAsia" w:ascii="宋体" w:hAnsi="宋体"/>
          <w:sz w:val="24"/>
          <w:highlight w:val="none"/>
        </w:rPr>
      </w:pPr>
      <w:r>
        <w:rPr>
          <w:rFonts w:hint="eastAsia" w:ascii="宋体" w:hAnsi="宋体"/>
          <w:sz w:val="24"/>
          <w:highlight w:val="none"/>
        </w:rPr>
        <w:t>自愿接受行政主管部门的依法检查、违背承诺约定将自愿承担违约责任，并接受法律法规和相关部门规章制度的惩戒和约束；</w:t>
      </w:r>
    </w:p>
    <w:p w14:paraId="68B3B11F">
      <w:pPr>
        <w:tabs>
          <w:tab w:val="left" w:pos="1650"/>
        </w:tabs>
        <w:spacing w:line="360" w:lineRule="auto"/>
        <w:ind w:firstLine="630"/>
        <w:rPr>
          <w:rFonts w:hint="eastAsia" w:ascii="宋体" w:hAnsi="宋体"/>
          <w:sz w:val="24"/>
          <w:highlight w:val="none"/>
        </w:rPr>
      </w:pPr>
      <w:r>
        <w:rPr>
          <w:rFonts w:hint="eastAsia" w:ascii="宋体" w:hAnsi="宋体"/>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D316954">
      <w:pPr>
        <w:pStyle w:val="42"/>
        <w:spacing w:before="0" w:beforeAutospacing="0" w:after="0" w:afterAutospacing="0" w:line="360" w:lineRule="auto"/>
        <w:ind w:firstLine="600" w:firstLineChars="250"/>
        <w:rPr>
          <w:rFonts w:hint="eastAsia" w:cs="Times New Roman"/>
          <w:kern w:val="2"/>
          <w:highlight w:val="none"/>
        </w:rPr>
      </w:pPr>
      <w:r>
        <w:rPr>
          <w:rFonts w:hint="eastAsia" w:cs="Times New Roman"/>
          <w:kern w:val="2"/>
          <w:highlight w:val="none"/>
        </w:rPr>
        <w:t>统一社会信用代码：</w:t>
      </w:r>
    </w:p>
    <w:p w14:paraId="2244393F">
      <w:pPr>
        <w:pStyle w:val="42"/>
        <w:spacing w:before="0" w:beforeAutospacing="0" w:after="0" w:afterAutospacing="0" w:line="360" w:lineRule="auto"/>
        <w:ind w:firstLine="600" w:firstLineChars="250"/>
        <w:rPr>
          <w:rFonts w:hint="eastAsia" w:cs="Times New Roman"/>
          <w:kern w:val="2"/>
          <w:highlight w:val="none"/>
        </w:rPr>
      </w:pPr>
    </w:p>
    <w:p w14:paraId="130E0FC6">
      <w:pPr>
        <w:pStyle w:val="42"/>
        <w:spacing w:before="0" w:beforeAutospacing="0" w:after="0" w:afterAutospacing="0" w:line="360" w:lineRule="auto"/>
        <w:ind w:firstLine="565" w:firstLineChars="250"/>
        <w:rPr>
          <w:rFonts w:hint="eastAsia" w:cs="Times New Roman"/>
          <w:spacing w:val="-7"/>
          <w:highlight w:val="none"/>
        </w:rPr>
      </w:pPr>
    </w:p>
    <w:p w14:paraId="5EA387DF">
      <w:pPr>
        <w:pStyle w:val="42"/>
        <w:spacing w:before="0" w:beforeAutospacing="0" w:after="0" w:afterAutospacing="0" w:line="360" w:lineRule="auto"/>
        <w:ind w:firstLine="3240" w:firstLineChars="1350"/>
        <w:rPr>
          <w:rFonts w:hint="eastAsia" w:cs="Times New Roman"/>
          <w:kern w:val="2"/>
          <w:highlight w:val="none"/>
        </w:rPr>
      </w:pPr>
      <w:r>
        <w:rPr>
          <w:rFonts w:hint="eastAsia" w:cs="Times New Roman"/>
          <w:kern w:val="2"/>
          <w:highlight w:val="none"/>
        </w:rPr>
        <w:t>承诺单位</w:t>
      </w:r>
      <w:r>
        <w:rPr>
          <w:rFonts w:cs="Times New Roman"/>
          <w:kern w:val="2"/>
          <w:highlight w:val="none"/>
        </w:rPr>
        <w:t>/</w:t>
      </w:r>
      <w:r>
        <w:rPr>
          <w:rFonts w:hint="eastAsia" w:cs="Times New Roman"/>
          <w:kern w:val="2"/>
          <w:highlight w:val="none"/>
        </w:rPr>
        <w:t>个人（盖章</w:t>
      </w:r>
      <w:r>
        <w:rPr>
          <w:rFonts w:cs="Times New Roman"/>
          <w:kern w:val="2"/>
          <w:highlight w:val="none"/>
        </w:rPr>
        <w:t>/</w:t>
      </w:r>
      <w:r>
        <w:rPr>
          <w:rFonts w:hint="eastAsia" w:cs="Times New Roman"/>
          <w:kern w:val="2"/>
          <w:highlight w:val="none"/>
        </w:rPr>
        <w:t>签名）</w:t>
      </w:r>
    </w:p>
    <w:p w14:paraId="10B621A7">
      <w:pPr>
        <w:spacing w:line="360" w:lineRule="auto"/>
        <w:ind w:firstLine="3480" w:firstLineChars="1450"/>
        <w:rPr>
          <w:rFonts w:hint="eastAsia" w:ascii="宋体" w:hAnsi="宋体"/>
          <w:sz w:val="24"/>
          <w:highlight w:val="none"/>
        </w:rPr>
      </w:pPr>
      <w:r>
        <w:rPr>
          <w:rFonts w:hint="eastAsia" w:ascii="宋体" w:hAnsi="宋体"/>
          <w:sz w:val="24"/>
          <w:highlight w:val="none"/>
        </w:rPr>
        <w:t>时间：</w:t>
      </w:r>
      <w:r>
        <w:rPr>
          <w:rFonts w:hint="eastAsia" w:ascii="宋体" w:hAnsi="宋体"/>
          <w:sz w:val="24"/>
          <w:highlight w:val="none"/>
          <w:lang w:eastAsia="zh-CN"/>
        </w:rPr>
        <w:t>2025年</w:t>
      </w:r>
      <w:r>
        <w:rPr>
          <w:rFonts w:hint="eastAsia" w:ascii="宋体" w:hAnsi="宋体"/>
          <w:sz w:val="24"/>
          <w:highlight w:val="none"/>
        </w:rPr>
        <w:t xml:space="preserve"> 月 日</w:t>
      </w:r>
    </w:p>
    <w:p w14:paraId="66E9B979">
      <w:pPr>
        <w:pStyle w:val="11"/>
        <w:rPr>
          <w:highlight w:val="none"/>
        </w:rPr>
      </w:pPr>
    </w:p>
    <w:p w14:paraId="00D966DA">
      <w:pPr>
        <w:pStyle w:val="14"/>
        <w:rPr>
          <w:highlight w:val="none"/>
        </w:rPr>
      </w:pPr>
    </w:p>
    <w:p w14:paraId="6C3B79B6">
      <w:pPr>
        <w:rPr>
          <w:highlight w:val="none"/>
        </w:rPr>
      </w:pPr>
    </w:p>
    <w:p w14:paraId="6E5BE268">
      <w:pPr>
        <w:pStyle w:val="11"/>
        <w:rPr>
          <w:highlight w:val="none"/>
        </w:rPr>
      </w:pPr>
    </w:p>
    <w:p w14:paraId="179BD274">
      <w:pPr>
        <w:rPr>
          <w:highlight w:val="none"/>
        </w:rPr>
      </w:pPr>
    </w:p>
    <w:p w14:paraId="42307ADE">
      <w:pPr>
        <w:pStyle w:val="11"/>
        <w:rPr>
          <w:highlight w:val="none"/>
        </w:rPr>
      </w:pPr>
    </w:p>
    <w:p w14:paraId="3D3E7B95">
      <w:pPr>
        <w:rPr>
          <w:highlight w:val="none"/>
        </w:rPr>
      </w:pPr>
    </w:p>
    <w:p w14:paraId="4E1BC2EC">
      <w:pPr>
        <w:pStyle w:val="11"/>
        <w:rPr>
          <w:highlight w:val="none"/>
        </w:rPr>
      </w:pPr>
    </w:p>
    <w:p w14:paraId="4C2D86F4">
      <w:pPr>
        <w:rPr>
          <w:highlight w:val="none"/>
        </w:rPr>
      </w:pPr>
    </w:p>
    <w:p w14:paraId="01D7B460">
      <w:pPr>
        <w:pStyle w:val="11"/>
        <w:rPr>
          <w:highlight w:val="none"/>
        </w:rPr>
      </w:pPr>
    </w:p>
    <w:p w14:paraId="17DA7FF6">
      <w:pPr>
        <w:rPr>
          <w:highlight w:val="none"/>
        </w:rPr>
      </w:pPr>
    </w:p>
    <w:p w14:paraId="7081A4E2">
      <w:pPr>
        <w:pStyle w:val="11"/>
        <w:rPr>
          <w:highlight w:val="none"/>
        </w:rPr>
      </w:pPr>
    </w:p>
    <w:p w14:paraId="48FEEA8A">
      <w:pPr>
        <w:rPr>
          <w:highlight w:val="none"/>
        </w:rPr>
      </w:pPr>
    </w:p>
    <w:p w14:paraId="3DEBB190">
      <w:pPr>
        <w:pStyle w:val="7"/>
        <w:rPr>
          <w:highlight w:val="none"/>
        </w:rPr>
      </w:pPr>
    </w:p>
    <w:p w14:paraId="6BAAE61D">
      <w:pPr>
        <w:rPr>
          <w:highlight w:val="none"/>
        </w:rPr>
      </w:pPr>
    </w:p>
    <w:p w14:paraId="0159A7B3">
      <w:pPr>
        <w:snapToGrid w:val="0"/>
        <w:spacing w:line="360" w:lineRule="auto"/>
        <w:rPr>
          <w:rFonts w:hint="eastAsia" w:ascii="宋体" w:hAnsi="宋体"/>
          <w:sz w:val="24"/>
          <w:highlight w:val="none"/>
        </w:rPr>
      </w:pPr>
      <w:r>
        <w:rPr>
          <w:rFonts w:hint="eastAsia" w:ascii="宋体" w:hAnsi="宋体"/>
          <w:bCs/>
          <w:sz w:val="24"/>
          <w:highlight w:val="none"/>
        </w:rPr>
        <w:t>30.</w:t>
      </w:r>
      <w:r>
        <w:rPr>
          <w:rFonts w:hint="eastAsia" w:ascii="宋体" w:hAnsi="宋体"/>
          <w:sz w:val="24"/>
          <w:highlight w:val="none"/>
        </w:rPr>
        <w:t xml:space="preserve">技术、商务、资信及其他分自评表  </w:t>
      </w:r>
    </w:p>
    <w:p w14:paraId="6963E2BD">
      <w:pPr>
        <w:pStyle w:val="12"/>
        <w:spacing w:line="360" w:lineRule="auto"/>
        <w:ind w:firstLine="311" w:firstLineChars="129"/>
        <w:rPr>
          <w:rFonts w:hint="eastAsia" w:hAnsi="宋体"/>
          <w:b/>
          <w:sz w:val="24"/>
          <w:highlight w:val="none"/>
        </w:rPr>
      </w:pPr>
      <w:r>
        <w:rPr>
          <w:rFonts w:hint="eastAsia" w:hAnsi="宋体"/>
          <w:b/>
          <w:sz w:val="24"/>
          <w:highlight w:val="none"/>
        </w:rPr>
        <w:t>投标人名称</w:t>
      </w:r>
    </w:p>
    <w:tbl>
      <w:tblPr>
        <w:tblStyle w:val="28"/>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5131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58DD6B36">
            <w:pPr>
              <w:spacing w:line="360" w:lineRule="auto"/>
              <w:jc w:val="center"/>
              <w:rPr>
                <w:rFonts w:hint="eastAsia" w:ascii="宋体" w:hAnsi="宋体"/>
                <w:sz w:val="24"/>
                <w:highlight w:val="none"/>
              </w:rPr>
            </w:pPr>
            <w:r>
              <w:rPr>
                <w:rFonts w:hint="eastAsia" w:ascii="宋体" w:hAnsi="宋体"/>
                <w:sz w:val="24"/>
                <w:highlight w:val="none"/>
              </w:rPr>
              <w:t>评分项目</w:t>
            </w:r>
          </w:p>
        </w:tc>
        <w:tc>
          <w:tcPr>
            <w:tcW w:w="2268" w:type="dxa"/>
            <w:vAlign w:val="center"/>
          </w:tcPr>
          <w:p w14:paraId="3D38633B">
            <w:pPr>
              <w:snapToGrid w:val="0"/>
              <w:spacing w:line="360" w:lineRule="auto"/>
              <w:jc w:val="center"/>
              <w:rPr>
                <w:rFonts w:hint="eastAsia" w:ascii="宋体" w:hAnsi="宋体"/>
                <w:sz w:val="24"/>
                <w:highlight w:val="none"/>
              </w:rPr>
            </w:pPr>
            <w:r>
              <w:rPr>
                <w:rFonts w:hint="eastAsia" w:ascii="宋体" w:hAnsi="宋体"/>
                <w:sz w:val="24"/>
                <w:highlight w:val="none"/>
              </w:rPr>
              <w:t>投标文件对应资料</w:t>
            </w:r>
          </w:p>
        </w:tc>
        <w:tc>
          <w:tcPr>
            <w:tcW w:w="1276" w:type="dxa"/>
            <w:vAlign w:val="center"/>
          </w:tcPr>
          <w:p w14:paraId="1FE3CC43">
            <w:pPr>
              <w:snapToGrid w:val="0"/>
              <w:spacing w:line="360" w:lineRule="auto"/>
              <w:jc w:val="center"/>
              <w:rPr>
                <w:rFonts w:hint="eastAsia" w:ascii="宋体" w:hAnsi="宋体"/>
                <w:sz w:val="24"/>
                <w:highlight w:val="none"/>
              </w:rPr>
            </w:pPr>
            <w:r>
              <w:rPr>
                <w:rFonts w:hint="eastAsia" w:ascii="宋体" w:hAnsi="宋体"/>
                <w:sz w:val="24"/>
                <w:highlight w:val="none"/>
              </w:rPr>
              <w:t>自评分</w:t>
            </w:r>
          </w:p>
        </w:tc>
        <w:tc>
          <w:tcPr>
            <w:tcW w:w="1701" w:type="dxa"/>
            <w:vAlign w:val="center"/>
          </w:tcPr>
          <w:p w14:paraId="3F3B6BFA">
            <w:pPr>
              <w:snapToGrid w:val="0"/>
              <w:spacing w:line="360" w:lineRule="auto"/>
              <w:jc w:val="center"/>
              <w:rPr>
                <w:rFonts w:hint="eastAsia" w:ascii="宋体" w:hAnsi="宋体"/>
                <w:sz w:val="24"/>
                <w:highlight w:val="none"/>
              </w:rPr>
            </w:pPr>
            <w:r>
              <w:rPr>
                <w:rFonts w:hint="eastAsia" w:ascii="宋体" w:hAnsi="宋体"/>
                <w:sz w:val="24"/>
                <w:highlight w:val="none"/>
              </w:rPr>
              <w:t>投标文件页码</w:t>
            </w:r>
          </w:p>
        </w:tc>
      </w:tr>
      <w:tr w14:paraId="2EE0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5AE98060">
            <w:pPr>
              <w:spacing w:line="360" w:lineRule="auto"/>
              <w:jc w:val="center"/>
              <w:rPr>
                <w:rFonts w:hint="eastAsia" w:ascii="宋体" w:hAnsi="宋体"/>
                <w:sz w:val="24"/>
                <w:highlight w:val="none"/>
              </w:rPr>
            </w:pPr>
            <w:r>
              <w:rPr>
                <w:rFonts w:hint="eastAsia" w:ascii="宋体" w:hAnsi="宋体"/>
                <w:sz w:val="24"/>
                <w:highlight w:val="none"/>
              </w:rPr>
              <w:t>技</w:t>
            </w:r>
          </w:p>
          <w:p w14:paraId="5A1B95D4">
            <w:pPr>
              <w:spacing w:line="360" w:lineRule="auto"/>
              <w:jc w:val="center"/>
              <w:rPr>
                <w:rFonts w:hint="eastAsia" w:ascii="宋体" w:hAnsi="宋体"/>
                <w:sz w:val="24"/>
                <w:highlight w:val="none"/>
              </w:rPr>
            </w:pPr>
            <w:r>
              <w:rPr>
                <w:rFonts w:hint="eastAsia" w:ascii="宋体" w:hAnsi="宋体"/>
                <w:sz w:val="24"/>
                <w:highlight w:val="none"/>
              </w:rPr>
              <w:t>术</w:t>
            </w:r>
          </w:p>
          <w:p w14:paraId="34FBF5AF">
            <w:pPr>
              <w:spacing w:line="360" w:lineRule="auto"/>
              <w:jc w:val="center"/>
              <w:rPr>
                <w:rFonts w:hint="eastAsia" w:ascii="宋体" w:hAnsi="宋体"/>
                <w:sz w:val="24"/>
                <w:highlight w:val="none"/>
              </w:rPr>
            </w:pPr>
            <w:r>
              <w:rPr>
                <w:rFonts w:hint="eastAsia" w:ascii="宋体" w:hAnsi="宋体"/>
                <w:sz w:val="24"/>
                <w:highlight w:val="none"/>
              </w:rPr>
              <w:t>分</w:t>
            </w:r>
          </w:p>
          <w:p w14:paraId="092228B5">
            <w:pPr>
              <w:spacing w:line="360" w:lineRule="auto"/>
              <w:jc w:val="center"/>
              <w:rPr>
                <w:rFonts w:hint="eastAsia" w:ascii="宋体" w:hAnsi="宋体"/>
                <w:sz w:val="24"/>
                <w:highlight w:val="none"/>
              </w:rPr>
            </w:pPr>
            <w:r>
              <w:rPr>
                <w:rFonts w:hint="eastAsia" w:ascii="宋体" w:hAnsi="宋体"/>
                <w:sz w:val="24"/>
                <w:highlight w:val="none"/>
              </w:rPr>
              <w:t>70分</w:t>
            </w:r>
          </w:p>
        </w:tc>
        <w:tc>
          <w:tcPr>
            <w:tcW w:w="3533" w:type="dxa"/>
          </w:tcPr>
          <w:p w14:paraId="26ADC147">
            <w:pPr>
              <w:spacing w:line="360" w:lineRule="auto"/>
              <w:jc w:val="left"/>
              <w:rPr>
                <w:rFonts w:hint="eastAsia" w:ascii="宋体" w:hAnsi="宋体"/>
                <w:sz w:val="24"/>
                <w:highlight w:val="none"/>
              </w:rPr>
            </w:pPr>
          </w:p>
        </w:tc>
        <w:tc>
          <w:tcPr>
            <w:tcW w:w="2268" w:type="dxa"/>
          </w:tcPr>
          <w:p w14:paraId="6FBDF1BA">
            <w:pPr>
              <w:spacing w:line="360" w:lineRule="auto"/>
              <w:rPr>
                <w:rFonts w:hint="eastAsia" w:ascii="宋体" w:hAnsi="宋体"/>
                <w:sz w:val="24"/>
                <w:highlight w:val="none"/>
              </w:rPr>
            </w:pPr>
          </w:p>
        </w:tc>
        <w:tc>
          <w:tcPr>
            <w:tcW w:w="1276" w:type="dxa"/>
          </w:tcPr>
          <w:p w14:paraId="3FAF141E">
            <w:pPr>
              <w:spacing w:line="360" w:lineRule="auto"/>
              <w:rPr>
                <w:rFonts w:hint="eastAsia" w:ascii="宋体" w:hAnsi="宋体"/>
                <w:sz w:val="24"/>
                <w:highlight w:val="none"/>
              </w:rPr>
            </w:pPr>
          </w:p>
        </w:tc>
        <w:tc>
          <w:tcPr>
            <w:tcW w:w="1701" w:type="dxa"/>
          </w:tcPr>
          <w:p w14:paraId="39E3AFB7">
            <w:pPr>
              <w:spacing w:line="360" w:lineRule="auto"/>
              <w:rPr>
                <w:rFonts w:hint="eastAsia" w:ascii="宋体" w:hAnsi="宋体"/>
                <w:sz w:val="24"/>
                <w:highlight w:val="none"/>
              </w:rPr>
            </w:pPr>
          </w:p>
        </w:tc>
      </w:tr>
      <w:tr w14:paraId="207B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65B6AF7B">
            <w:pPr>
              <w:spacing w:line="360" w:lineRule="auto"/>
              <w:rPr>
                <w:rFonts w:hint="eastAsia" w:ascii="宋体" w:hAnsi="宋体"/>
                <w:sz w:val="24"/>
                <w:highlight w:val="none"/>
              </w:rPr>
            </w:pPr>
          </w:p>
        </w:tc>
        <w:tc>
          <w:tcPr>
            <w:tcW w:w="3533" w:type="dxa"/>
          </w:tcPr>
          <w:p w14:paraId="359CB0A8">
            <w:pPr>
              <w:spacing w:line="360" w:lineRule="auto"/>
              <w:jc w:val="left"/>
              <w:rPr>
                <w:rFonts w:hint="eastAsia" w:ascii="宋体" w:hAnsi="宋体"/>
                <w:sz w:val="24"/>
                <w:highlight w:val="none"/>
              </w:rPr>
            </w:pPr>
          </w:p>
        </w:tc>
        <w:tc>
          <w:tcPr>
            <w:tcW w:w="2268" w:type="dxa"/>
          </w:tcPr>
          <w:p w14:paraId="7E5E3DE6">
            <w:pPr>
              <w:spacing w:line="360" w:lineRule="auto"/>
              <w:rPr>
                <w:rFonts w:hint="eastAsia" w:ascii="宋体" w:hAnsi="宋体"/>
                <w:sz w:val="24"/>
                <w:highlight w:val="none"/>
              </w:rPr>
            </w:pPr>
          </w:p>
        </w:tc>
        <w:tc>
          <w:tcPr>
            <w:tcW w:w="1276" w:type="dxa"/>
          </w:tcPr>
          <w:p w14:paraId="65F5ADB3">
            <w:pPr>
              <w:spacing w:line="360" w:lineRule="auto"/>
              <w:rPr>
                <w:rFonts w:hint="eastAsia" w:ascii="宋体" w:hAnsi="宋体"/>
                <w:sz w:val="24"/>
                <w:highlight w:val="none"/>
              </w:rPr>
            </w:pPr>
          </w:p>
        </w:tc>
        <w:tc>
          <w:tcPr>
            <w:tcW w:w="1701" w:type="dxa"/>
          </w:tcPr>
          <w:p w14:paraId="685858BE">
            <w:pPr>
              <w:spacing w:line="360" w:lineRule="auto"/>
              <w:rPr>
                <w:rFonts w:hint="eastAsia" w:ascii="宋体" w:hAnsi="宋体"/>
                <w:sz w:val="24"/>
                <w:highlight w:val="none"/>
              </w:rPr>
            </w:pPr>
          </w:p>
        </w:tc>
      </w:tr>
      <w:tr w14:paraId="3F7B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8A79740">
            <w:pPr>
              <w:spacing w:line="360" w:lineRule="auto"/>
              <w:rPr>
                <w:rFonts w:hint="eastAsia" w:ascii="宋体" w:hAnsi="宋体"/>
                <w:sz w:val="24"/>
                <w:highlight w:val="none"/>
              </w:rPr>
            </w:pPr>
          </w:p>
        </w:tc>
        <w:tc>
          <w:tcPr>
            <w:tcW w:w="3533" w:type="dxa"/>
          </w:tcPr>
          <w:p w14:paraId="55701C8E">
            <w:pPr>
              <w:spacing w:line="360" w:lineRule="auto"/>
              <w:jc w:val="left"/>
              <w:rPr>
                <w:rFonts w:hint="eastAsia" w:ascii="宋体" w:hAnsi="宋体"/>
                <w:sz w:val="24"/>
                <w:highlight w:val="none"/>
              </w:rPr>
            </w:pPr>
          </w:p>
        </w:tc>
        <w:tc>
          <w:tcPr>
            <w:tcW w:w="2268" w:type="dxa"/>
          </w:tcPr>
          <w:p w14:paraId="5C3B7124">
            <w:pPr>
              <w:spacing w:line="360" w:lineRule="auto"/>
              <w:rPr>
                <w:rFonts w:hint="eastAsia" w:ascii="宋体" w:hAnsi="宋体"/>
                <w:sz w:val="24"/>
                <w:highlight w:val="none"/>
              </w:rPr>
            </w:pPr>
          </w:p>
        </w:tc>
        <w:tc>
          <w:tcPr>
            <w:tcW w:w="1276" w:type="dxa"/>
          </w:tcPr>
          <w:p w14:paraId="1CDD791F">
            <w:pPr>
              <w:spacing w:line="360" w:lineRule="auto"/>
              <w:rPr>
                <w:rFonts w:hint="eastAsia" w:ascii="宋体" w:hAnsi="宋体"/>
                <w:sz w:val="24"/>
                <w:highlight w:val="none"/>
              </w:rPr>
            </w:pPr>
          </w:p>
        </w:tc>
        <w:tc>
          <w:tcPr>
            <w:tcW w:w="1701" w:type="dxa"/>
          </w:tcPr>
          <w:p w14:paraId="7B959836">
            <w:pPr>
              <w:spacing w:line="360" w:lineRule="auto"/>
              <w:rPr>
                <w:rFonts w:hint="eastAsia" w:ascii="宋体" w:hAnsi="宋体"/>
                <w:sz w:val="24"/>
                <w:highlight w:val="none"/>
              </w:rPr>
            </w:pPr>
          </w:p>
        </w:tc>
      </w:tr>
      <w:tr w14:paraId="5ACE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01B32760">
            <w:pPr>
              <w:spacing w:line="360" w:lineRule="auto"/>
              <w:rPr>
                <w:rFonts w:hint="eastAsia" w:ascii="宋体" w:hAnsi="宋体"/>
                <w:sz w:val="24"/>
                <w:highlight w:val="none"/>
              </w:rPr>
            </w:pPr>
          </w:p>
        </w:tc>
        <w:tc>
          <w:tcPr>
            <w:tcW w:w="3533" w:type="dxa"/>
          </w:tcPr>
          <w:p w14:paraId="466C4E17">
            <w:pPr>
              <w:spacing w:line="360" w:lineRule="auto"/>
              <w:jc w:val="left"/>
              <w:rPr>
                <w:rFonts w:hint="eastAsia" w:ascii="宋体" w:hAnsi="宋体"/>
                <w:sz w:val="24"/>
                <w:highlight w:val="none"/>
              </w:rPr>
            </w:pPr>
          </w:p>
        </w:tc>
        <w:tc>
          <w:tcPr>
            <w:tcW w:w="2268" w:type="dxa"/>
          </w:tcPr>
          <w:p w14:paraId="73B3D318">
            <w:pPr>
              <w:spacing w:line="360" w:lineRule="auto"/>
              <w:rPr>
                <w:rFonts w:hint="eastAsia" w:ascii="宋体" w:hAnsi="宋体"/>
                <w:sz w:val="24"/>
                <w:highlight w:val="none"/>
              </w:rPr>
            </w:pPr>
          </w:p>
        </w:tc>
        <w:tc>
          <w:tcPr>
            <w:tcW w:w="1276" w:type="dxa"/>
          </w:tcPr>
          <w:p w14:paraId="5F16A901">
            <w:pPr>
              <w:spacing w:line="360" w:lineRule="auto"/>
              <w:rPr>
                <w:rFonts w:hint="eastAsia" w:ascii="宋体" w:hAnsi="宋体"/>
                <w:sz w:val="24"/>
                <w:highlight w:val="none"/>
              </w:rPr>
            </w:pPr>
          </w:p>
        </w:tc>
        <w:tc>
          <w:tcPr>
            <w:tcW w:w="1701" w:type="dxa"/>
          </w:tcPr>
          <w:p w14:paraId="27809E68">
            <w:pPr>
              <w:spacing w:line="360" w:lineRule="auto"/>
              <w:rPr>
                <w:rFonts w:hint="eastAsia" w:ascii="宋体" w:hAnsi="宋体"/>
                <w:sz w:val="24"/>
                <w:highlight w:val="none"/>
              </w:rPr>
            </w:pPr>
          </w:p>
        </w:tc>
      </w:tr>
      <w:tr w14:paraId="408D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55B48036">
            <w:pPr>
              <w:spacing w:line="360" w:lineRule="auto"/>
              <w:rPr>
                <w:rFonts w:hint="eastAsia" w:ascii="宋体" w:hAnsi="宋体"/>
                <w:sz w:val="24"/>
                <w:highlight w:val="none"/>
              </w:rPr>
            </w:pPr>
          </w:p>
        </w:tc>
        <w:tc>
          <w:tcPr>
            <w:tcW w:w="3533" w:type="dxa"/>
          </w:tcPr>
          <w:p w14:paraId="73E28973">
            <w:pPr>
              <w:spacing w:line="360" w:lineRule="auto"/>
              <w:jc w:val="left"/>
              <w:rPr>
                <w:rFonts w:hint="eastAsia" w:ascii="宋体" w:hAnsi="宋体"/>
                <w:sz w:val="24"/>
                <w:highlight w:val="none"/>
              </w:rPr>
            </w:pPr>
          </w:p>
        </w:tc>
        <w:tc>
          <w:tcPr>
            <w:tcW w:w="2268" w:type="dxa"/>
          </w:tcPr>
          <w:p w14:paraId="7A0D4C4E">
            <w:pPr>
              <w:spacing w:line="360" w:lineRule="auto"/>
              <w:rPr>
                <w:rFonts w:hint="eastAsia" w:ascii="宋体" w:hAnsi="宋体"/>
                <w:sz w:val="24"/>
                <w:highlight w:val="none"/>
              </w:rPr>
            </w:pPr>
          </w:p>
        </w:tc>
        <w:tc>
          <w:tcPr>
            <w:tcW w:w="1276" w:type="dxa"/>
          </w:tcPr>
          <w:p w14:paraId="15051ED6">
            <w:pPr>
              <w:spacing w:line="360" w:lineRule="auto"/>
              <w:rPr>
                <w:rFonts w:hint="eastAsia" w:ascii="宋体" w:hAnsi="宋体"/>
                <w:sz w:val="24"/>
                <w:highlight w:val="none"/>
              </w:rPr>
            </w:pPr>
          </w:p>
        </w:tc>
        <w:tc>
          <w:tcPr>
            <w:tcW w:w="1701" w:type="dxa"/>
          </w:tcPr>
          <w:p w14:paraId="73E1D642">
            <w:pPr>
              <w:spacing w:line="360" w:lineRule="auto"/>
              <w:rPr>
                <w:rFonts w:hint="eastAsia" w:ascii="宋体" w:hAnsi="宋体"/>
                <w:sz w:val="24"/>
                <w:highlight w:val="none"/>
              </w:rPr>
            </w:pPr>
          </w:p>
        </w:tc>
      </w:tr>
      <w:tr w14:paraId="4DAD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9AC9657">
            <w:pPr>
              <w:spacing w:line="360" w:lineRule="auto"/>
              <w:rPr>
                <w:rFonts w:hint="eastAsia" w:ascii="宋体" w:hAnsi="宋体"/>
                <w:sz w:val="24"/>
                <w:highlight w:val="none"/>
              </w:rPr>
            </w:pPr>
          </w:p>
        </w:tc>
        <w:tc>
          <w:tcPr>
            <w:tcW w:w="3533" w:type="dxa"/>
          </w:tcPr>
          <w:p w14:paraId="22F989C8">
            <w:pPr>
              <w:spacing w:line="360" w:lineRule="auto"/>
              <w:jc w:val="left"/>
              <w:rPr>
                <w:rFonts w:hint="eastAsia" w:ascii="宋体" w:hAnsi="宋体"/>
                <w:sz w:val="24"/>
                <w:highlight w:val="none"/>
              </w:rPr>
            </w:pPr>
          </w:p>
        </w:tc>
        <w:tc>
          <w:tcPr>
            <w:tcW w:w="2268" w:type="dxa"/>
          </w:tcPr>
          <w:p w14:paraId="423F7347">
            <w:pPr>
              <w:spacing w:line="360" w:lineRule="auto"/>
              <w:rPr>
                <w:rFonts w:hint="eastAsia" w:ascii="宋体" w:hAnsi="宋体"/>
                <w:sz w:val="24"/>
                <w:highlight w:val="none"/>
              </w:rPr>
            </w:pPr>
          </w:p>
        </w:tc>
        <w:tc>
          <w:tcPr>
            <w:tcW w:w="1276" w:type="dxa"/>
          </w:tcPr>
          <w:p w14:paraId="36E36745">
            <w:pPr>
              <w:spacing w:line="360" w:lineRule="auto"/>
              <w:rPr>
                <w:rFonts w:hint="eastAsia" w:ascii="宋体" w:hAnsi="宋体"/>
                <w:sz w:val="24"/>
                <w:highlight w:val="none"/>
              </w:rPr>
            </w:pPr>
          </w:p>
        </w:tc>
        <w:tc>
          <w:tcPr>
            <w:tcW w:w="1701" w:type="dxa"/>
          </w:tcPr>
          <w:p w14:paraId="1446A577">
            <w:pPr>
              <w:spacing w:line="360" w:lineRule="auto"/>
              <w:rPr>
                <w:rFonts w:hint="eastAsia" w:ascii="宋体" w:hAnsi="宋体"/>
                <w:sz w:val="24"/>
                <w:highlight w:val="none"/>
              </w:rPr>
            </w:pPr>
          </w:p>
        </w:tc>
      </w:tr>
      <w:tr w14:paraId="6E43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1B0BFD0">
            <w:pPr>
              <w:spacing w:line="360" w:lineRule="auto"/>
              <w:rPr>
                <w:rFonts w:hint="eastAsia" w:ascii="宋体" w:hAnsi="宋体"/>
                <w:sz w:val="24"/>
                <w:highlight w:val="none"/>
              </w:rPr>
            </w:pPr>
          </w:p>
        </w:tc>
        <w:tc>
          <w:tcPr>
            <w:tcW w:w="3533" w:type="dxa"/>
          </w:tcPr>
          <w:p w14:paraId="56E272E0">
            <w:pPr>
              <w:spacing w:line="360" w:lineRule="auto"/>
              <w:jc w:val="left"/>
              <w:rPr>
                <w:rFonts w:hint="eastAsia" w:ascii="宋体" w:hAnsi="宋体"/>
                <w:sz w:val="24"/>
                <w:highlight w:val="none"/>
              </w:rPr>
            </w:pPr>
          </w:p>
        </w:tc>
        <w:tc>
          <w:tcPr>
            <w:tcW w:w="2268" w:type="dxa"/>
          </w:tcPr>
          <w:p w14:paraId="61C01D2B">
            <w:pPr>
              <w:spacing w:line="360" w:lineRule="auto"/>
              <w:rPr>
                <w:rFonts w:hint="eastAsia" w:ascii="宋体" w:hAnsi="宋体"/>
                <w:sz w:val="24"/>
                <w:highlight w:val="none"/>
              </w:rPr>
            </w:pPr>
          </w:p>
        </w:tc>
        <w:tc>
          <w:tcPr>
            <w:tcW w:w="1276" w:type="dxa"/>
          </w:tcPr>
          <w:p w14:paraId="0D1A5A16">
            <w:pPr>
              <w:spacing w:line="360" w:lineRule="auto"/>
              <w:rPr>
                <w:rFonts w:hint="eastAsia" w:ascii="宋体" w:hAnsi="宋体"/>
                <w:sz w:val="24"/>
                <w:highlight w:val="none"/>
              </w:rPr>
            </w:pPr>
          </w:p>
        </w:tc>
        <w:tc>
          <w:tcPr>
            <w:tcW w:w="1701" w:type="dxa"/>
          </w:tcPr>
          <w:p w14:paraId="5ED36F26">
            <w:pPr>
              <w:spacing w:line="360" w:lineRule="auto"/>
              <w:rPr>
                <w:rFonts w:hint="eastAsia" w:ascii="宋体" w:hAnsi="宋体"/>
                <w:sz w:val="24"/>
                <w:highlight w:val="none"/>
              </w:rPr>
            </w:pPr>
          </w:p>
        </w:tc>
      </w:tr>
      <w:tr w14:paraId="61AC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F9D493D">
            <w:pPr>
              <w:spacing w:line="360" w:lineRule="auto"/>
              <w:rPr>
                <w:rFonts w:hint="eastAsia" w:ascii="宋体" w:hAnsi="宋体"/>
                <w:sz w:val="24"/>
                <w:highlight w:val="none"/>
              </w:rPr>
            </w:pPr>
          </w:p>
        </w:tc>
        <w:tc>
          <w:tcPr>
            <w:tcW w:w="3533" w:type="dxa"/>
          </w:tcPr>
          <w:p w14:paraId="000D2AA6">
            <w:pPr>
              <w:spacing w:line="360" w:lineRule="auto"/>
              <w:jc w:val="left"/>
              <w:rPr>
                <w:rFonts w:hint="eastAsia" w:ascii="宋体" w:hAnsi="宋体"/>
                <w:sz w:val="24"/>
                <w:highlight w:val="none"/>
              </w:rPr>
            </w:pPr>
          </w:p>
        </w:tc>
        <w:tc>
          <w:tcPr>
            <w:tcW w:w="2268" w:type="dxa"/>
          </w:tcPr>
          <w:p w14:paraId="36E9E253">
            <w:pPr>
              <w:spacing w:line="360" w:lineRule="auto"/>
              <w:rPr>
                <w:rFonts w:hint="eastAsia" w:ascii="宋体" w:hAnsi="宋体"/>
                <w:sz w:val="24"/>
                <w:highlight w:val="none"/>
              </w:rPr>
            </w:pPr>
          </w:p>
        </w:tc>
        <w:tc>
          <w:tcPr>
            <w:tcW w:w="1276" w:type="dxa"/>
          </w:tcPr>
          <w:p w14:paraId="4F82DB6A">
            <w:pPr>
              <w:spacing w:line="360" w:lineRule="auto"/>
              <w:rPr>
                <w:rFonts w:hint="eastAsia" w:ascii="宋体" w:hAnsi="宋体"/>
                <w:sz w:val="24"/>
                <w:highlight w:val="none"/>
              </w:rPr>
            </w:pPr>
          </w:p>
        </w:tc>
        <w:tc>
          <w:tcPr>
            <w:tcW w:w="1701" w:type="dxa"/>
          </w:tcPr>
          <w:p w14:paraId="3AC89B72">
            <w:pPr>
              <w:spacing w:line="360" w:lineRule="auto"/>
              <w:rPr>
                <w:rFonts w:hint="eastAsia" w:ascii="宋体" w:hAnsi="宋体"/>
                <w:sz w:val="24"/>
                <w:highlight w:val="none"/>
              </w:rPr>
            </w:pPr>
          </w:p>
        </w:tc>
      </w:tr>
      <w:tr w14:paraId="3B1B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003E7317">
            <w:pPr>
              <w:spacing w:line="360" w:lineRule="auto"/>
              <w:jc w:val="center"/>
              <w:rPr>
                <w:rFonts w:hint="eastAsia" w:ascii="宋体" w:hAnsi="宋体"/>
                <w:sz w:val="24"/>
                <w:highlight w:val="none"/>
              </w:rPr>
            </w:pPr>
            <w:r>
              <w:rPr>
                <w:rFonts w:hint="eastAsia" w:ascii="宋体" w:hAnsi="宋体"/>
                <w:sz w:val="24"/>
                <w:highlight w:val="none"/>
              </w:rPr>
              <w:t>商务、资信及其他</w:t>
            </w:r>
          </w:p>
          <w:p w14:paraId="076192FB">
            <w:pPr>
              <w:spacing w:line="360" w:lineRule="auto"/>
              <w:jc w:val="center"/>
              <w:rPr>
                <w:rFonts w:hint="eastAsia" w:ascii="宋体" w:hAnsi="宋体"/>
                <w:sz w:val="24"/>
                <w:highlight w:val="none"/>
              </w:rPr>
            </w:pPr>
            <w:r>
              <w:rPr>
                <w:rFonts w:hint="eastAsia" w:ascii="宋体" w:hAnsi="宋体"/>
                <w:sz w:val="24"/>
                <w:highlight w:val="none"/>
              </w:rPr>
              <w:t>分20分</w:t>
            </w:r>
          </w:p>
        </w:tc>
        <w:tc>
          <w:tcPr>
            <w:tcW w:w="3533" w:type="dxa"/>
          </w:tcPr>
          <w:p w14:paraId="58049383">
            <w:pPr>
              <w:spacing w:line="360" w:lineRule="auto"/>
              <w:jc w:val="left"/>
              <w:rPr>
                <w:rFonts w:hint="eastAsia" w:ascii="宋体" w:hAnsi="宋体"/>
                <w:sz w:val="24"/>
                <w:highlight w:val="none"/>
              </w:rPr>
            </w:pPr>
          </w:p>
        </w:tc>
        <w:tc>
          <w:tcPr>
            <w:tcW w:w="2268" w:type="dxa"/>
          </w:tcPr>
          <w:p w14:paraId="0BBE5A07">
            <w:pPr>
              <w:spacing w:line="360" w:lineRule="auto"/>
              <w:rPr>
                <w:rFonts w:hint="eastAsia" w:ascii="宋体" w:hAnsi="宋体"/>
                <w:sz w:val="24"/>
                <w:highlight w:val="none"/>
              </w:rPr>
            </w:pPr>
          </w:p>
        </w:tc>
        <w:tc>
          <w:tcPr>
            <w:tcW w:w="1276" w:type="dxa"/>
          </w:tcPr>
          <w:p w14:paraId="7E354EC3">
            <w:pPr>
              <w:spacing w:line="360" w:lineRule="auto"/>
              <w:rPr>
                <w:rFonts w:hint="eastAsia" w:ascii="宋体" w:hAnsi="宋体"/>
                <w:sz w:val="24"/>
                <w:highlight w:val="none"/>
              </w:rPr>
            </w:pPr>
          </w:p>
        </w:tc>
        <w:tc>
          <w:tcPr>
            <w:tcW w:w="1701" w:type="dxa"/>
          </w:tcPr>
          <w:p w14:paraId="7BC2A964">
            <w:pPr>
              <w:spacing w:line="360" w:lineRule="auto"/>
              <w:rPr>
                <w:rFonts w:hint="eastAsia" w:ascii="宋体" w:hAnsi="宋体"/>
                <w:sz w:val="24"/>
                <w:highlight w:val="none"/>
              </w:rPr>
            </w:pPr>
          </w:p>
        </w:tc>
      </w:tr>
      <w:tr w14:paraId="2AF8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528BE58F">
            <w:pPr>
              <w:spacing w:line="360" w:lineRule="auto"/>
              <w:jc w:val="center"/>
              <w:rPr>
                <w:rFonts w:hint="eastAsia" w:ascii="宋体" w:hAnsi="宋体"/>
                <w:sz w:val="24"/>
                <w:highlight w:val="none"/>
              </w:rPr>
            </w:pPr>
          </w:p>
        </w:tc>
        <w:tc>
          <w:tcPr>
            <w:tcW w:w="3533" w:type="dxa"/>
          </w:tcPr>
          <w:p w14:paraId="175ED22D">
            <w:pPr>
              <w:spacing w:line="360" w:lineRule="auto"/>
              <w:jc w:val="left"/>
              <w:rPr>
                <w:rFonts w:hint="eastAsia" w:ascii="宋体" w:hAnsi="宋体"/>
                <w:sz w:val="24"/>
                <w:highlight w:val="none"/>
              </w:rPr>
            </w:pPr>
          </w:p>
        </w:tc>
        <w:tc>
          <w:tcPr>
            <w:tcW w:w="2268" w:type="dxa"/>
          </w:tcPr>
          <w:p w14:paraId="13BF8F6D">
            <w:pPr>
              <w:spacing w:line="360" w:lineRule="auto"/>
              <w:rPr>
                <w:rFonts w:hint="eastAsia" w:ascii="宋体" w:hAnsi="宋体"/>
                <w:sz w:val="24"/>
                <w:highlight w:val="none"/>
              </w:rPr>
            </w:pPr>
          </w:p>
        </w:tc>
        <w:tc>
          <w:tcPr>
            <w:tcW w:w="1276" w:type="dxa"/>
          </w:tcPr>
          <w:p w14:paraId="58964453">
            <w:pPr>
              <w:spacing w:line="360" w:lineRule="auto"/>
              <w:rPr>
                <w:rFonts w:hint="eastAsia" w:ascii="宋体" w:hAnsi="宋体"/>
                <w:sz w:val="24"/>
                <w:highlight w:val="none"/>
              </w:rPr>
            </w:pPr>
          </w:p>
        </w:tc>
        <w:tc>
          <w:tcPr>
            <w:tcW w:w="1701" w:type="dxa"/>
          </w:tcPr>
          <w:p w14:paraId="08B75174">
            <w:pPr>
              <w:spacing w:line="360" w:lineRule="auto"/>
              <w:rPr>
                <w:rFonts w:hint="eastAsia" w:ascii="宋体" w:hAnsi="宋体"/>
                <w:sz w:val="24"/>
                <w:highlight w:val="none"/>
              </w:rPr>
            </w:pPr>
          </w:p>
        </w:tc>
      </w:tr>
      <w:tr w14:paraId="3949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5ECC1A52">
            <w:pPr>
              <w:spacing w:line="360" w:lineRule="auto"/>
              <w:jc w:val="center"/>
              <w:rPr>
                <w:rFonts w:hint="eastAsia" w:ascii="宋体" w:hAnsi="宋体"/>
                <w:sz w:val="24"/>
                <w:highlight w:val="none"/>
              </w:rPr>
            </w:pPr>
          </w:p>
        </w:tc>
        <w:tc>
          <w:tcPr>
            <w:tcW w:w="3533" w:type="dxa"/>
          </w:tcPr>
          <w:p w14:paraId="38994CF2">
            <w:pPr>
              <w:spacing w:line="360" w:lineRule="auto"/>
              <w:jc w:val="left"/>
              <w:rPr>
                <w:rFonts w:hint="eastAsia" w:ascii="宋体" w:hAnsi="宋体"/>
                <w:sz w:val="24"/>
                <w:highlight w:val="none"/>
              </w:rPr>
            </w:pPr>
          </w:p>
        </w:tc>
        <w:tc>
          <w:tcPr>
            <w:tcW w:w="2268" w:type="dxa"/>
          </w:tcPr>
          <w:p w14:paraId="6EC2D048">
            <w:pPr>
              <w:spacing w:line="360" w:lineRule="auto"/>
              <w:rPr>
                <w:rFonts w:hint="eastAsia" w:ascii="宋体" w:hAnsi="宋体"/>
                <w:sz w:val="24"/>
                <w:highlight w:val="none"/>
              </w:rPr>
            </w:pPr>
          </w:p>
        </w:tc>
        <w:tc>
          <w:tcPr>
            <w:tcW w:w="1276" w:type="dxa"/>
          </w:tcPr>
          <w:p w14:paraId="18DCE4C2">
            <w:pPr>
              <w:spacing w:line="360" w:lineRule="auto"/>
              <w:rPr>
                <w:rFonts w:hint="eastAsia" w:ascii="宋体" w:hAnsi="宋体"/>
                <w:sz w:val="24"/>
                <w:highlight w:val="none"/>
              </w:rPr>
            </w:pPr>
          </w:p>
        </w:tc>
        <w:tc>
          <w:tcPr>
            <w:tcW w:w="1701" w:type="dxa"/>
          </w:tcPr>
          <w:p w14:paraId="1AA81785">
            <w:pPr>
              <w:spacing w:line="360" w:lineRule="auto"/>
              <w:rPr>
                <w:rFonts w:hint="eastAsia" w:ascii="宋体" w:hAnsi="宋体"/>
                <w:sz w:val="24"/>
                <w:highlight w:val="none"/>
              </w:rPr>
            </w:pPr>
          </w:p>
        </w:tc>
      </w:tr>
      <w:tr w14:paraId="1AFF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574B2718">
            <w:pPr>
              <w:spacing w:line="360" w:lineRule="auto"/>
              <w:jc w:val="center"/>
              <w:rPr>
                <w:rFonts w:hint="eastAsia" w:ascii="宋体" w:hAnsi="宋体"/>
                <w:sz w:val="24"/>
                <w:highlight w:val="none"/>
              </w:rPr>
            </w:pPr>
          </w:p>
        </w:tc>
        <w:tc>
          <w:tcPr>
            <w:tcW w:w="3533" w:type="dxa"/>
          </w:tcPr>
          <w:p w14:paraId="6FB55E6C">
            <w:pPr>
              <w:spacing w:line="360" w:lineRule="auto"/>
              <w:jc w:val="left"/>
              <w:rPr>
                <w:rFonts w:hint="eastAsia" w:ascii="宋体" w:hAnsi="宋体"/>
                <w:sz w:val="24"/>
                <w:highlight w:val="none"/>
              </w:rPr>
            </w:pPr>
          </w:p>
        </w:tc>
        <w:tc>
          <w:tcPr>
            <w:tcW w:w="2268" w:type="dxa"/>
          </w:tcPr>
          <w:p w14:paraId="75C9C5B2">
            <w:pPr>
              <w:spacing w:line="360" w:lineRule="auto"/>
              <w:rPr>
                <w:rFonts w:hint="eastAsia" w:ascii="宋体" w:hAnsi="宋体"/>
                <w:sz w:val="24"/>
                <w:highlight w:val="none"/>
              </w:rPr>
            </w:pPr>
          </w:p>
        </w:tc>
        <w:tc>
          <w:tcPr>
            <w:tcW w:w="1276" w:type="dxa"/>
          </w:tcPr>
          <w:p w14:paraId="70DC1B31">
            <w:pPr>
              <w:spacing w:line="360" w:lineRule="auto"/>
              <w:rPr>
                <w:rFonts w:hint="eastAsia" w:ascii="宋体" w:hAnsi="宋体"/>
                <w:sz w:val="24"/>
                <w:highlight w:val="none"/>
              </w:rPr>
            </w:pPr>
          </w:p>
        </w:tc>
        <w:tc>
          <w:tcPr>
            <w:tcW w:w="1701" w:type="dxa"/>
          </w:tcPr>
          <w:p w14:paraId="4A3B8764">
            <w:pPr>
              <w:spacing w:line="360" w:lineRule="auto"/>
              <w:rPr>
                <w:rFonts w:hint="eastAsia" w:ascii="宋体" w:hAnsi="宋体"/>
                <w:sz w:val="24"/>
                <w:highlight w:val="none"/>
              </w:rPr>
            </w:pPr>
          </w:p>
        </w:tc>
      </w:tr>
      <w:tr w14:paraId="7DC3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3466109F">
            <w:pPr>
              <w:spacing w:line="360" w:lineRule="auto"/>
              <w:rPr>
                <w:rFonts w:hint="eastAsia" w:ascii="宋体" w:hAnsi="宋体"/>
                <w:sz w:val="24"/>
                <w:highlight w:val="none"/>
              </w:rPr>
            </w:pPr>
          </w:p>
        </w:tc>
        <w:tc>
          <w:tcPr>
            <w:tcW w:w="3533" w:type="dxa"/>
          </w:tcPr>
          <w:p w14:paraId="6A85A788">
            <w:pPr>
              <w:spacing w:line="360" w:lineRule="auto"/>
              <w:jc w:val="left"/>
              <w:rPr>
                <w:rFonts w:hint="eastAsia" w:ascii="宋体" w:hAnsi="宋体"/>
                <w:sz w:val="24"/>
                <w:highlight w:val="none"/>
              </w:rPr>
            </w:pPr>
          </w:p>
        </w:tc>
        <w:tc>
          <w:tcPr>
            <w:tcW w:w="2268" w:type="dxa"/>
          </w:tcPr>
          <w:p w14:paraId="38FFC471">
            <w:pPr>
              <w:spacing w:line="360" w:lineRule="auto"/>
              <w:rPr>
                <w:rFonts w:hint="eastAsia" w:ascii="宋体" w:hAnsi="宋体"/>
                <w:sz w:val="24"/>
                <w:highlight w:val="none"/>
              </w:rPr>
            </w:pPr>
          </w:p>
        </w:tc>
        <w:tc>
          <w:tcPr>
            <w:tcW w:w="1276" w:type="dxa"/>
          </w:tcPr>
          <w:p w14:paraId="7C37F528">
            <w:pPr>
              <w:spacing w:line="360" w:lineRule="auto"/>
              <w:rPr>
                <w:rFonts w:hint="eastAsia" w:ascii="宋体" w:hAnsi="宋体"/>
                <w:sz w:val="24"/>
                <w:highlight w:val="none"/>
              </w:rPr>
            </w:pPr>
          </w:p>
        </w:tc>
        <w:tc>
          <w:tcPr>
            <w:tcW w:w="1701" w:type="dxa"/>
          </w:tcPr>
          <w:p w14:paraId="253E8177">
            <w:pPr>
              <w:spacing w:line="360" w:lineRule="auto"/>
              <w:rPr>
                <w:rFonts w:hint="eastAsia" w:ascii="宋体" w:hAnsi="宋体"/>
                <w:sz w:val="24"/>
                <w:highlight w:val="none"/>
              </w:rPr>
            </w:pPr>
          </w:p>
        </w:tc>
      </w:tr>
      <w:tr w14:paraId="0838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6B6830BE">
            <w:pPr>
              <w:spacing w:line="360" w:lineRule="auto"/>
              <w:jc w:val="center"/>
              <w:rPr>
                <w:rFonts w:hint="eastAsia" w:ascii="宋体" w:hAnsi="宋体"/>
                <w:sz w:val="24"/>
                <w:highlight w:val="none"/>
              </w:rPr>
            </w:pPr>
            <w:r>
              <w:rPr>
                <w:rFonts w:hint="eastAsia" w:ascii="宋体" w:hAnsi="宋体"/>
                <w:sz w:val="24"/>
                <w:highlight w:val="none"/>
              </w:rPr>
              <w:t>总分</w:t>
            </w:r>
          </w:p>
        </w:tc>
        <w:tc>
          <w:tcPr>
            <w:tcW w:w="2268" w:type="dxa"/>
          </w:tcPr>
          <w:p w14:paraId="4F7D4036">
            <w:pPr>
              <w:spacing w:line="360" w:lineRule="auto"/>
              <w:rPr>
                <w:rFonts w:hint="eastAsia" w:ascii="宋体" w:hAnsi="宋体"/>
                <w:sz w:val="24"/>
                <w:highlight w:val="none"/>
              </w:rPr>
            </w:pPr>
          </w:p>
        </w:tc>
        <w:tc>
          <w:tcPr>
            <w:tcW w:w="2977" w:type="dxa"/>
            <w:gridSpan w:val="2"/>
          </w:tcPr>
          <w:p w14:paraId="20CC366A">
            <w:pPr>
              <w:spacing w:line="360" w:lineRule="auto"/>
              <w:rPr>
                <w:rFonts w:hint="eastAsia" w:ascii="宋体" w:hAnsi="宋体"/>
                <w:sz w:val="24"/>
                <w:highlight w:val="none"/>
              </w:rPr>
            </w:pPr>
          </w:p>
        </w:tc>
      </w:tr>
    </w:tbl>
    <w:p w14:paraId="56BC428D">
      <w:pPr>
        <w:pStyle w:val="12"/>
        <w:spacing w:line="360" w:lineRule="auto"/>
        <w:ind w:firstLine="258" w:firstLineChars="129"/>
        <w:rPr>
          <w:highlight w:val="none"/>
        </w:rPr>
      </w:pPr>
    </w:p>
    <w:p w14:paraId="63043C28">
      <w:pPr>
        <w:snapToGrid w:val="0"/>
        <w:spacing w:line="360" w:lineRule="auto"/>
        <w:jc w:val="center"/>
        <w:rPr>
          <w:rFonts w:hint="eastAsia" w:ascii="宋体" w:hAnsi="宋体"/>
          <w:sz w:val="24"/>
          <w:highlight w:val="none"/>
        </w:rPr>
      </w:pPr>
    </w:p>
    <w:p w14:paraId="3AF05D25">
      <w:pPr>
        <w:pStyle w:val="24"/>
        <w:spacing w:before="120"/>
        <w:rPr>
          <w:highlight w:val="none"/>
        </w:rPr>
      </w:pPr>
    </w:p>
    <w:p w14:paraId="453EFBA6">
      <w:pPr>
        <w:rPr>
          <w:highlight w:val="none"/>
        </w:rPr>
      </w:pPr>
    </w:p>
    <w:p w14:paraId="06664AC8">
      <w:pPr>
        <w:pStyle w:val="24"/>
        <w:spacing w:before="120"/>
        <w:rPr>
          <w:highlight w:val="none"/>
        </w:rPr>
      </w:pPr>
    </w:p>
    <w:p w14:paraId="587F8D5C">
      <w:pPr>
        <w:rPr>
          <w:highlight w:val="none"/>
        </w:rPr>
      </w:pPr>
    </w:p>
    <w:p w14:paraId="4D4EC84A">
      <w:pPr>
        <w:pStyle w:val="24"/>
        <w:spacing w:before="120"/>
        <w:rPr>
          <w:highlight w:val="none"/>
        </w:rPr>
      </w:pPr>
    </w:p>
    <w:p w14:paraId="031EEF4A">
      <w:pPr>
        <w:rPr>
          <w:highlight w:val="none"/>
        </w:rPr>
      </w:pPr>
    </w:p>
    <w:p w14:paraId="39FA2EB5">
      <w:pPr>
        <w:pStyle w:val="24"/>
        <w:spacing w:before="120"/>
        <w:rPr>
          <w:highlight w:val="none"/>
        </w:rPr>
      </w:pPr>
    </w:p>
    <w:p w14:paraId="207AEC6D">
      <w:pPr>
        <w:snapToGrid w:val="0"/>
        <w:spacing w:line="360" w:lineRule="auto"/>
        <w:jc w:val="center"/>
        <w:rPr>
          <w:rFonts w:hint="eastAsia" w:ascii="宋体" w:hAnsi="宋体"/>
          <w:sz w:val="30"/>
          <w:szCs w:val="20"/>
          <w:highlight w:val="none"/>
        </w:rPr>
      </w:pPr>
      <w:r>
        <w:rPr>
          <w:rFonts w:hint="eastAsia" w:ascii="宋体" w:hAnsi="宋体"/>
          <w:sz w:val="24"/>
          <w:highlight w:val="none"/>
        </w:rPr>
        <w:t>三、报价文件格式</w:t>
      </w:r>
    </w:p>
    <w:p w14:paraId="5611B11D">
      <w:pPr>
        <w:snapToGrid w:val="0"/>
        <w:spacing w:line="360" w:lineRule="auto"/>
        <w:rPr>
          <w:rFonts w:hint="eastAsia" w:ascii="宋体" w:hAnsi="宋体"/>
          <w:sz w:val="24"/>
          <w:szCs w:val="20"/>
          <w:highlight w:val="none"/>
        </w:rPr>
      </w:pPr>
      <w:r>
        <w:rPr>
          <w:rFonts w:hint="eastAsia" w:ascii="宋体" w:hAnsi="宋体"/>
          <w:sz w:val="24"/>
          <w:highlight w:val="none"/>
        </w:rPr>
        <w:t>31.报价文件封面格式：</w:t>
      </w:r>
    </w:p>
    <w:p w14:paraId="23279095">
      <w:pPr>
        <w:snapToGrid w:val="0"/>
        <w:spacing w:line="360" w:lineRule="auto"/>
        <w:rPr>
          <w:rFonts w:hint="eastAsia" w:ascii="宋体" w:hAnsi="宋体"/>
          <w:sz w:val="24"/>
          <w:szCs w:val="20"/>
          <w:highlight w:val="none"/>
        </w:rPr>
      </w:pPr>
    </w:p>
    <w:p w14:paraId="548FDAC9">
      <w:pPr>
        <w:snapToGrid w:val="0"/>
        <w:spacing w:line="360" w:lineRule="auto"/>
        <w:jc w:val="center"/>
        <w:rPr>
          <w:rFonts w:hint="eastAsia" w:ascii="宋体" w:hAnsi="宋体"/>
          <w:bCs/>
          <w:sz w:val="24"/>
          <w:szCs w:val="20"/>
          <w:highlight w:val="none"/>
        </w:rPr>
      </w:pPr>
    </w:p>
    <w:p w14:paraId="582DE3E0">
      <w:pPr>
        <w:snapToGrid w:val="0"/>
        <w:spacing w:line="360" w:lineRule="auto"/>
        <w:jc w:val="center"/>
        <w:rPr>
          <w:rFonts w:hint="eastAsia" w:ascii="宋体" w:hAnsi="宋体"/>
          <w:bCs/>
          <w:sz w:val="24"/>
          <w:szCs w:val="20"/>
          <w:highlight w:val="none"/>
        </w:rPr>
      </w:pPr>
      <w:r>
        <w:rPr>
          <w:rFonts w:hint="eastAsia" w:ascii="宋体" w:hAnsi="宋体"/>
          <w:bCs/>
          <w:sz w:val="24"/>
          <w:highlight w:val="none"/>
        </w:rPr>
        <w:t>报价文件</w:t>
      </w:r>
    </w:p>
    <w:p w14:paraId="06806F28">
      <w:pPr>
        <w:snapToGrid w:val="0"/>
        <w:spacing w:line="360" w:lineRule="auto"/>
        <w:rPr>
          <w:rFonts w:hint="eastAsia" w:ascii="宋体" w:hAnsi="宋体"/>
          <w:bCs/>
          <w:sz w:val="24"/>
          <w:szCs w:val="20"/>
          <w:highlight w:val="none"/>
        </w:rPr>
      </w:pPr>
    </w:p>
    <w:p w14:paraId="3BC484F2">
      <w:pPr>
        <w:snapToGrid w:val="0"/>
        <w:spacing w:line="360" w:lineRule="auto"/>
        <w:ind w:firstLine="960" w:firstLineChars="400"/>
        <w:rPr>
          <w:rFonts w:hint="eastAsia" w:ascii="宋体" w:hAnsi="宋体"/>
          <w:bCs/>
          <w:sz w:val="24"/>
          <w:highlight w:val="none"/>
        </w:rPr>
      </w:pPr>
      <w:r>
        <w:rPr>
          <w:rFonts w:hint="eastAsia" w:ascii="宋体" w:hAnsi="宋体"/>
          <w:bCs/>
          <w:sz w:val="24"/>
          <w:highlight w:val="none"/>
        </w:rPr>
        <w:t>项目名称：</w:t>
      </w:r>
      <w:r>
        <w:rPr>
          <w:rFonts w:hint="eastAsia" w:ascii="宋体" w:hAnsi="宋体"/>
          <w:spacing w:val="-20"/>
          <w:sz w:val="24"/>
          <w:highlight w:val="none"/>
        </w:rPr>
        <w:t>湖州市中心医院智慧运营管理平台项目</w:t>
      </w:r>
    </w:p>
    <w:p w14:paraId="15CF2E28">
      <w:pPr>
        <w:snapToGrid w:val="0"/>
        <w:spacing w:line="360" w:lineRule="auto"/>
        <w:ind w:firstLine="1080" w:firstLineChars="450"/>
        <w:jc w:val="left"/>
        <w:rPr>
          <w:rFonts w:hint="eastAsia" w:ascii="宋体" w:hAnsi="宋体" w:eastAsia="宋体"/>
          <w:sz w:val="24"/>
          <w:highlight w:val="none"/>
          <w:lang w:eastAsia="zh-CN"/>
        </w:rPr>
      </w:pPr>
      <w:r>
        <w:rPr>
          <w:rFonts w:hint="eastAsia" w:ascii="宋体" w:hAnsi="宋体"/>
          <w:bCs/>
          <w:sz w:val="24"/>
          <w:highlight w:val="none"/>
        </w:rPr>
        <w:t>项目编号：</w:t>
      </w:r>
      <w:r>
        <w:rPr>
          <w:rFonts w:hint="eastAsia" w:ascii="宋体" w:hAnsi="宋体"/>
          <w:bCs/>
          <w:sz w:val="24"/>
          <w:highlight w:val="none"/>
          <w:lang w:eastAsia="zh-CN"/>
        </w:rPr>
        <w:t>HYHZ2025-25</w:t>
      </w:r>
    </w:p>
    <w:p w14:paraId="02F38289">
      <w:pPr>
        <w:snapToGrid w:val="0"/>
        <w:spacing w:line="360" w:lineRule="auto"/>
        <w:ind w:firstLine="1080" w:firstLineChars="450"/>
        <w:rPr>
          <w:sz w:val="24"/>
          <w:highlight w:val="none"/>
        </w:rPr>
      </w:pPr>
      <w:r>
        <w:rPr>
          <w:rFonts w:hint="eastAsia"/>
          <w:sz w:val="24"/>
          <w:highlight w:val="none"/>
        </w:rPr>
        <w:t>投标人名称：</w:t>
      </w:r>
    </w:p>
    <w:p w14:paraId="71E3CC9B">
      <w:pPr>
        <w:pStyle w:val="7"/>
        <w:snapToGrid w:val="0"/>
        <w:spacing w:line="360" w:lineRule="auto"/>
        <w:ind w:firstLine="998" w:firstLineChars="416"/>
        <w:rPr>
          <w:rFonts w:hint="eastAsia" w:ascii="宋体" w:hAnsi="宋体"/>
          <w:bCs/>
          <w:sz w:val="24"/>
          <w:szCs w:val="24"/>
          <w:highlight w:val="none"/>
        </w:rPr>
      </w:pPr>
      <w:r>
        <w:rPr>
          <w:rFonts w:hint="eastAsia" w:ascii="宋体" w:hAnsi="宋体"/>
          <w:bCs/>
          <w:sz w:val="24"/>
          <w:szCs w:val="24"/>
          <w:highlight w:val="none"/>
        </w:rPr>
        <w:t>投标人地址：</w:t>
      </w:r>
    </w:p>
    <w:p w14:paraId="26911AF8">
      <w:pPr>
        <w:pStyle w:val="7"/>
        <w:snapToGrid w:val="0"/>
        <w:spacing w:line="360" w:lineRule="auto"/>
        <w:ind w:firstLine="960" w:firstLineChars="400"/>
        <w:rPr>
          <w:rFonts w:hint="eastAsia" w:ascii="宋体" w:hAnsi="宋体"/>
          <w:bCs/>
          <w:sz w:val="24"/>
          <w:szCs w:val="24"/>
          <w:highlight w:val="none"/>
        </w:rPr>
      </w:pPr>
    </w:p>
    <w:p w14:paraId="219A8407">
      <w:pPr>
        <w:pStyle w:val="7"/>
        <w:snapToGrid w:val="0"/>
        <w:spacing w:line="360" w:lineRule="auto"/>
        <w:ind w:firstLine="1497" w:firstLineChars="416"/>
        <w:rPr>
          <w:rFonts w:hint="eastAsia" w:ascii="宋体" w:hAnsi="宋体"/>
          <w:sz w:val="36"/>
          <w:highlight w:val="none"/>
        </w:rPr>
      </w:pPr>
    </w:p>
    <w:p w14:paraId="2CB890DE">
      <w:pPr>
        <w:snapToGrid w:val="0"/>
        <w:spacing w:line="360" w:lineRule="auto"/>
        <w:ind w:firstLine="4080" w:firstLineChars="1700"/>
        <w:rPr>
          <w:rFonts w:hint="eastAsia" w:ascii="宋体" w:hAnsi="宋体"/>
          <w:sz w:val="24"/>
          <w:szCs w:val="20"/>
          <w:highlight w:val="none"/>
        </w:rPr>
      </w:pPr>
    </w:p>
    <w:p w14:paraId="7039183C">
      <w:pPr>
        <w:snapToGrid w:val="0"/>
        <w:spacing w:line="360" w:lineRule="auto"/>
        <w:jc w:val="center"/>
        <w:rPr>
          <w:rFonts w:hint="eastAsia" w:ascii="宋体" w:hAnsi="宋体"/>
          <w:sz w:val="30"/>
          <w:szCs w:val="20"/>
          <w:highlight w:val="none"/>
        </w:rPr>
      </w:pPr>
      <w:r>
        <w:rPr>
          <w:rFonts w:hint="eastAsia" w:ascii="宋体" w:hAnsi="宋体"/>
          <w:sz w:val="24"/>
          <w:highlight w:val="none"/>
        </w:rPr>
        <w:t>年月日</w:t>
      </w:r>
    </w:p>
    <w:p w14:paraId="6B1F2E8E">
      <w:pPr>
        <w:snapToGrid w:val="0"/>
        <w:spacing w:line="360" w:lineRule="auto"/>
        <w:jc w:val="center"/>
        <w:rPr>
          <w:rFonts w:hint="eastAsia" w:ascii="宋体" w:hAnsi="宋体"/>
          <w:sz w:val="30"/>
          <w:szCs w:val="20"/>
          <w:highlight w:val="none"/>
        </w:rPr>
      </w:pPr>
    </w:p>
    <w:p w14:paraId="245B6B05">
      <w:pPr>
        <w:snapToGrid w:val="0"/>
        <w:spacing w:line="360" w:lineRule="auto"/>
        <w:rPr>
          <w:rFonts w:hint="eastAsia" w:ascii="宋体" w:hAnsi="宋体"/>
          <w:sz w:val="24"/>
          <w:szCs w:val="20"/>
          <w:highlight w:val="none"/>
        </w:rPr>
      </w:pPr>
      <w:r>
        <w:rPr>
          <w:rFonts w:ascii="宋体" w:hAnsi="宋体"/>
          <w:highlight w:val="none"/>
        </w:rPr>
        <w:br w:type="page"/>
      </w:r>
      <w:r>
        <w:rPr>
          <w:rFonts w:hint="eastAsia" w:ascii="宋体" w:hAnsi="宋体"/>
          <w:sz w:val="24"/>
          <w:highlight w:val="none"/>
        </w:rPr>
        <w:t>32.投标函格式：</w:t>
      </w:r>
    </w:p>
    <w:p w14:paraId="16F996F9">
      <w:pPr>
        <w:snapToGrid w:val="0"/>
        <w:spacing w:line="360" w:lineRule="auto"/>
        <w:jc w:val="center"/>
        <w:rPr>
          <w:rFonts w:hint="eastAsia" w:ascii="宋体" w:hAnsi="宋体"/>
          <w:b/>
          <w:sz w:val="24"/>
          <w:szCs w:val="20"/>
          <w:highlight w:val="none"/>
        </w:rPr>
      </w:pPr>
      <w:r>
        <w:rPr>
          <w:rFonts w:hint="eastAsia" w:ascii="宋体" w:hAnsi="宋体"/>
          <w:b/>
          <w:sz w:val="24"/>
          <w:highlight w:val="none"/>
        </w:rPr>
        <w:t>投标函</w:t>
      </w:r>
    </w:p>
    <w:p w14:paraId="313276B3">
      <w:pPr>
        <w:snapToGrid w:val="0"/>
        <w:spacing w:line="360" w:lineRule="auto"/>
        <w:rPr>
          <w:rFonts w:hint="eastAsia" w:ascii="宋体" w:hAnsi="宋体"/>
          <w:sz w:val="24"/>
          <w:szCs w:val="20"/>
          <w:highlight w:val="none"/>
        </w:rPr>
      </w:pPr>
      <w:r>
        <w:rPr>
          <w:rFonts w:hint="eastAsia" w:ascii="宋体" w:hAnsi="宋体"/>
          <w:sz w:val="24"/>
          <w:highlight w:val="none"/>
        </w:rPr>
        <w:t>致：</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（招标采购单位名称）：</w:t>
      </w:r>
    </w:p>
    <w:p w14:paraId="425D37F4">
      <w:pPr>
        <w:snapToGrid w:val="0"/>
        <w:spacing w:line="360" w:lineRule="auto"/>
        <w:ind w:firstLine="480"/>
        <w:rPr>
          <w:rFonts w:hint="eastAsia" w:ascii="宋体" w:hAnsi="宋体"/>
          <w:sz w:val="24"/>
          <w:szCs w:val="20"/>
          <w:highlight w:val="none"/>
        </w:rPr>
      </w:pPr>
      <w:r>
        <w:rPr>
          <w:rFonts w:hint="eastAsia" w:ascii="宋体" w:hAnsi="宋体"/>
          <w:sz w:val="24"/>
          <w:highlight w:val="none"/>
        </w:rPr>
        <w:t>根据贵方为项目的招标公告</w:t>
      </w:r>
      <w:r>
        <w:rPr>
          <w:rFonts w:ascii="宋体" w:hAnsi="宋体"/>
          <w:sz w:val="24"/>
          <w:highlight w:val="none"/>
        </w:rPr>
        <w:t>/</w:t>
      </w:r>
      <w:r>
        <w:rPr>
          <w:rFonts w:hint="eastAsia" w:ascii="宋体" w:hAnsi="宋体"/>
          <w:sz w:val="24"/>
          <w:highlight w:val="none"/>
        </w:rPr>
        <w:t>投标邀请书</w:t>
      </w:r>
    </w:p>
    <w:p w14:paraId="048DDC7B">
      <w:pPr>
        <w:snapToGrid w:val="0"/>
        <w:spacing w:line="360" w:lineRule="auto"/>
        <w:rPr>
          <w:rFonts w:hint="eastAsia" w:ascii="宋体" w:hAnsi="宋体"/>
          <w:sz w:val="24"/>
          <w:szCs w:val="20"/>
          <w:highlight w:val="none"/>
        </w:rPr>
      </w:pPr>
      <w:r>
        <w:rPr>
          <w:rFonts w:hint="eastAsia" w:ascii="宋体" w:hAnsi="宋体"/>
          <w:sz w:val="24"/>
          <w:highlight w:val="none"/>
        </w:rPr>
        <w:t>（项目编号：</w:t>
      </w:r>
      <w:r>
        <w:rPr>
          <w:rFonts w:ascii="宋体" w:hAnsi="宋体"/>
          <w:sz w:val="24"/>
          <w:highlight w:val="none"/>
        </w:rPr>
        <w:t>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），签字代表</w:t>
      </w:r>
      <w:r>
        <w:rPr>
          <w:rFonts w:ascii="宋体" w:hAnsi="宋体"/>
          <w:sz w:val="24"/>
          <w:highlight w:val="none"/>
        </w:rPr>
        <w:t>______</w:t>
      </w:r>
      <w:r>
        <w:rPr>
          <w:rFonts w:ascii="宋体" w:hAnsi="宋体"/>
          <w:sz w:val="24"/>
          <w:highlight w:val="none"/>
          <w:u w:val="single"/>
        </w:rPr>
        <w:t xml:space="preserve">_     </w:t>
      </w:r>
      <w:r>
        <w:rPr>
          <w:rFonts w:hint="eastAsia" w:ascii="宋体" w:hAnsi="宋体"/>
          <w:sz w:val="24"/>
          <w:highlight w:val="none"/>
        </w:rPr>
        <w:t>（全名）经正式授权并代表投标人</w:t>
      </w:r>
      <w:r>
        <w:rPr>
          <w:rFonts w:ascii="宋体" w:hAnsi="宋体"/>
          <w:sz w:val="24"/>
          <w:highlight w:val="none"/>
        </w:rPr>
        <w:t>_____</w:t>
      </w:r>
      <w:r>
        <w:rPr>
          <w:rFonts w:ascii="宋体" w:hAnsi="宋体"/>
          <w:sz w:val="24"/>
          <w:highlight w:val="none"/>
          <w:u w:val="single"/>
        </w:rPr>
        <w:t>__                    __</w:t>
      </w:r>
      <w:r>
        <w:rPr>
          <w:rFonts w:hint="eastAsia" w:ascii="宋体" w:hAnsi="宋体"/>
          <w:sz w:val="24"/>
          <w:highlight w:val="none"/>
        </w:rPr>
        <w:t>（投标人名称）提交资格文件、技术/资信/商务文件</w:t>
      </w:r>
      <w:r>
        <w:rPr>
          <w:rFonts w:hint="eastAsia" w:ascii="宋体" w:hAnsi="宋体" w:cs="Arial"/>
          <w:sz w:val="24"/>
          <w:highlight w:val="none"/>
        </w:rPr>
        <w:t>、</w:t>
      </w:r>
      <w:r>
        <w:rPr>
          <w:rFonts w:hint="eastAsia" w:ascii="宋体" w:hAnsi="宋体"/>
          <w:sz w:val="24"/>
          <w:highlight w:val="none"/>
        </w:rPr>
        <w:t>投标报价文件各一份。</w:t>
      </w:r>
    </w:p>
    <w:p w14:paraId="4356C04D">
      <w:pPr>
        <w:snapToGrid w:val="0"/>
        <w:spacing w:line="360" w:lineRule="auto"/>
        <w:ind w:firstLine="480" w:firstLineChars="200"/>
        <w:rPr>
          <w:rFonts w:hint="eastAsia" w:ascii="宋体" w:hAnsi="宋体"/>
          <w:sz w:val="24"/>
          <w:szCs w:val="20"/>
          <w:highlight w:val="none"/>
        </w:rPr>
      </w:pPr>
      <w:r>
        <w:rPr>
          <w:rFonts w:hint="eastAsia" w:ascii="宋体" w:hAnsi="宋体"/>
          <w:sz w:val="24"/>
          <w:highlight w:val="none"/>
        </w:rPr>
        <w:t>据此函，签字代表宣布同意如下：</w:t>
      </w:r>
    </w:p>
    <w:p w14:paraId="7A2C0408">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1</w:t>
      </w:r>
      <w:r>
        <w:rPr>
          <w:rFonts w:hint="eastAsia" w:ascii="宋体" w:hAnsi="宋体"/>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7CD21C1D">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2</w:t>
      </w:r>
      <w:r>
        <w:rPr>
          <w:rFonts w:hint="eastAsia" w:ascii="宋体" w:hAnsi="宋体"/>
          <w:sz w:val="24"/>
          <w:highlight w:val="none"/>
        </w:rPr>
        <w:t>.投标人在投标之前已经与贵方进行了充分的沟通，完全理解并接受招标文件的各项规定和要求，对招标文件的合理性、合法性不再有异议。</w:t>
      </w:r>
    </w:p>
    <w:p w14:paraId="65F70E84">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3</w:t>
      </w:r>
      <w:r>
        <w:rPr>
          <w:rFonts w:hint="eastAsia" w:ascii="宋体" w:hAnsi="宋体"/>
          <w:sz w:val="24"/>
          <w:highlight w:val="none"/>
        </w:rPr>
        <w:t>.本投标有效期自开标日起</w:t>
      </w:r>
      <w:r>
        <w:rPr>
          <w:rFonts w:ascii="宋体" w:hAnsi="宋体"/>
          <w:sz w:val="24"/>
          <w:highlight w:val="none"/>
        </w:rPr>
        <w:t xml:space="preserve"> ______</w:t>
      </w:r>
      <w:r>
        <w:rPr>
          <w:rFonts w:hint="eastAsia" w:ascii="宋体" w:hAnsi="宋体"/>
          <w:sz w:val="24"/>
          <w:highlight w:val="none"/>
        </w:rPr>
        <w:t>个日。</w:t>
      </w:r>
    </w:p>
    <w:p w14:paraId="29F918D7">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4</w:t>
      </w:r>
      <w:r>
        <w:rPr>
          <w:rFonts w:hint="eastAsia" w:ascii="宋体" w:hAnsi="宋体"/>
          <w:sz w:val="24"/>
          <w:highlight w:val="none"/>
        </w:rPr>
        <w:t>.如中标，本投标文件至本项目合同履行完毕止均保持有效，本投标人将按“招标文件”及政府采购法律、法规的规定履行合同责任和义务。</w:t>
      </w:r>
    </w:p>
    <w:p w14:paraId="5C5FB88E">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5</w:t>
      </w:r>
      <w:r>
        <w:rPr>
          <w:rFonts w:hint="eastAsia" w:ascii="宋体" w:hAnsi="宋体"/>
          <w:sz w:val="24"/>
          <w:highlight w:val="none"/>
        </w:rPr>
        <w:t>.投标人同意按照贵方要求提供与投标有关的一切数据或资料。</w:t>
      </w:r>
    </w:p>
    <w:p w14:paraId="4B2E75B4">
      <w:pPr>
        <w:snapToGrid w:val="0"/>
        <w:spacing w:line="360" w:lineRule="auto"/>
        <w:ind w:firstLine="480" w:firstLineChars="200"/>
        <w:rPr>
          <w:rFonts w:hint="eastAsia" w:ascii="宋体" w:hAnsi="宋体"/>
          <w:sz w:val="24"/>
          <w:szCs w:val="20"/>
          <w:highlight w:val="none"/>
        </w:rPr>
      </w:pPr>
      <w:r>
        <w:rPr>
          <w:rFonts w:ascii="宋体" w:hAnsi="宋体"/>
          <w:sz w:val="24"/>
          <w:highlight w:val="none"/>
        </w:rPr>
        <w:t>6</w:t>
      </w:r>
      <w:r>
        <w:rPr>
          <w:rFonts w:hint="eastAsia" w:ascii="宋体" w:hAnsi="宋体"/>
          <w:sz w:val="24"/>
          <w:highlight w:val="none"/>
        </w:rPr>
        <w:t>.与本投标有关的一切正式往来信函请寄：</w:t>
      </w:r>
    </w:p>
    <w:p w14:paraId="07106E47">
      <w:pPr>
        <w:snapToGrid w:val="0"/>
        <w:spacing w:line="360" w:lineRule="auto"/>
        <w:rPr>
          <w:rFonts w:hint="eastAsia" w:ascii="宋体" w:hAnsi="宋体"/>
          <w:sz w:val="24"/>
          <w:szCs w:val="20"/>
          <w:highlight w:val="none"/>
        </w:rPr>
      </w:pPr>
      <w:r>
        <w:rPr>
          <w:rFonts w:hint="eastAsia" w:ascii="宋体" w:hAnsi="宋体"/>
          <w:sz w:val="24"/>
          <w:highlight w:val="none"/>
        </w:rPr>
        <w:t>地址：</w:t>
      </w:r>
      <w:r>
        <w:rPr>
          <w:rFonts w:ascii="宋体" w:hAnsi="宋体"/>
          <w:sz w:val="24"/>
          <w:highlight w:val="none"/>
        </w:rPr>
        <w:t>__________</w:t>
      </w:r>
      <w:r>
        <w:rPr>
          <w:rFonts w:ascii="宋体" w:hAnsi="宋体"/>
          <w:sz w:val="24"/>
          <w:highlight w:val="none"/>
          <w:u w:val="single"/>
        </w:rPr>
        <w:t xml:space="preserve">        _</w:t>
      </w:r>
      <w:r>
        <w:rPr>
          <w:rFonts w:ascii="宋体" w:hAnsi="宋体"/>
          <w:sz w:val="24"/>
          <w:highlight w:val="none"/>
        </w:rPr>
        <w:t>____</w:t>
      </w:r>
      <w:r>
        <w:rPr>
          <w:rFonts w:hint="eastAsia" w:ascii="宋体" w:hAnsi="宋体"/>
          <w:sz w:val="24"/>
          <w:highlight w:val="none"/>
        </w:rPr>
        <w:t>邮编：</w:t>
      </w:r>
      <w:r>
        <w:rPr>
          <w:rFonts w:ascii="宋体" w:hAnsi="宋体"/>
          <w:sz w:val="24"/>
          <w:highlight w:val="none"/>
        </w:rPr>
        <w:t xml:space="preserve">__________   </w:t>
      </w:r>
      <w:r>
        <w:rPr>
          <w:rFonts w:hint="eastAsia" w:ascii="宋体" w:hAnsi="宋体"/>
          <w:sz w:val="24"/>
          <w:highlight w:val="none"/>
        </w:rPr>
        <w:t>电话：</w:t>
      </w:r>
      <w:r>
        <w:rPr>
          <w:rFonts w:ascii="宋体" w:hAnsi="宋体"/>
          <w:sz w:val="24"/>
          <w:highlight w:val="none"/>
        </w:rPr>
        <w:t>______________</w:t>
      </w:r>
    </w:p>
    <w:p w14:paraId="43DBC6CA">
      <w:pPr>
        <w:snapToGrid w:val="0"/>
        <w:spacing w:line="360" w:lineRule="auto"/>
        <w:rPr>
          <w:rFonts w:hint="eastAsia" w:ascii="宋体" w:hAnsi="宋体"/>
          <w:sz w:val="24"/>
          <w:szCs w:val="20"/>
          <w:highlight w:val="none"/>
        </w:rPr>
      </w:pPr>
      <w:r>
        <w:rPr>
          <w:rFonts w:hint="eastAsia" w:ascii="宋体" w:hAnsi="宋体"/>
          <w:sz w:val="24"/>
          <w:highlight w:val="none"/>
        </w:rPr>
        <w:t>传真：</w:t>
      </w:r>
      <w:r>
        <w:rPr>
          <w:rFonts w:ascii="宋体" w:hAnsi="宋体"/>
          <w:sz w:val="24"/>
          <w:highlight w:val="none"/>
        </w:rPr>
        <w:t>______________</w:t>
      </w:r>
      <w:r>
        <w:rPr>
          <w:rFonts w:hint="eastAsia" w:ascii="宋体" w:hAnsi="宋体"/>
          <w:sz w:val="24"/>
          <w:highlight w:val="none"/>
        </w:rPr>
        <w:t>投标人代表姓名</w:t>
      </w:r>
      <w:r>
        <w:rPr>
          <w:rFonts w:ascii="宋体" w:hAnsi="宋体"/>
          <w:sz w:val="24"/>
          <w:highlight w:val="none"/>
        </w:rPr>
        <w:t xml:space="preserve"> ___________  </w:t>
      </w:r>
      <w:r>
        <w:rPr>
          <w:rFonts w:hint="eastAsia" w:ascii="宋体" w:hAnsi="宋体"/>
          <w:sz w:val="24"/>
          <w:highlight w:val="none"/>
        </w:rPr>
        <w:t>职务：</w:t>
      </w:r>
      <w:r>
        <w:rPr>
          <w:rFonts w:ascii="宋体" w:hAnsi="宋体"/>
          <w:sz w:val="24"/>
          <w:highlight w:val="none"/>
        </w:rPr>
        <w:t>_____________</w:t>
      </w:r>
    </w:p>
    <w:p w14:paraId="25AE9DF1">
      <w:pPr>
        <w:snapToGrid w:val="0"/>
        <w:spacing w:line="360" w:lineRule="auto"/>
        <w:rPr>
          <w:rFonts w:hint="eastAsia" w:ascii="宋体" w:hAnsi="宋体"/>
          <w:sz w:val="24"/>
          <w:szCs w:val="20"/>
          <w:highlight w:val="none"/>
        </w:rPr>
      </w:pPr>
      <w:r>
        <w:rPr>
          <w:rFonts w:hint="eastAsia" w:ascii="宋体" w:hAnsi="宋体"/>
          <w:sz w:val="24"/>
          <w:highlight w:val="none"/>
        </w:rPr>
        <w:t>投标人名称（公章）：</w:t>
      </w:r>
      <w:r>
        <w:rPr>
          <w:rFonts w:ascii="宋体" w:hAnsi="宋体"/>
          <w:sz w:val="24"/>
          <w:highlight w:val="none"/>
        </w:rPr>
        <w:t>___________________</w:t>
      </w:r>
    </w:p>
    <w:p w14:paraId="1D50A903">
      <w:pPr>
        <w:snapToGrid w:val="0"/>
        <w:spacing w:line="360" w:lineRule="auto"/>
        <w:rPr>
          <w:rFonts w:hint="eastAsia" w:ascii="宋体" w:hAnsi="宋体"/>
          <w:sz w:val="24"/>
          <w:szCs w:val="20"/>
          <w:highlight w:val="none"/>
        </w:rPr>
      </w:pPr>
      <w:r>
        <w:rPr>
          <w:rFonts w:hint="eastAsia" w:ascii="宋体" w:hAnsi="宋体"/>
          <w:sz w:val="24"/>
          <w:highlight w:val="none"/>
        </w:rPr>
        <w:t>开户银行：银行账号：</w:t>
      </w:r>
    </w:p>
    <w:p w14:paraId="606F8714">
      <w:pPr>
        <w:snapToGrid w:val="0"/>
        <w:spacing w:line="360" w:lineRule="auto"/>
        <w:rPr>
          <w:rFonts w:hint="eastAsia" w:ascii="宋体" w:hAnsi="宋体"/>
          <w:sz w:val="30"/>
          <w:szCs w:val="20"/>
          <w:highlight w:val="none"/>
        </w:rPr>
      </w:pPr>
      <w:r>
        <w:rPr>
          <w:rFonts w:hint="eastAsia" w:ascii="宋体" w:hAnsi="宋体"/>
          <w:sz w:val="24"/>
          <w:highlight w:val="none"/>
        </w:rPr>
        <w:t>法定代表人签字：</w:t>
      </w:r>
      <w:r>
        <w:rPr>
          <w:rFonts w:ascii="宋体" w:hAnsi="宋体"/>
          <w:sz w:val="24"/>
          <w:highlight w:val="none"/>
        </w:rPr>
        <w:t xml:space="preserve">___________                      </w:t>
      </w:r>
      <w:r>
        <w:rPr>
          <w:rFonts w:hint="eastAsia" w:ascii="宋体" w:hAnsi="宋体"/>
          <w:sz w:val="24"/>
          <w:highlight w:val="none"/>
        </w:rPr>
        <w:t>日期：</w:t>
      </w:r>
      <w:r>
        <w:rPr>
          <w:rFonts w:ascii="宋体" w:hAnsi="宋体"/>
          <w:sz w:val="24"/>
          <w:highlight w:val="none"/>
        </w:rPr>
        <w:t>_____</w:t>
      </w:r>
      <w:r>
        <w:rPr>
          <w:rFonts w:hint="eastAsia" w:ascii="宋体" w:hAnsi="宋体"/>
          <w:sz w:val="24"/>
          <w:highlight w:val="none"/>
        </w:rPr>
        <w:t>年</w:t>
      </w:r>
      <w:r>
        <w:rPr>
          <w:rFonts w:ascii="宋体" w:hAnsi="宋体"/>
          <w:sz w:val="24"/>
          <w:highlight w:val="none"/>
        </w:rPr>
        <w:t>___</w:t>
      </w:r>
      <w:r>
        <w:rPr>
          <w:rFonts w:hint="eastAsia" w:ascii="宋体" w:hAnsi="宋体"/>
          <w:sz w:val="24"/>
          <w:highlight w:val="none"/>
        </w:rPr>
        <w:t>月</w:t>
      </w:r>
      <w:r>
        <w:rPr>
          <w:rFonts w:ascii="宋体" w:hAnsi="宋体"/>
          <w:sz w:val="24"/>
          <w:highlight w:val="none"/>
        </w:rPr>
        <w:t>___</w:t>
      </w:r>
      <w:r>
        <w:rPr>
          <w:rFonts w:hint="eastAsia" w:ascii="宋体" w:hAnsi="宋体"/>
          <w:sz w:val="24"/>
          <w:highlight w:val="none"/>
        </w:rPr>
        <w:t>日</w:t>
      </w:r>
    </w:p>
    <w:p w14:paraId="6422FC3E">
      <w:pPr>
        <w:pStyle w:val="13"/>
        <w:snapToGrid w:val="0"/>
        <w:spacing w:beforeLines="0" w:afterLines="0" w:line="360" w:lineRule="auto"/>
        <w:rPr>
          <w:rFonts w:hint="eastAsia" w:hAnsi="宋体"/>
          <w:highlight w:val="none"/>
        </w:rPr>
      </w:pPr>
    </w:p>
    <w:p w14:paraId="6AFBB031">
      <w:pPr>
        <w:snapToGrid w:val="0"/>
        <w:spacing w:line="360" w:lineRule="auto"/>
        <w:jc w:val="left"/>
        <w:rPr>
          <w:rFonts w:hint="eastAsia" w:hAnsi="宋体" w:cs="仿宋"/>
          <w:highlight w:val="none"/>
        </w:rPr>
      </w:pPr>
      <w:r>
        <w:rPr>
          <w:rFonts w:hAnsi="宋体"/>
          <w:highlight w:val="none"/>
        </w:rPr>
        <w:br w:type="page"/>
      </w:r>
    </w:p>
    <w:p w14:paraId="0B92FBAA">
      <w:pPr>
        <w:pStyle w:val="13"/>
        <w:snapToGrid w:val="0"/>
        <w:spacing w:beforeLines="0" w:afterLines="0" w:line="360" w:lineRule="auto"/>
        <w:rPr>
          <w:rFonts w:hint="eastAsia" w:hAnsi="宋体"/>
          <w:highlight w:val="none"/>
        </w:rPr>
      </w:pPr>
      <w:r>
        <w:rPr>
          <w:rFonts w:hint="eastAsia" w:hAnsi="宋体" w:cs="仿宋"/>
          <w:highlight w:val="none"/>
        </w:rPr>
        <w:t>33.</w:t>
      </w:r>
      <w:r>
        <w:rPr>
          <w:rFonts w:hAnsi="宋体"/>
          <w:highlight w:val="none"/>
        </w:rPr>
        <w:t xml:space="preserve">投标报价明细表：       </w:t>
      </w:r>
    </w:p>
    <w:p w14:paraId="1F1CD6A1">
      <w:pPr>
        <w:pStyle w:val="13"/>
        <w:snapToGrid w:val="0"/>
        <w:spacing w:beforeLines="0" w:afterLines="0" w:line="360" w:lineRule="auto"/>
        <w:ind w:left="1470" w:right="1470"/>
        <w:jc w:val="center"/>
        <w:rPr>
          <w:rFonts w:hint="eastAsia" w:hAnsi="宋体"/>
          <w:highlight w:val="none"/>
        </w:rPr>
      </w:pPr>
      <w:r>
        <w:rPr>
          <w:rFonts w:hAnsi="宋体"/>
          <w:highlight w:val="none"/>
        </w:rPr>
        <w:t>投标报价明细表</w:t>
      </w:r>
      <w:r>
        <w:rPr>
          <w:rFonts w:hint="eastAsia" w:hAnsi="宋体"/>
          <w:highlight w:val="none"/>
        </w:rPr>
        <w:t>（格式自拟）</w:t>
      </w:r>
    </w:p>
    <w:p w14:paraId="354EA8F9">
      <w:pPr>
        <w:spacing w:line="360" w:lineRule="auto"/>
        <w:jc w:val="left"/>
        <w:rPr>
          <w:rFonts w:hint="eastAsia" w:hAnsi="宋体"/>
          <w:szCs w:val="21"/>
          <w:highlight w:val="none"/>
        </w:rPr>
      </w:pPr>
      <w:r>
        <w:rPr>
          <w:rFonts w:hAnsi="宋体"/>
          <w:highlight w:val="none"/>
        </w:rPr>
        <w:t>项目名称：</w:t>
      </w:r>
      <w:r>
        <w:rPr>
          <w:rFonts w:hAnsi="宋体"/>
          <w:szCs w:val="21"/>
          <w:highlight w:val="none"/>
        </w:rPr>
        <w:t>金额单位：人民币（元）</w:t>
      </w:r>
    </w:p>
    <w:p w14:paraId="69667D2F">
      <w:pPr>
        <w:spacing w:line="360" w:lineRule="auto"/>
        <w:jc w:val="left"/>
        <w:rPr>
          <w:rFonts w:hint="eastAsia" w:hAnsi="宋体"/>
          <w:szCs w:val="21"/>
          <w:highlight w:val="none"/>
        </w:rPr>
      </w:pPr>
    </w:p>
    <w:p w14:paraId="01A9B912">
      <w:pPr>
        <w:spacing w:line="360" w:lineRule="auto"/>
        <w:jc w:val="left"/>
        <w:rPr>
          <w:rFonts w:hint="eastAsia" w:hAnsi="宋体"/>
          <w:szCs w:val="21"/>
          <w:highlight w:val="none"/>
        </w:rPr>
      </w:pPr>
    </w:p>
    <w:p w14:paraId="7909529D">
      <w:pPr>
        <w:pStyle w:val="24"/>
        <w:spacing w:before="120"/>
        <w:rPr>
          <w:highlight w:val="none"/>
        </w:rPr>
      </w:pPr>
    </w:p>
    <w:p w14:paraId="18315B81">
      <w:pPr>
        <w:rPr>
          <w:highlight w:val="none"/>
        </w:rPr>
      </w:pPr>
    </w:p>
    <w:p w14:paraId="2587E0DC">
      <w:pPr>
        <w:snapToGrid w:val="0"/>
        <w:spacing w:line="360" w:lineRule="auto"/>
        <w:rPr>
          <w:rFonts w:hint="eastAsia" w:ascii="宋体" w:hAnsi="宋体"/>
          <w:spacing w:val="20"/>
          <w:sz w:val="24"/>
          <w:szCs w:val="20"/>
          <w:highlight w:val="none"/>
          <w:u w:val="single"/>
        </w:rPr>
      </w:pPr>
      <w:r>
        <w:rPr>
          <w:rFonts w:hint="eastAsia" w:ascii="宋体" w:hAnsi="宋体"/>
          <w:spacing w:val="20"/>
          <w:sz w:val="24"/>
          <w:highlight w:val="none"/>
        </w:rPr>
        <w:t>授权代表签名：</w:t>
      </w:r>
    </w:p>
    <w:p w14:paraId="1183FA26">
      <w:pPr>
        <w:snapToGrid w:val="0"/>
        <w:spacing w:line="360" w:lineRule="auto"/>
        <w:rPr>
          <w:rFonts w:hint="eastAsia" w:ascii="宋体" w:hAnsi="宋体"/>
          <w:spacing w:val="20"/>
          <w:sz w:val="24"/>
          <w:highlight w:val="none"/>
          <w:u w:val="single"/>
        </w:rPr>
      </w:pPr>
      <w:r>
        <w:rPr>
          <w:rFonts w:hint="eastAsia" w:ascii="宋体" w:hAnsi="宋体"/>
          <w:spacing w:val="20"/>
          <w:sz w:val="24"/>
          <w:highlight w:val="none"/>
        </w:rPr>
        <w:t>投标人盖章：日期：</w:t>
      </w:r>
    </w:p>
    <w:p w14:paraId="5DD4D000">
      <w:pPr>
        <w:pStyle w:val="11"/>
        <w:rPr>
          <w:highlight w:val="none"/>
        </w:rPr>
      </w:pPr>
    </w:p>
    <w:p w14:paraId="0AE9E39B">
      <w:pPr>
        <w:spacing w:line="360" w:lineRule="auto"/>
        <w:rPr>
          <w:rFonts w:hint="eastAsia" w:ascii="宋体" w:hAnsi="宋体"/>
          <w:sz w:val="24"/>
          <w:highlight w:val="none"/>
        </w:rPr>
      </w:pPr>
      <w:r>
        <w:rPr>
          <w:rFonts w:hint="eastAsia" w:ascii="宋体" w:hAnsi="宋体"/>
          <w:sz w:val="24"/>
          <w:highlight w:val="none"/>
        </w:rPr>
        <w:t>34.招标代理服务费承诺函</w:t>
      </w:r>
    </w:p>
    <w:p w14:paraId="2B40F7FA">
      <w:pPr>
        <w:spacing w:line="360" w:lineRule="auto"/>
        <w:jc w:val="center"/>
        <w:rPr>
          <w:b/>
          <w:sz w:val="32"/>
          <w:highlight w:val="none"/>
        </w:rPr>
      </w:pPr>
    </w:p>
    <w:p w14:paraId="09E40262">
      <w:pPr>
        <w:tabs>
          <w:tab w:val="left" w:pos="2996"/>
        </w:tabs>
        <w:spacing w:line="360" w:lineRule="auto"/>
        <w:ind w:firstLine="480" w:firstLineChars="200"/>
        <w:rPr>
          <w:sz w:val="24"/>
          <w:highlight w:val="none"/>
        </w:rPr>
      </w:pPr>
      <w:r>
        <w:rPr>
          <w:rFonts w:hint="eastAsia"/>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58B276DF">
      <w:pPr>
        <w:spacing w:line="360" w:lineRule="auto"/>
        <w:rPr>
          <w:sz w:val="24"/>
          <w:highlight w:val="none"/>
        </w:rPr>
      </w:pPr>
    </w:p>
    <w:p w14:paraId="65EF5B4C">
      <w:pPr>
        <w:spacing w:line="360" w:lineRule="auto"/>
        <w:rPr>
          <w:sz w:val="24"/>
          <w:highlight w:val="none"/>
        </w:rPr>
      </w:pPr>
    </w:p>
    <w:p w14:paraId="13844670">
      <w:pPr>
        <w:pStyle w:val="7"/>
        <w:spacing w:line="360" w:lineRule="auto"/>
        <w:ind w:firstLine="1454" w:firstLineChars="606"/>
        <w:rPr>
          <w:rFonts w:hint="eastAsia" w:ascii="宋体" w:hAnsi="宋体"/>
          <w:sz w:val="24"/>
          <w:szCs w:val="24"/>
          <w:highlight w:val="none"/>
        </w:rPr>
      </w:pPr>
      <w:r>
        <w:rPr>
          <w:rFonts w:hint="eastAsia" w:ascii="宋体" w:hAnsi="宋体"/>
          <w:sz w:val="24"/>
          <w:szCs w:val="24"/>
          <w:highlight w:val="none"/>
        </w:rPr>
        <w:t>投标人：（盖章）</w:t>
      </w:r>
    </w:p>
    <w:p w14:paraId="7DB1CBBF">
      <w:pPr>
        <w:pStyle w:val="7"/>
        <w:spacing w:line="360" w:lineRule="auto"/>
        <w:ind w:firstLine="374" w:firstLineChars="156"/>
        <w:rPr>
          <w:rFonts w:hint="eastAsia" w:ascii="宋体" w:hAnsi="宋体"/>
          <w:sz w:val="24"/>
          <w:szCs w:val="24"/>
          <w:highlight w:val="none"/>
        </w:rPr>
      </w:pPr>
    </w:p>
    <w:p w14:paraId="6C0986F5">
      <w:pPr>
        <w:pStyle w:val="7"/>
        <w:spacing w:line="360" w:lineRule="auto"/>
        <w:ind w:firstLine="1334" w:firstLineChars="556"/>
        <w:rPr>
          <w:rFonts w:hint="eastAsia" w:ascii="宋体" w:hAnsi="宋体"/>
          <w:sz w:val="24"/>
          <w:szCs w:val="24"/>
          <w:highlight w:val="none"/>
        </w:rPr>
      </w:pPr>
      <w:r>
        <w:rPr>
          <w:rFonts w:hint="eastAsia" w:ascii="宋体" w:hAnsi="宋体"/>
          <w:sz w:val="24"/>
          <w:szCs w:val="24"/>
          <w:highlight w:val="none"/>
        </w:rPr>
        <w:t>法定代表人或其授权代理人（签名或盖章）</w:t>
      </w:r>
    </w:p>
    <w:p w14:paraId="42B14D93">
      <w:pPr>
        <w:pStyle w:val="7"/>
        <w:spacing w:line="360" w:lineRule="auto"/>
        <w:ind w:firstLine="374" w:firstLineChars="156"/>
        <w:jc w:val="center"/>
        <w:rPr>
          <w:rFonts w:hint="eastAsia" w:ascii="宋体" w:hAnsi="宋体"/>
          <w:sz w:val="24"/>
          <w:szCs w:val="24"/>
          <w:highlight w:val="none"/>
        </w:rPr>
      </w:pPr>
    </w:p>
    <w:p w14:paraId="7DB96DEA">
      <w:pPr>
        <w:pStyle w:val="7"/>
        <w:spacing w:line="360" w:lineRule="auto"/>
        <w:ind w:left="840" w:firstLine="374" w:firstLineChars="156"/>
        <w:rPr>
          <w:rFonts w:hint="eastAsia" w:ascii="宋体" w:hAnsi="宋体"/>
          <w:sz w:val="24"/>
          <w:szCs w:val="24"/>
          <w:highlight w:val="none"/>
        </w:rPr>
      </w:pPr>
      <w:r>
        <w:rPr>
          <w:rFonts w:hint="eastAsia" w:ascii="宋体" w:hAnsi="宋体"/>
          <w:sz w:val="24"/>
          <w:szCs w:val="24"/>
          <w:highlight w:val="none"/>
        </w:rPr>
        <w:t xml:space="preserve">              日期：    年   月   日</w:t>
      </w:r>
    </w:p>
    <w:p w14:paraId="33D2CF98">
      <w:pPr>
        <w:pStyle w:val="13"/>
        <w:snapToGrid w:val="0"/>
        <w:spacing w:beforeLines="0" w:afterLines="0" w:line="360" w:lineRule="auto"/>
        <w:rPr>
          <w:highlight w:val="none"/>
        </w:rPr>
      </w:pPr>
    </w:p>
    <w:p w14:paraId="663EE52D">
      <w:pPr>
        <w:pStyle w:val="7"/>
        <w:spacing w:line="500" w:lineRule="exact"/>
        <w:ind w:firstLine="0"/>
        <w:jc w:val="left"/>
        <w:rPr>
          <w:rFonts w:hint="eastAsia" w:ascii="宋体" w:hAnsi="宋体"/>
          <w:sz w:val="24"/>
          <w:szCs w:val="24"/>
          <w:highlight w:val="none"/>
          <w:u w:val="single"/>
        </w:rPr>
      </w:pPr>
    </w:p>
    <w:p w14:paraId="7899858D">
      <w:pPr>
        <w:pStyle w:val="7"/>
        <w:spacing w:line="500" w:lineRule="exact"/>
        <w:ind w:firstLine="0"/>
        <w:jc w:val="left"/>
        <w:rPr>
          <w:rFonts w:hint="eastAsia" w:ascii="宋体" w:hAnsi="宋体"/>
          <w:sz w:val="24"/>
          <w:szCs w:val="24"/>
          <w:highlight w:val="none"/>
        </w:rPr>
      </w:pPr>
      <w:r>
        <w:rPr>
          <w:rFonts w:hint="eastAsia" w:ascii="宋体" w:hAnsi="宋体"/>
          <w:sz w:val="24"/>
          <w:szCs w:val="24"/>
          <w:highlight w:val="none"/>
        </w:rPr>
        <w:t>____________________________________________________________________________</w:t>
      </w:r>
    </w:p>
    <w:p w14:paraId="2EB8BA28">
      <w:pPr>
        <w:pStyle w:val="7"/>
        <w:spacing w:line="500" w:lineRule="exact"/>
        <w:ind w:firstLine="0"/>
        <w:jc w:val="left"/>
        <w:rPr>
          <w:rFonts w:hint="eastAsia" w:ascii="宋体" w:hAnsi="宋体"/>
          <w:sz w:val="24"/>
          <w:szCs w:val="24"/>
          <w:highlight w:val="none"/>
        </w:rPr>
      </w:pPr>
      <w:r>
        <w:rPr>
          <w:rFonts w:hint="eastAsia" w:ascii="宋体" w:hAnsi="宋体"/>
          <w:sz w:val="24"/>
          <w:szCs w:val="24"/>
          <w:highlight w:val="none"/>
        </w:rPr>
        <w:t>代理费汇款账号：</w:t>
      </w:r>
    </w:p>
    <w:p w14:paraId="4EFEB029">
      <w:pPr>
        <w:snapToGrid w:val="0"/>
        <w:jc w:val="left"/>
        <w:rPr>
          <w:rFonts w:hint="eastAsia" w:ascii="宋体" w:hAnsi="宋体"/>
          <w:sz w:val="24"/>
          <w:highlight w:val="none"/>
        </w:rPr>
      </w:pPr>
    </w:p>
    <w:p w14:paraId="5F0C2992">
      <w:pPr>
        <w:snapToGrid w:val="0"/>
        <w:jc w:val="left"/>
        <w:rPr>
          <w:rFonts w:hint="eastAsia" w:ascii="宋体" w:hAnsi="宋体"/>
          <w:sz w:val="24"/>
          <w:highlight w:val="none"/>
        </w:rPr>
      </w:pPr>
    </w:p>
    <w:p w14:paraId="30026420">
      <w:pPr>
        <w:snapToGrid w:val="0"/>
        <w:rPr>
          <w:rFonts w:hint="eastAsia" w:ascii="宋体" w:hAnsi="宋体"/>
          <w:sz w:val="24"/>
          <w:highlight w:val="none"/>
        </w:rPr>
      </w:pPr>
      <w:r>
        <w:rPr>
          <w:rFonts w:hint="eastAsia" w:ascii="宋体" w:hAnsi="宋体"/>
          <w:sz w:val="24"/>
          <w:highlight w:val="none"/>
        </w:rPr>
        <w:t>单位名称：</w:t>
      </w:r>
      <w:r>
        <w:rPr>
          <w:rFonts w:hint="eastAsia" w:ascii="宋体" w:hAnsi="宋体" w:cs="宋体"/>
          <w:sz w:val="24"/>
          <w:highlight w:val="none"/>
        </w:rPr>
        <w:t>浙江华耀建设咨询有限公司龙溪北路分公司</w:t>
      </w:r>
    </w:p>
    <w:p w14:paraId="6671D70C">
      <w:pPr>
        <w:snapToGrid w:val="0"/>
        <w:rPr>
          <w:rFonts w:hint="eastAsia" w:ascii="宋体" w:hAnsi="宋体"/>
          <w:sz w:val="24"/>
          <w:highlight w:val="none"/>
        </w:rPr>
      </w:pPr>
      <w:r>
        <w:rPr>
          <w:rFonts w:hint="eastAsia" w:ascii="宋体" w:hAnsi="宋体"/>
          <w:sz w:val="24"/>
          <w:highlight w:val="none"/>
        </w:rPr>
        <w:t>开户银行：中国工商银行股份有限公司湖州经济开发区支行</w:t>
      </w:r>
    </w:p>
    <w:p w14:paraId="45F2C44A">
      <w:pPr>
        <w:snapToGrid w:val="0"/>
        <w:rPr>
          <w:rFonts w:hint="eastAsia" w:ascii="宋体" w:hAnsi="宋体" w:cs="宋体"/>
          <w:sz w:val="24"/>
          <w:highlight w:val="none"/>
        </w:rPr>
      </w:pPr>
      <w:r>
        <w:rPr>
          <w:rFonts w:hint="eastAsia" w:ascii="宋体" w:hAnsi="宋体"/>
          <w:sz w:val="24"/>
          <w:highlight w:val="none"/>
        </w:rPr>
        <w:t>银行账号：</w:t>
      </w:r>
      <w:r>
        <w:rPr>
          <w:rFonts w:hint="eastAsia" w:ascii="宋体" w:hAnsi="宋体" w:cs="宋体"/>
          <w:sz w:val="24"/>
          <w:highlight w:val="none"/>
        </w:rPr>
        <w:t>1205210409001029749</w:t>
      </w:r>
    </w:p>
    <w:p w14:paraId="4180B709">
      <w:pPr>
        <w:tabs>
          <w:tab w:val="left" w:pos="1418"/>
        </w:tabs>
        <w:snapToGrid w:val="0"/>
        <w:spacing w:line="360" w:lineRule="auto"/>
        <w:ind w:left="1418" w:hanging="567"/>
        <w:jc w:val="center"/>
        <w:rPr>
          <w:rFonts w:hint="eastAsia" w:ascii="宋体" w:hAnsi="宋体"/>
          <w:spacing w:val="20"/>
          <w:sz w:val="24"/>
          <w:szCs w:val="20"/>
          <w:highlight w:val="none"/>
          <w:u w:val="single"/>
        </w:rPr>
      </w:pPr>
    </w:p>
    <w:p w14:paraId="16B6924B">
      <w:pPr>
        <w:pStyle w:val="11"/>
        <w:rPr>
          <w:highlight w:val="none"/>
        </w:rPr>
      </w:pPr>
      <w:r>
        <w:rPr>
          <w:highlight w:val="none"/>
        </w:rPr>
        <w:br w:type="page"/>
      </w:r>
    </w:p>
    <w:p w14:paraId="7FC5A70B">
      <w:pPr>
        <w:snapToGrid w:val="0"/>
        <w:spacing w:line="360" w:lineRule="auto"/>
        <w:rPr>
          <w:rFonts w:hint="eastAsia" w:ascii="宋体" w:hAnsi="宋体"/>
          <w:b/>
          <w:sz w:val="24"/>
          <w:highlight w:val="none"/>
        </w:rPr>
      </w:pPr>
      <w:r>
        <w:rPr>
          <w:rFonts w:hint="eastAsia" w:ascii="宋体" w:hAnsi="宋体"/>
          <w:b/>
          <w:sz w:val="24"/>
          <w:highlight w:val="none"/>
        </w:rPr>
        <w:t xml:space="preserve">35.开标一览表 </w:t>
      </w:r>
    </w:p>
    <w:p w14:paraId="6F6F5BF2">
      <w:pPr>
        <w:snapToGrid w:val="0"/>
        <w:spacing w:line="360" w:lineRule="auto"/>
        <w:jc w:val="center"/>
        <w:rPr>
          <w:rFonts w:hint="eastAsia" w:ascii="宋体" w:hAnsi="宋体"/>
          <w:b/>
          <w:sz w:val="30"/>
          <w:szCs w:val="20"/>
          <w:highlight w:val="none"/>
        </w:rPr>
      </w:pPr>
      <w:r>
        <w:rPr>
          <w:rFonts w:hint="eastAsia" w:ascii="宋体" w:hAnsi="宋体"/>
          <w:b/>
          <w:sz w:val="30"/>
          <w:highlight w:val="none"/>
        </w:rPr>
        <w:t>开标一览表</w:t>
      </w:r>
    </w:p>
    <w:p w14:paraId="16AB0F70">
      <w:pPr>
        <w:snapToGrid w:val="0"/>
        <w:spacing w:before="50" w:after="50"/>
        <w:rPr>
          <w:rFonts w:hint="eastAsia" w:ascii="宋体" w:hAnsi="宋体"/>
          <w:sz w:val="24"/>
          <w:szCs w:val="20"/>
          <w:highlight w:val="none"/>
        </w:rPr>
      </w:pPr>
      <w:r>
        <w:rPr>
          <w:rFonts w:hint="eastAsia" w:ascii="宋体" w:hAnsi="宋体"/>
          <w:sz w:val="24"/>
          <w:highlight w:val="none"/>
        </w:rPr>
        <w:t>招标编号：项目名称：投标人名称：单位：元</w:t>
      </w:r>
    </w:p>
    <w:p w14:paraId="4D63B1FE">
      <w:pPr>
        <w:snapToGrid w:val="0"/>
        <w:spacing w:before="50" w:after="50"/>
        <w:rPr>
          <w:rFonts w:hint="eastAsia" w:ascii="宋体" w:hAnsi="宋体"/>
          <w:sz w:val="24"/>
          <w:szCs w:val="20"/>
          <w:highlight w:val="none"/>
        </w:rPr>
      </w:pPr>
    </w:p>
    <w:tbl>
      <w:tblPr>
        <w:tblStyle w:val="28"/>
        <w:tblW w:w="10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228"/>
        <w:gridCol w:w="2698"/>
        <w:gridCol w:w="1978"/>
        <w:gridCol w:w="2597"/>
      </w:tblGrid>
      <w:tr w14:paraId="217E9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1DC701BE">
            <w:pPr>
              <w:snapToGrid w:val="0"/>
              <w:spacing w:before="50" w:after="50"/>
              <w:jc w:val="center"/>
              <w:rPr>
                <w:rFonts w:hint="eastAsia" w:ascii="宋体" w:hAnsi="宋体"/>
                <w:b/>
                <w:szCs w:val="30"/>
                <w:highlight w:val="none"/>
              </w:rPr>
            </w:pPr>
            <w:r>
              <w:rPr>
                <w:rFonts w:hint="eastAsia" w:ascii="宋体" w:hAnsi="宋体"/>
                <w:b/>
                <w:szCs w:val="30"/>
                <w:highlight w:val="none"/>
              </w:rPr>
              <w:t>序号</w:t>
            </w:r>
          </w:p>
        </w:tc>
        <w:tc>
          <w:tcPr>
            <w:tcW w:w="2228" w:type="dxa"/>
            <w:tcBorders>
              <w:top w:val="single" w:color="auto" w:sz="4" w:space="0"/>
              <w:left w:val="single" w:color="auto" w:sz="4" w:space="0"/>
              <w:bottom w:val="single" w:color="auto" w:sz="4" w:space="0"/>
              <w:right w:val="single" w:color="auto" w:sz="4" w:space="0"/>
            </w:tcBorders>
            <w:vAlign w:val="center"/>
          </w:tcPr>
          <w:p w14:paraId="6E832694">
            <w:pPr>
              <w:snapToGrid w:val="0"/>
              <w:spacing w:before="50" w:after="50"/>
              <w:jc w:val="center"/>
              <w:rPr>
                <w:rFonts w:hint="eastAsia" w:ascii="宋体" w:hAnsi="宋体"/>
                <w:b/>
                <w:szCs w:val="30"/>
                <w:highlight w:val="none"/>
              </w:rPr>
            </w:pPr>
            <w:r>
              <w:rPr>
                <w:rFonts w:hint="eastAsia" w:ascii="宋体" w:hAnsi="宋体"/>
                <w:b/>
                <w:szCs w:val="30"/>
                <w:highlight w:val="none"/>
              </w:rPr>
              <w:t>名称</w:t>
            </w:r>
          </w:p>
        </w:tc>
        <w:tc>
          <w:tcPr>
            <w:tcW w:w="2698" w:type="dxa"/>
            <w:tcBorders>
              <w:top w:val="single" w:color="auto" w:sz="4" w:space="0"/>
              <w:left w:val="single" w:color="auto" w:sz="4" w:space="0"/>
              <w:bottom w:val="single" w:color="auto" w:sz="4" w:space="0"/>
              <w:right w:val="single" w:color="auto" w:sz="4" w:space="0"/>
            </w:tcBorders>
            <w:vAlign w:val="center"/>
          </w:tcPr>
          <w:p w14:paraId="0A76FBE4">
            <w:pPr>
              <w:snapToGrid w:val="0"/>
              <w:spacing w:before="50" w:after="50"/>
              <w:jc w:val="center"/>
              <w:rPr>
                <w:rFonts w:hint="eastAsia" w:ascii="宋体" w:hAnsi="宋体"/>
                <w:b/>
                <w:szCs w:val="30"/>
                <w:highlight w:val="none"/>
              </w:rPr>
            </w:pPr>
            <w:r>
              <w:rPr>
                <w:rFonts w:hint="eastAsia" w:ascii="宋体" w:hAnsi="宋体"/>
                <w:b/>
                <w:szCs w:val="30"/>
                <w:highlight w:val="none"/>
              </w:rPr>
              <w:t>数量</w:t>
            </w:r>
          </w:p>
        </w:tc>
        <w:tc>
          <w:tcPr>
            <w:tcW w:w="1978" w:type="dxa"/>
            <w:tcBorders>
              <w:top w:val="single" w:color="auto" w:sz="4" w:space="0"/>
              <w:left w:val="single" w:color="auto" w:sz="4" w:space="0"/>
              <w:bottom w:val="single" w:color="auto" w:sz="4" w:space="0"/>
              <w:right w:val="single" w:color="auto" w:sz="4" w:space="0"/>
            </w:tcBorders>
            <w:vAlign w:val="center"/>
          </w:tcPr>
          <w:p w14:paraId="688A3D7D">
            <w:pPr>
              <w:snapToGrid w:val="0"/>
              <w:spacing w:before="50" w:after="50"/>
              <w:jc w:val="center"/>
              <w:rPr>
                <w:rFonts w:hint="eastAsia" w:ascii="宋体" w:hAnsi="宋体"/>
                <w:b/>
                <w:szCs w:val="30"/>
                <w:highlight w:val="none"/>
              </w:rPr>
            </w:pPr>
            <w:r>
              <w:rPr>
                <w:rFonts w:hint="eastAsia" w:ascii="宋体" w:hAnsi="宋体"/>
                <w:b/>
                <w:szCs w:val="30"/>
                <w:highlight w:val="none"/>
              </w:rPr>
              <w:t>单价</w:t>
            </w:r>
          </w:p>
        </w:tc>
        <w:tc>
          <w:tcPr>
            <w:tcW w:w="2597" w:type="dxa"/>
            <w:tcBorders>
              <w:top w:val="single" w:color="auto" w:sz="4" w:space="0"/>
              <w:left w:val="single" w:color="auto" w:sz="4" w:space="0"/>
              <w:bottom w:val="single" w:color="auto" w:sz="4" w:space="0"/>
              <w:right w:val="single" w:color="auto" w:sz="4" w:space="0"/>
            </w:tcBorders>
            <w:vAlign w:val="center"/>
          </w:tcPr>
          <w:p w14:paraId="08A21730">
            <w:pPr>
              <w:snapToGrid w:val="0"/>
              <w:spacing w:before="50" w:after="50"/>
              <w:jc w:val="center"/>
              <w:rPr>
                <w:rFonts w:hint="eastAsia" w:ascii="宋体" w:hAnsi="宋体"/>
                <w:b/>
                <w:szCs w:val="30"/>
                <w:highlight w:val="none"/>
              </w:rPr>
            </w:pPr>
            <w:r>
              <w:rPr>
                <w:rFonts w:hint="eastAsia" w:ascii="宋体" w:hAnsi="宋体"/>
                <w:b/>
                <w:szCs w:val="30"/>
                <w:highlight w:val="none"/>
              </w:rPr>
              <w:t>投标报价</w:t>
            </w:r>
          </w:p>
        </w:tc>
      </w:tr>
      <w:tr w14:paraId="26C8B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D6E617B">
            <w:pPr>
              <w:snapToGrid w:val="0"/>
              <w:spacing w:before="50" w:after="50"/>
              <w:jc w:val="center"/>
              <w:rPr>
                <w:rFonts w:hint="eastAsia" w:ascii="宋体" w:hAnsi="宋体"/>
                <w:b/>
                <w:szCs w:val="30"/>
                <w:highlight w:val="none"/>
              </w:rPr>
            </w:pPr>
          </w:p>
        </w:tc>
        <w:tc>
          <w:tcPr>
            <w:tcW w:w="2228" w:type="dxa"/>
            <w:tcBorders>
              <w:top w:val="single" w:color="auto" w:sz="4" w:space="0"/>
              <w:left w:val="single" w:color="auto" w:sz="4" w:space="0"/>
              <w:bottom w:val="single" w:color="auto" w:sz="4" w:space="0"/>
              <w:right w:val="single" w:color="auto" w:sz="4" w:space="0"/>
            </w:tcBorders>
            <w:vAlign w:val="center"/>
          </w:tcPr>
          <w:p w14:paraId="3A593103">
            <w:pPr>
              <w:jc w:val="center"/>
              <w:rPr>
                <w:rFonts w:hint="eastAsia" w:ascii="宋体" w:hAnsi="宋体"/>
                <w:sz w:val="32"/>
                <w:szCs w:val="21"/>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14:paraId="3800FAAE">
            <w:pPr>
              <w:jc w:val="center"/>
              <w:rPr>
                <w:rFonts w:hint="eastAsia" w:ascii="宋体" w:hAnsi="宋体"/>
                <w:sz w:val="32"/>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39A01D5E">
            <w:pPr>
              <w:snapToGrid w:val="0"/>
              <w:spacing w:before="50" w:after="50"/>
              <w:rPr>
                <w:rFonts w:hint="eastAsia" w:ascii="宋体" w:hAnsi="宋体"/>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09ADDC79">
            <w:pPr>
              <w:snapToGrid w:val="0"/>
              <w:spacing w:before="50" w:after="50"/>
              <w:rPr>
                <w:rFonts w:hint="eastAsia" w:ascii="宋体" w:hAnsi="宋体"/>
                <w:sz w:val="32"/>
                <w:szCs w:val="21"/>
                <w:highlight w:val="none"/>
              </w:rPr>
            </w:pPr>
          </w:p>
        </w:tc>
      </w:tr>
      <w:tr w14:paraId="2550B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4BFD3C13">
            <w:pPr>
              <w:snapToGrid w:val="0"/>
              <w:spacing w:before="50" w:after="50"/>
              <w:jc w:val="center"/>
              <w:rPr>
                <w:rFonts w:hint="eastAsia" w:ascii="宋体" w:hAnsi="宋体"/>
                <w:b/>
                <w:szCs w:val="30"/>
                <w:highlight w:val="none"/>
              </w:rPr>
            </w:pPr>
          </w:p>
        </w:tc>
        <w:tc>
          <w:tcPr>
            <w:tcW w:w="2228" w:type="dxa"/>
            <w:tcBorders>
              <w:top w:val="single" w:color="auto" w:sz="4" w:space="0"/>
              <w:left w:val="single" w:color="auto" w:sz="4" w:space="0"/>
              <w:bottom w:val="single" w:color="auto" w:sz="4" w:space="0"/>
              <w:right w:val="single" w:color="auto" w:sz="4" w:space="0"/>
            </w:tcBorders>
            <w:vAlign w:val="center"/>
          </w:tcPr>
          <w:p w14:paraId="4174BD6C">
            <w:pPr>
              <w:jc w:val="center"/>
              <w:rPr>
                <w:rFonts w:hint="eastAsia" w:ascii="宋体" w:hAnsi="宋体"/>
                <w:bCs/>
                <w:sz w:val="24"/>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14:paraId="6B7984BA">
            <w:pPr>
              <w:jc w:val="center"/>
              <w:rPr>
                <w:rFonts w:hint="eastAsia" w:ascii="宋体" w:hAnsi="宋体"/>
                <w:bCs/>
                <w:sz w:val="24"/>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3E3AC62F">
            <w:pPr>
              <w:snapToGrid w:val="0"/>
              <w:spacing w:before="50" w:after="50"/>
              <w:rPr>
                <w:rFonts w:hint="eastAsia" w:ascii="宋体" w:hAnsi="宋体"/>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6401ADF3">
            <w:pPr>
              <w:snapToGrid w:val="0"/>
              <w:spacing w:before="50" w:after="50"/>
              <w:rPr>
                <w:rFonts w:hint="eastAsia" w:ascii="宋体" w:hAnsi="宋体"/>
                <w:sz w:val="32"/>
                <w:szCs w:val="21"/>
                <w:highlight w:val="none"/>
              </w:rPr>
            </w:pPr>
          </w:p>
        </w:tc>
      </w:tr>
      <w:tr w14:paraId="739D4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451FE48">
            <w:pPr>
              <w:snapToGrid w:val="0"/>
              <w:spacing w:before="50" w:after="50"/>
              <w:jc w:val="center"/>
              <w:rPr>
                <w:rFonts w:hint="eastAsia" w:ascii="宋体" w:hAnsi="宋体"/>
                <w:b/>
                <w:szCs w:val="30"/>
                <w:highlight w:val="none"/>
              </w:rPr>
            </w:pPr>
          </w:p>
        </w:tc>
        <w:tc>
          <w:tcPr>
            <w:tcW w:w="2228" w:type="dxa"/>
            <w:tcBorders>
              <w:top w:val="single" w:color="auto" w:sz="4" w:space="0"/>
              <w:left w:val="single" w:color="auto" w:sz="4" w:space="0"/>
              <w:bottom w:val="single" w:color="auto" w:sz="4" w:space="0"/>
              <w:right w:val="single" w:color="auto" w:sz="4" w:space="0"/>
            </w:tcBorders>
            <w:vAlign w:val="center"/>
          </w:tcPr>
          <w:p w14:paraId="28BB5417">
            <w:pPr>
              <w:jc w:val="center"/>
              <w:rPr>
                <w:rFonts w:hint="eastAsia" w:ascii="宋体" w:hAnsi="宋体"/>
                <w:bCs/>
                <w:sz w:val="24"/>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14:paraId="0CE616A4">
            <w:pPr>
              <w:jc w:val="center"/>
              <w:rPr>
                <w:rFonts w:hint="eastAsia" w:ascii="宋体" w:hAnsi="宋体"/>
                <w:bCs/>
                <w:sz w:val="24"/>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63BA76E0">
            <w:pPr>
              <w:snapToGrid w:val="0"/>
              <w:spacing w:before="50" w:after="50"/>
              <w:rPr>
                <w:rFonts w:hint="eastAsia" w:ascii="宋体" w:hAnsi="宋体"/>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71683611">
            <w:pPr>
              <w:snapToGrid w:val="0"/>
              <w:spacing w:before="50" w:after="50"/>
              <w:rPr>
                <w:rFonts w:hint="eastAsia" w:ascii="宋体" w:hAnsi="宋体"/>
                <w:sz w:val="32"/>
                <w:szCs w:val="21"/>
                <w:highlight w:val="none"/>
              </w:rPr>
            </w:pPr>
          </w:p>
        </w:tc>
      </w:tr>
      <w:tr w14:paraId="77424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FCBE4BC">
            <w:pPr>
              <w:snapToGrid w:val="0"/>
              <w:spacing w:before="50" w:after="50"/>
              <w:jc w:val="center"/>
              <w:rPr>
                <w:rFonts w:hint="eastAsia" w:ascii="宋体" w:hAnsi="宋体"/>
                <w:b/>
                <w:szCs w:val="30"/>
                <w:highlight w:val="none"/>
              </w:rPr>
            </w:pPr>
          </w:p>
        </w:tc>
        <w:tc>
          <w:tcPr>
            <w:tcW w:w="2228" w:type="dxa"/>
            <w:tcBorders>
              <w:top w:val="single" w:color="auto" w:sz="4" w:space="0"/>
              <w:left w:val="single" w:color="auto" w:sz="4" w:space="0"/>
              <w:bottom w:val="single" w:color="auto" w:sz="4" w:space="0"/>
              <w:right w:val="single" w:color="auto" w:sz="4" w:space="0"/>
            </w:tcBorders>
            <w:vAlign w:val="center"/>
          </w:tcPr>
          <w:p w14:paraId="0E364E87">
            <w:pPr>
              <w:jc w:val="center"/>
              <w:rPr>
                <w:rFonts w:hint="eastAsia" w:ascii="宋体" w:hAnsi="宋体"/>
                <w:bCs/>
                <w:sz w:val="24"/>
                <w:highlight w:val="none"/>
              </w:rPr>
            </w:pPr>
          </w:p>
        </w:tc>
        <w:tc>
          <w:tcPr>
            <w:tcW w:w="2698" w:type="dxa"/>
            <w:tcBorders>
              <w:top w:val="single" w:color="auto" w:sz="4" w:space="0"/>
              <w:left w:val="single" w:color="auto" w:sz="4" w:space="0"/>
              <w:bottom w:val="single" w:color="auto" w:sz="4" w:space="0"/>
              <w:right w:val="single" w:color="auto" w:sz="4" w:space="0"/>
            </w:tcBorders>
            <w:vAlign w:val="center"/>
          </w:tcPr>
          <w:p w14:paraId="09F4928F">
            <w:pPr>
              <w:jc w:val="center"/>
              <w:rPr>
                <w:rFonts w:hint="eastAsia" w:ascii="宋体" w:hAnsi="宋体"/>
                <w:bCs/>
                <w:sz w:val="24"/>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2A025E24">
            <w:pPr>
              <w:snapToGrid w:val="0"/>
              <w:spacing w:before="50" w:after="50"/>
              <w:rPr>
                <w:rFonts w:hint="eastAsia" w:ascii="宋体" w:hAnsi="宋体"/>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24B404B">
            <w:pPr>
              <w:snapToGrid w:val="0"/>
              <w:spacing w:before="50" w:after="50"/>
              <w:rPr>
                <w:rFonts w:hint="eastAsia" w:ascii="宋体" w:hAnsi="宋体"/>
                <w:sz w:val="32"/>
                <w:szCs w:val="21"/>
                <w:highlight w:val="none"/>
              </w:rPr>
            </w:pPr>
          </w:p>
        </w:tc>
      </w:tr>
      <w:tr w14:paraId="68631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39" w:type="dxa"/>
            <w:gridSpan w:val="4"/>
            <w:tcBorders>
              <w:top w:val="single" w:color="auto" w:sz="4" w:space="0"/>
              <w:left w:val="single" w:color="auto" w:sz="4" w:space="0"/>
              <w:bottom w:val="single" w:color="auto" w:sz="4" w:space="0"/>
              <w:right w:val="single" w:color="auto" w:sz="4" w:space="0"/>
            </w:tcBorders>
            <w:vAlign w:val="center"/>
          </w:tcPr>
          <w:p w14:paraId="3B4AA5F9">
            <w:pPr>
              <w:snapToGrid w:val="0"/>
              <w:spacing w:before="50" w:after="50"/>
              <w:rPr>
                <w:rFonts w:hint="eastAsia" w:ascii="宋体" w:hAnsi="宋体"/>
                <w:sz w:val="24"/>
                <w:szCs w:val="21"/>
                <w:highlight w:val="none"/>
              </w:rPr>
            </w:pPr>
            <w:r>
              <w:rPr>
                <w:rFonts w:hint="eastAsia" w:ascii="宋体" w:hAnsi="宋体"/>
                <w:sz w:val="24"/>
                <w:szCs w:val="21"/>
                <w:highlight w:val="none"/>
              </w:rPr>
              <w:t>投标费用及利润</w:t>
            </w:r>
          </w:p>
        </w:tc>
        <w:tc>
          <w:tcPr>
            <w:tcW w:w="2597" w:type="dxa"/>
            <w:tcBorders>
              <w:top w:val="single" w:color="auto" w:sz="4" w:space="0"/>
              <w:left w:val="single" w:color="auto" w:sz="4" w:space="0"/>
              <w:bottom w:val="single" w:color="auto" w:sz="4" w:space="0"/>
              <w:right w:val="single" w:color="auto" w:sz="4" w:space="0"/>
            </w:tcBorders>
            <w:vAlign w:val="center"/>
          </w:tcPr>
          <w:p w14:paraId="602E525B">
            <w:pPr>
              <w:snapToGrid w:val="0"/>
              <w:spacing w:before="50" w:after="50"/>
              <w:rPr>
                <w:rFonts w:hint="eastAsia" w:ascii="宋体" w:hAnsi="宋体"/>
                <w:sz w:val="24"/>
                <w:szCs w:val="21"/>
                <w:highlight w:val="none"/>
              </w:rPr>
            </w:pPr>
          </w:p>
        </w:tc>
      </w:tr>
      <w:tr w14:paraId="7C20D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636" w:type="dxa"/>
            <w:gridSpan w:val="5"/>
            <w:tcBorders>
              <w:top w:val="single" w:color="auto" w:sz="4" w:space="0"/>
              <w:left w:val="single" w:color="auto" w:sz="4" w:space="0"/>
              <w:bottom w:val="single" w:color="auto" w:sz="4" w:space="0"/>
              <w:right w:val="single" w:color="auto" w:sz="4" w:space="0"/>
            </w:tcBorders>
            <w:vAlign w:val="center"/>
          </w:tcPr>
          <w:p w14:paraId="2BA812EC">
            <w:pPr>
              <w:snapToGrid w:val="0"/>
              <w:spacing w:before="50" w:after="50"/>
              <w:rPr>
                <w:rFonts w:hint="eastAsia" w:ascii="宋体" w:hAnsi="宋体"/>
                <w:sz w:val="24"/>
                <w:szCs w:val="21"/>
                <w:highlight w:val="none"/>
                <w:u w:val="single"/>
              </w:rPr>
            </w:pPr>
            <w:r>
              <w:rPr>
                <w:rFonts w:hint="eastAsia" w:ascii="宋体" w:hAnsi="宋体"/>
                <w:sz w:val="24"/>
                <w:szCs w:val="21"/>
                <w:highlight w:val="none"/>
              </w:rPr>
              <w:t>合计金额大写：</w:t>
            </w:r>
            <w:r>
              <w:rPr>
                <w:rFonts w:hint="eastAsia"/>
                <w:sz w:val="24"/>
                <w:highlight w:val="none"/>
              </w:rPr>
              <w:t>人民币元￥</w:t>
            </w:r>
          </w:p>
        </w:tc>
      </w:tr>
    </w:tbl>
    <w:p w14:paraId="721AE3D5">
      <w:pPr>
        <w:snapToGrid w:val="0"/>
        <w:spacing w:before="50" w:after="50"/>
        <w:jc w:val="left"/>
        <w:rPr>
          <w:rFonts w:hint="eastAsia" w:ascii="宋体" w:hAnsi="宋体"/>
          <w:sz w:val="24"/>
          <w:szCs w:val="20"/>
          <w:highlight w:val="none"/>
        </w:rPr>
      </w:pPr>
      <w:r>
        <w:rPr>
          <w:rFonts w:hint="eastAsia" w:ascii="宋体" w:hAnsi="宋体"/>
          <w:sz w:val="24"/>
          <w:highlight w:val="none"/>
        </w:rPr>
        <w:t>注：</w:t>
      </w:r>
      <w:r>
        <w:rPr>
          <w:rFonts w:ascii="宋体" w:hAnsi="宋体"/>
          <w:sz w:val="24"/>
          <w:highlight w:val="none"/>
        </w:rPr>
        <w:t xml:space="preserve"> 1</w:t>
      </w:r>
      <w:r>
        <w:rPr>
          <w:rFonts w:hint="eastAsia" w:ascii="宋体" w:hAnsi="宋体"/>
          <w:sz w:val="24"/>
          <w:highlight w:val="none"/>
        </w:rPr>
        <w:t>、报价一经涂改，应在涂改处加盖单位公章或者由法定代表人或授权委托人签字或盖章，否则其投标作无效标处理。</w:t>
      </w:r>
    </w:p>
    <w:p w14:paraId="112FF500">
      <w:pPr>
        <w:snapToGrid w:val="0"/>
        <w:spacing w:before="50" w:after="50"/>
        <w:ind w:firstLine="480" w:firstLineChars="200"/>
        <w:jc w:val="left"/>
        <w:rPr>
          <w:rFonts w:hint="eastAsia" w:ascii="宋体" w:hAnsi="宋体"/>
          <w:sz w:val="24"/>
          <w:szCs w:val="20"/>
          <w:highlight w:val="none"/>
        </w:rPr>
      </w:pPr>
      <w:r>
        <w:rPr>
          <w:rFonts w:ascii="宋体" w:hAnsi="宋体"/>
          <w:sz w:val="24"/>
          <w:highlight w:val="none"/>
        </w:rPr>
        <w:t>2</w:t>
      </w:r>
      <w:r>
        <w:rPr>
          <w:rFonts w:hint="eastAsia" w:ascii="宋体" w:hAnsi="宋体"/>
          <w:sz w:val="24"/>
          <w:highlight w:val="none"/>
        </w:rPr>
        <w:t>、投标费用包括项目实施所需的人工费、服务费、运输费、安装调试费、购买及制作标书费、税费及其他一切费用。</w:t>
      </w:r>
    </w:p>
    <w:p w14:paraId="36D88CBF">
      <w:pPr>
        <w:snapToGrid w:val="0"/>
        <w:spacing w:before="50" w:after="50"/>
        <w:ind w:firstLine="480" w:firstLineChars="200"/>
        <w:jc w:val="left"/>
        <w:rPr>
          <w:rFonts w:hint="eastAsia" w:ascii="宋体" w:hAnsi="宋体"/>
          <w:sz w:val="24"/>
          <w:szCs w:val="20"/>
          <w:highlight w:val="none"/>
        </w:rPr>
      </w:pPr>
      <w:r>
        <w:rPr>
          <w:rFonts w:hint="eastAsia" w:ascii="宋体" w:hAnsi="宋体"/>
          <w:sz w:val="24"/>
          <w:highlight w:val="none"/>
        </w:rPr>
        <w:t>3、以上报价应与“投标报价明细表”中的“投标总价”相一致。</w:t>
      </w:r>
    </w:p>
    <w:p w14:paraId="3D179661">
      <w:pPr>
        <w:spacing w:line="360" w:lineRule="auto"/>
        <w:rPr>
          <w:sz w:val="28"/>
          <w:szCs w:val="28"/>
          <w:highlight w:val="none"/>
        </w:rPr>
      </w:pPr>
    </w:p>
    <w:p w14:paraId="6EDA980C">
      <w:pPr>
        <w:pStyle w:val="11"/>
        <w:rPr>
          <w:highlight w:val="none"/>
        </w:rPr>
      </w:pPr>
      <w:r>
        <w:rPr>
          <w:highlight w:val="none"/>
        </w:rPr>
        <w:br w:type="page"/>
      </w:r>
    </w:p>
    <w:p w14:paraId="02D10683">
      <w:pPr>
        <w:spacing w:line="360" w:lineRule="auto"/>
        <w:rPr>
          <w:sz w:val="28"/>
          <w:szCs w:val="28"/>
          <w:highlight w:val="none"/>
        </w:rPr>
      </w:pPr>
      <w:r>
        <w:rPr>
          <w:rFonts w:hint="eastAsia"/>
          <w:sz w:val="28"/>
          <w:szCs w:val="28"/>
          <w:highlight w:val="none"/>
        </w:rPr>
        <w:t>附件：</w:t>
      </w:r>
      <w:r>
        <w:rPr>
          <w:sz w:val="28"/>
          <w:szCs w:val="28"/>
          <w:highlight w:val="none"/>
        </w:rPr>
        <w:t xml:space="preserve"> “</w:t>
      </w:r>
      <w:r>
        <w:rPr>
          <w:rFonts w:hint="eastAsia"/>
          <w:sz w:val="28"/>
          <w:szCs w:val="28"/>
          <w:highlight w:val="none"/>
        </w:rPr>
        <w:t>信用中国</w:t>
      </w:r>
      <w:r>
        <w:rPr>
          <w:sz w:val="28"/>
          <w:szCs w:val="28"/>
          <w:highlight w:val="none"/>
        </w:rPr>
        <w:t>”</w:t>
      </w:r>
      <w:r>
        <w:rPr>
          <w:rFonts w:hint="eastAsia"/>
          <w:sz w:val="28"/>
          <w:szCs w:val="28"/>
          <w:highlight w:val="none"/>
        </w:rPr>
        <w:t>（</w:t>
      </w:r>
      <w:r>
        <w:rPr>
          <w:sz w:val="28"/>
          <w:szCs w:val="28"/>
          <w:highlight w:val="none"/>
        </w:rPr>
        <w:t>www.creditchina.gov.cn</w:t>
      </w:r>
      <w:r>
        <w:rPr>
          <w:rFonts w:hint="eastAsia"/>
          <w:sz w:val="28"/>
          <w:szCs w:val="28"/>
          <w:highlight w:val="none"/>
        </w:rPr>
        <w:t>）、</w:t>
      </w:r>
      <w:r>
        <w:rPr>
          <w:sz w:val="28"/>
          <w:szCs w:val="28"/>
          <w:highlight w:val="none"/>
        </w:rPr>
        <w:t>“</w:t>
      </w:r>
      <w:r>
        <w:rPr>
          <w:rFonts w:hint="eastAsia"/>
          <w:sz w:val="28"/>
          <w:szCs w:val="28"/>
          <w:highlight w:val="none"/>
        </w:rPr>
        <w:t>中国政府采购网</w:t>
      </w:r>
      <w:r>
        <w:rPr>
          <w:sz w:val="28"/>
          <w:szCs w:val="28"/>
          <w:highlight w:val="none"/>
        </w:rPr>
        <w:t>”</w:t>
      </w:r>
      <w:r>
        <w:rPr>
          <w:rFonts w:hint="eastAsia"/>
          <w:sz w:val="28"/>
          <w:szCs w:val="28"/>
          <w:highlight w:val="none"/>
        </w:rPr>
        <w:t>（</w:t>
      </w:r>
      <w:r>
        <w:rPr>
          <w:sz w:val="28"/>
          <w:szCs w:val="28"/>
          <w:highlight w:val="none"/>
        </w:rPr>
        <w:t>www.ccgp.gov.cn</w:t>
      </w:r>
      <w:r>
        <w:rPr>
          <w:rFonts w:hint="eastAsia"/>
          <w:sz w:val="28"/>
          <w:szCs w:val="28"/>
          <w:highlight w:val="none"/>
        </w:rPr>
        <w:t>）网页截图模板</w:t>
      </w:r>
    </w:p>
    <w:p w14:paraId="7924D2A9">
      <w:pPr>
        <w:pStyle w:val="26"/>
        <w:ind w:firstLine="240"/>
        <w:rPr>
          <w:highlight w:val="none"/>
        </w:rPr>
      </w:pPr>
      <w:r>
        <w:rPr>
          <w:highlight w:val="none"/>
        </w:rPr>
        <w:drawing>
          <wp:inline distT="0" distB="0" distL="0" distR="0">
            <wp:extent cx="5168265" cy="38487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68265" cy="3848735"/>
                    </a:xfrm>
                    <a:prstGeom prst="rect">
                      <a:avLst/>
                    </a:prstGeom>
                    <a:noFill/>
                    <a:ln>
                      <a:noFill/>
                    </a:ln>
                    <a:effectLst/>
                  </pic:spPr>
                </pic:pic>
              </a:graphicData>
            </a:graphic>
          </wp:inline>
        </w:drawing>
      </w:r>
    </w:p>
    <w:p w14:paraId="7F89F652">
      <w:pPr>
        <w:pStyle w:val="26"/>
        <w:ind w:firstLine="240"/>
        <w:rPr>
          <w:highlight w:val="none"/>
        </w:rPr>
      </w:pPr>
    </w:p>
    <w:p w14:paraId="403131F8">
      <w:pPr>
        <w:pStyle w:val="26"/>
        <w:ind w:firstLine="240"/>
        <w:rPr>
          <w:sz w:val="28"/>
          <w:szCs w:val="28"/>
          <w:highlight w:val="none"/>
        </w:rPr>
      </w:pPr>
      <w:r>
        <w:rPr>
          <w:highlight w:val="none"/>
        </w:rPr>
        <w:drawing>
          <wp:inline distT="0" distB="0" distL="0" distR="0">
            <wp:extent cx="5279390" cy="3068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9390" cy="3068955"/>
                    </a:xfrm>
                    <a:prstGeom prst="rect">
                      <a:avLst/>
                    </a:prstGeom>
                    <a:noFill/>
                    <a:ln>
                      <a:noFill/>
                    </a:ln>
                  </pic:spPr>
                </pic:pic>
              </a:graphicData>
            </a:graphic>
          </wp:inline>
        </w:drawing>
      </w:r>
    </w:p>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宋体">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DE7D">
    <w:pPr>
      <w:pStyle w:val="18"/>
      <w:framePr w:wrap="around" w:vAnchor="text" w:hAnchor="margin" w:xAlign="outside" w:y="1"/>
      <w:rPr>
        <w:rStyle w:val="31"/>
        <w:rFonts w:hint="eastAsia" w:ascii="宋体" w:hAnsi="宋体"/>
        <w:sz w:val="28"/>
        <w:szCs w:val="28"/>
      </w:rPr>
    </w:pPr>
  </w:p>
  <w:p w14:paraId="716D1E40">
    <w:pPr>
      <w:pStyle w:val="43"/>
      <w:ind w:firstLine="420"/>
      <w:rPr>
        <w:sz w:val="24"/>
      </w:rPr>
    </w:pPr>
    <w:r>
      <w:rPr>
        <w:rFonts w:hint="eastAsia"/>
      </w:rPr>
      <w:t>浙江华耀建设咨询有限公司</w:t>
    </w:r>
    <w:r>
      <w:tab/>
    </w:r>
    <w:r>
      <w:rPr>
        <w:sz w:val="24"/>
      </w:rPr>
      <w:t xml:space="preserve">- </w:t>
    </w:r>
    <w:r>
      <w:rPr>
        <w:sz w:val="24"/>
      </w:rPr>
      <w:fldChar w:fldCharType="begin"/>
    </w:r>
    <w:r>
      <w:rPr>
        <w:sz w:val="24"/>
      </w:rPr>
      <w:instrText xml:space="preserve"> PAGE </w:instrText>
    </w:r>
    <w:r>
      <w:rPr>
        <w:sz w:val="24"/>
      </w:rPr>
      <w:fldChar w:fldCharType="separate"/>
    </w:r>
    <w:r>
      <w:rPr>
        <w:sz w:val="24"/>
      </w:rPr>
      <w:t>26</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3A54">
    <w:pPr>
      <w:pStyle w:val="18"/>
      <w:framePr w:wrap="around" w:vAnchor="text" w:hAnchor="margin" w:xAlign="outside" w:y="1"/>
      <w:rPr>
        <w:rStyle w:val="31"/>
      </w:rPr>
    </w:pPr>
    <w:r>
      <w:fldChar w:fldCharType="begin"/>
    </w:r>
    <w:r>
      <w:rPr>
        <w:rStyle w:val="31"/>
      </w:rPr>
      <w:instrText xml:space="preserve">PAGE  </w:instrText>
    </w:r>
    <w:r>
      <w:fldChar w:fldCharType="end"/>
    </w:r>
  </w:p>
  <w:p w14:paraId="6E6BC2AE">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049C">
    <w:pPr>
      <w:pStyle w:val="18"/>
      <w:framePr w:wrap="around" w:vAnchor="text" w:hAnchor="margin" w:xAlign="outside" w:y="1"/>
      <w:rPr>
        <w:rStyle w:val="31"/>
        <w:rFonts w:hint="eastAsia" w:ascii="宋体" w:hAnsi="宋体"/>
        <w:sz w:val="28"/>
        <w:szCs w:val="28"/>
      </w:rPr>
    </w:pPr>
  </w:p>
  <w:p w14:paraId="09184A1F">
    <w:pPr>
      <w:pStyle w:val="18"/>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59</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8CBC">
    <w:pPr>
      <w:pStyle w:val="18"/>
      <w:framePr w:wrap="around" w:vAnchor="text" w:hAnchor="margin" w:xAlign="outside" w:y="1"/>
      <w:rPr>
        <w:rStyle w:val="31"/>
      </w:rPr>
    </w:pPr>
    <w:r>
      <w:fldChar w:fldCharType="begin"/>
    </w:r>
    <w:r>
      <w:rPr>
        <w:rStyle w:val="31"/>
      </w:rPr>
      <w:instrText xml:space="preserve">PAGE  </w:instrText>
    </w:r>
    <w:r>
      <w:fldChar w:fldCharType="end"/>
    </w:r>
  </w:p>
  <w:p w14:paraId="2E0057B9">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62F1">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5059">
    <w:pPr>
      <w:pStyle w:val="13"/>
      <w:snapToGrid w:val="0"/>
      <w:spacing w:beforeLines="0" w:afterLines="0" w:line="360" w:lineRule="auto"/>
      <w:rPr>
        <w:rFonts w:hint="eastAsia" w:hAnsi="宋体"/>
        <w:szCs w:val="21"/>
        <w:u w:val="single"/>
      </w:rPr>
    </w:pPr>
    <w:r>
      <w:rPr>
        <w:rFonts w:hint="eastAsia" w:cs="Arial"/>
        <w:szCs w:val="21"/>
        <w:u w:val="single"/>
      </w:rPr>
      <w:t xml:space="preserve">湖州市中心医院智慧运营管理平台项目                                                  </w:t>
    </w:r>
    <w:r>
      <w:rPr>
        <w:rFonts w:hint="eastAsia" w:hAnsi="宋体" w:cs="Arial"/>
        <w:szCs w:val="21"/>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190E">
    <w:pPr>
      <w:pStyle w:val="13"/>
      <w:snapToGrid w:val="0"/>
      <w:spacing w:beforeLines="0" w:afterLines="0" w:line="360" w:lineRule="auto"/>
      <w:rPr>
        <w:rFonts w:hint="eastAsia" w:hAnsi="宋体"/>
        <w:szCs w:val="21"/>
        <w:u w:val="single"/>
      </w:rPr>
    </w:pPr>
    <w:r>
      <w:rPr>
        <w:rFonts w:hint="eastAsia" w:cs="Arial"/>
        <w:szCs w:val="21"/>
        <w:u w:val="single"/>
      </w:rPr>
      <w:t xml:space="preserve">湖州市中心医院智慧运营管理平台项目                                                  </w:t>
    </w:r>
    <w:r>
      <w:rPr>
        <w:rFonts w:hint="eastAsia" w:hAnsi="宋体" w:cs="Arial"/>
        <w:szCs w:val="21"/>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1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5D66C"/>
    <w:multiLevelType w:val="singleLevel"/>
    <w:tmpl w:val="C0C5D66C"/>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125043A5"/>
    <w:multiLevelType w:val="multilevel"/>
    <w:tmpl w:val="125043A5"/>
    <w:lvl w:ilvl="0" w:tentative="0">
      <w:start w:val="1"/>
      <w:numFmt w:val="chineseCountingThousand"/>
      <w:pStyle w:val="2"/>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3">
    <w:nsid w:val="2F697A08"/>
    <w:multiLevelType w:val="multilevel"/>
    <w:tmpl w:val="2F697A08"/>
    <w:lvl w:ilvl="0" w:tentative="0">
      <w:start w:val="1"/>
      <w:numFmt w:val="bullet"/>
      <w:lvlText w:val="•"/>
      <w:lvlJc w:val="left"/>
      <w:pPr>
        <w:ind w:left="920" w:hanging="440"/>
      </w:pPr>
      <w:rPr>
        <w:rFonts w:hint="default" w:ascii="宋体" w:hAnsi="宋体"/>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4">
    <w:nsid w:val="56F656F8"/>
    <w:multiLevelType w:val="singleLevel"/>
    <w:tmpl w:val="56F656F8"/>
    <w:lvl w:ilvl="0" w:tentative="0">
      <w:start w:val="1"/>
      <w:numFmt w:val="decimal"/>
      <w:pStyle w:val="6"/>
      <w:lvlText w:val="%1."/>
      <w:lvlJc w:val="left"/>
      <w:pPr>
        <w:tabs>
          <w:tab w:val="left" w:pos="360"/>
        </w:tabs>
        <w:ind w:left="360" w:hanging="360"/>
      </w:pPr>
    </w:lvl>
  </w:abstractNum>
  <w:abstractNum w:abstractNumId="5">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lvlOverride w:ilvl="0">
      <w:startOverride w:val="1"/>
    </w:lvlOverride>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k2NDU5MTViMzUwMzkwZTZiYmI4MTI5YWE1NjEifQ=="/>
    <w:docVar w:name="KSO_WPS_MARK_KEY" w:val="9fa1d93c-1c36-47a0-8f94-cdc2a27bd9c7"/>
  </w:docVars>
  <w:rsids>
    <w:rsidRoot w:val="28232F7C"/>
    <w:rsid w:val="000045D3"/>
    <w:rsid w:val="00006338"/>
    <w:rsid w:val="00021634"/>
    <w:rsid w:val="00021FF8"/>
    <w:rsid w:val="00041A43"/>
    <w:rsid w:val="00043BB8"/>
    <w:rsid w:val="00050FD6"/>
    <w:rsid w:val="00057A89"/>
    <w:rsid w:val="0007021F"/>
    <w:rsid w:val="00070AA7"/>
    <w:rsid w:val="0007663A"/>
    <w:rsid w:val="000771FF"/>
    <w:rsid w:val="000776F2"/>
    <w:rsid w:val="0008013B"/>
    <w:rsid w:val="00081FCC"/>
    <w:rsid w:val="00085BFC"/>
    <w:rsid w:val="00093D8A"/>
    <w:rsid w:val="000969CD"/>
    <w:rsid w:val="000B76D0"/>
    <w:rsid w:val="000D5CB1"/>
    <w:rsid w:val="000E6275"/>
    <w:rsid w:val="000E6C40"/>
    <w:rsid w:val="000F23C7"/>
    <w:rsid w:val="00101CF7"/>
    <w:rsid w:val="001112B3"/>
    <w:rsid w:val="00122B8A"/>
    <w:rsid w:val="001377B9"/>
    <w:rsid w:val="00140C49"/>
    <w:rsid w:val="0014692A"/>
    <w:rsid w:val="00154530"/>
    <w:rsid w:val="00155AF0"/>
    <w:rsid w:val="00155E2D"/>
    <w:rsid w:val="00163BB9"/>
    <w:rsid w:val="001640A1"/>
    <w:rsid w:val="001730A8"/>
    <w:rsid w:val="001735C2"/>
    <w:rsid w:val="00180CFA"/>
    <w:rsid w:val="00181A69"/>
    <w:rsid w:val="00185D60"/>
    <w:rsid w:val="00186046"/>
    <w:rsid w:val="001860E1"/>
    <w:rsid w:val="001872FA"/>
    <w:rsid w:val="00190FDE"/>
    <w:rsid w:val="00195B89"/>
    <w:rsid w:val="001A135A"/>
    <w:rsid w:val="001A2E9E"/>
    <w:rsid w:val="001B00C4"/>
    <w:rsid w:val="001B11E1"/>
    <w:rsid w:val="001B267B"/>
    <w:rsid w:val="001B3696"/>
    <w:rsid w:val="001B5FEE"/>
    <w:rsid w:val="001C0F8E"/>
    <w:rsid w:val="001C4D30"/>
    <w:rsid w:val="001D0907"/>
    <w:rsid w:val="001D6EC9"/>
    <w:rsid w:val="001E357D"/>
    <w:rsid w:val="001F16B4"/>
    <w:rsid w:val="001F2CBB"/>
    <w:rsid w:val="001F5BED"/>
    <w:rsid w:val="002010BB"/>
    <w:rsid w:val="00206622"/>
    <w:rsid w:val="00213C68"/>
    <w:rsid w:val="00214924"/>
    <w:rsid w:val="0021728C"/>
    <w:rsid w:val="002172CC"/>
    <w:rsid w:val="00241272"/>
    <w:rsid w:val="00251C28"/>
    <w:rsid w:val="0025728C"/>
    <w:rsid w:val="00273511"/>
    <w:rsid w:val="00273845"/>
    <w:rsid w:val="00280419"/>
    <w:rsid w:val="002810D2"/>
    <w:rsid w:val="002A0ED9"/>
    <w:rsid w:val="002A7901"/>
    <w:rsid w:val="002B4F96"/>
    <w:rsid w:val="002B5D40"/>
    <w:rsid w:val="002B6ACF"/>
    <w:rsid w:val="002C1C95"/>
    <w:rsid w:val="002C54F6"/>
    <w:rsid w:val="002C577F"/>
    <w:rsid w:val="002C5AD4"/>
    <w:rsid w:val="002C6D9F"/>
    <w:rsid w:val="002D0248"/>
    <w:rsid w:val="002D4ED1"/>
    <w:rsid w:val="002E53E5"/>
    <w:rsid w:val="002E5591"/>
    <w:rsid w:val="002F04F0"/>
    <w:rsid w:val="002F087A"/>
    <w:rsid w:val="0031666A"/>
    <w:rsid w:val="00320BBE"/>
    <w:rsid w:val="003321BB"/>
    <w:rsid w:val="00350592"/>
    <w:rsid w:val="00354AF5"/>
    <w:rsid w:val="00361530"/>
    <w:rsid w:val="0036220B"/>
    <w:rsid w:val="00362B30"/>
    <w:rsid w:val="00380DDD"/>
    <w:rsid w:val="00381E9B"/>
    <w:rsid w:val="00381F76"/>
    <w:rsid w:val="003903A6"/>
    <w:rsid w:val="003A755A"/>
    <w:rsid w:val="003B30ED"/>
    <w:rsid w:val="003B3DD4"/>
    <w:rsid w:val="003E4884"/>
    <w:rsid w:val="003F316D"/>
    <w:rsid w:val="00403063"/>
    <w:rsid w:val="004231F7"/>
    <w:rsid w:val="004243F2"/>
    <w:rsid w:val="00447C29"/>
    <w:rsid w:val="00450D76"/>
    <w:rsid w:val="00467F48"/>
    <w:rsid w:val="00474B75"/>
    <w:rsid w:val="00480A65"/>
    <w:rsid w:val="004812FF"/>
    <w:rsid w:val="00485227"/>
    <w:rsid w:val="004A2C36"/>
    <w:rsid w:val="004C05B3"/>
    <w:rsid w:val="004C266B"/>
    <w:rsid w:val="004D0759"/>
    <w:rsid w:val="005028D5"/>
    <w:rsid w:val="00505034"/>
    <w:rsid w:val="0050643B"/>
    <w:rsid w:val="005115C5"/>
    <w:rsid w:val="0052672C"/>
    <w:rsid w:val="00536E97"/>
    <w:rsid w:val="005504EA"/>
    <w:rsid w:val="005608AD"/>
    <w:rsid w:val="00563B3E"/>
    <w:rsid w:val="00565C35"/>
    <w:rsid w:val="0056624C"/>
    <w:rsid w:val="0058146C"/>
    <w:rsid w:val="00581985"/>
    <w:rsid w:val="00585C59"/>
    <w:rsid w:val="005C2FAD"/>
    <w:rsid w:val="005C46C2"/>
    <w:rsid w:val="005D4C7A"/>
    <w:rsid w:val="005D5CF5"/>
    <w:rsid w:val="005E7DC3"/>
    <w:rsid w:val="006131CC"/>
    <w:rsid w:val="00613960"/>
    <w:rsid w:val="006162AA"/>
    <w:rsid w:val="0061784B"/>
    <w:rsid w:val="0062253B"/>
    <w:rsid w:val="006237AA"/>
    <w:rsid w:val="006377B7"/>
    <w:rsid w:val="0064271E"/>
    <w:rsid w:val="006467CA"/>
    <w:rsid w:val="0065030A"/>
    <w:rsid w:val="00663264"/>
    <w:rsid w:val="00665F31"/>
    <w:rsid w:val="00667EB7"/>
    <w:rsid w:val="00672F44"/>
    <w:rsid w:val="00675AE6"/>
    <w:rsid w:val="00682ED8"/>
    <w:rsid w:val="0068532B"/>
    <w:rsid w:val="00687D93"/>
    <w:rsid w:val="00694E5B"/>
    <w:rsid w:val="006C546B"/>
    <w:rsid w:val="006C7748"/>
    <w:rsid w:val="006D46DB"/>
    <w:rsid w:val="006D5BCC"/>
    <w:rsid w:val="006E0E3B"/>
    <w:rsid w:val="006E5A08"/>
    <w:rsid w:val="006F7716"/>
    <w:rsid w:val="00700765"/>
    <w:rsid w:val="007020B8"/>
    <w:rsid w:val="00705E97"/>
    <w:rsid w:val="00706F07"/>
    <w:rsid w:val="007156A8"/>
    <w:rsid w:val="007173C8"/>
    <w:rsid w:val="0071750B"/>
    <w:rsid w:val="00734C84"/>
    <w:rsid w:val="00745DF1"/>
    <w:rsid w:val="00756C16"/>
    <w:rsid w:val="00760089"/>
    <w:rsid w:val="00760FA5"/>
    <w:rsid w:val="0076605F"/>
    <w:rsid w:val="00770FEA"/>
    <w:rsid w:val="0078623E"/>
    <w:rsid w:val="00791D23"/>
    <w:rsid w:val="0079531C"/>
    <w:rsid w:val="007A2969"/>
    <w:rsid w:val="007C5C0D"/>
    <w:rsid w:val="007C5CF1"/>
    <w:rsid w:val="007C700B"/>
    <w:rsid w:val="007D1ECF"/>
    <w:rsid w:val="007F03FE"/>
    <w:rsid w:val="007F2756"/>
    <w:rsid w:val="007F3DF0"/>
    <w:rsid w:val="007F6C30"/>
    <w:rsid w:val="0080236C"/>
    <w:rsid w:val="00810B3D"/>
    <w:rsid w:val="00820716"/>
    <w:rsid w:val="0083795A"/>
    <w:rsid w:val="00842BCB"/>
    <w:rsid w:val="00843449"/>
    <w:rsid w:val="00855593"/>
    <w:rsid w:val="0086100F"/>
    <w:rsid w:val="00871DA6"/>
    <w:rsid w:val="008744CE"/>
    <w:rsid w:val="00874ECF"/>
    <w:rsid w:val="008912FE"/>
    <w:rsid w:val="00896FC8"/>
    <w:rsid w:val="00897A74"/>
    <w:rsid w:val="008B43CE"/>
    <w:rsid w:val="008B47C1"/>
    <w:rsid w:val="008B6759"/>
    <w:rsid w:val="008B6811"/>
    <w:rsid w:val="008C5030"/>
    <w:rsid w:val="008C5DC5"/>
    <w:rsid w:val="008E08E9"/>
    <w:rsid w:val="008E0B3D"/>
    <w:rsid w:val="008F55ED"/>
    <w:rsid w:val="00902318"/>
    <w:rsid w:val="009059FB"/>
    <w:rsid w:val="00913250"/>
    <w:rsid w:val="00917C50"/>
    <w:rsid w:val="00946D9E"/>
    <w:rsid w:val="00955382"/>
    <w:rsid w:val="009729DF"/>
    <w:rsid w:val="00977CD5"/>
    <w:rsid w:val="00980D93"/>
    <w:rsid w:val="00986852"/>
    <w:rsid w:val="0099707E"/>
    <w:rsid w:val="009A106D"/>
    <w:rsid w:val="009A2740"/>
    <w:rsid w:val="009A2E17"/>
    <w:rsid w:val="009A3F2F"/>
    <w:rsid w:val="009B59C6"/>
    <w:rsid w:val="009C286D"/>
    <w:rsid w:val="009D6BC5"/>
    <w:rsid w:val="009E76DF"/>
    <w:rsid w:val="00A004C8"/>
    <w:rsid w:val="00A017F8"/>
    <w:rsid w:val="00A0182A"/>
    <w:rsid w:val="00A06EB1"/>
    <w:rsid w:val="00A1641E"/>
    <w:rsid w:val="00A213A3"/>
    <w:rsid w:val="00A214F5"/>
    <w:rsid w:val="00A35E9E"/>
    <w:rsid w:val="00A36304"/>
    <w:rsid w:val="00A47E2A"/>
    <w:rsid w:val="00A62894"/>
    <w:rsid w:val="00A774F6"/>
    <w:rsid w:val="00A82993"/>
    <w:rsid w:val="00AB1630"/>
    <w:rsid w:val="00AC1544"/>
    <w:rsid w:val="00AC2D39"/>
    <w:rsid w:val="00AC4C77"/>
    <w:rsid w:val="00AD0394"/>
    <w:rsid w:val="00AD09E8"/>
    <w:rsid w:val="00B10E98"/>
    <w:rsid w:val="00B1593D"/>
    <w:rsid w:val="00B25EDF"/>
    <w:rsid w:val="00B33164"/>
    <w:rsid w:val="00B33903"/>
    <w:rsid w:val="00B4000E"/>
    <w:rsid w:val="00B40929"/>
    <w:rsid w:val="00B44312"/>
    <w:rsid w:val="00B839B5"/>
    <w:rsid w:val="00B90100"/>
    <w:rsid w:val="00BA12F7"/>
    <w:rsid w:val="00BB72DC"/>
    <w:rsid w:val="00BB72E6"/>
    <w:rsid w:val="00BB75D5"/>
    <w:rsid w:val="00BC04FD"/>
    <w:rsid w:val="00BC3175"/>
    <w:rsid w:val="00BC7386"/>
    <w:rsid w:val="00BD0676"/>
    <w:rsid w:val="00BD38DA"/>
    <w:rsid w:val="00BD7894"/>
    <w:rsid w:val="00BE4194"/>
    <w:rsid w:val="00BF23B9"/>
    <w:rsid w:val="00BF23D1"/>
    <w:rsid w:val="00BF524B"/>
    <w:rsid w:val="00C00E5E"/>
    <w:rsid w:val="00C0183C"/>
    <w:rsid w:val="00C0232C"/>
    <w:rsid w:val="00C028C4"/>
    <w:rsid w:val="00C35DE3"/>
    <w:rsid w:val="00C41753"/>
    <w:rsid w:val="00C41CB5"/>
    <w:rsid w:val="00C5438B"/>
    <w:rsid w:val="00C64807"/>
    <w:rsid w:val="00C671D7"/>
    <w:rsid w:val="00C718CF"/>
    <w:rsid w:val="00C741EF"/>
    <w:rsid w:val="00C90D35"/>
    <w:rsid w:val="00CA36B6"/>
    <w:rsid w:val="00CA4B8E"/>
    <w:rsid w:val="00CA5297"/>
    <w:rsid w:val="00CB3439"/>
    <w:rsid w:val="00CB76F7"/>
    <w:rsid w:val="00CC273B"/>
    <w:rsid w:val="00CC470C"/>
    <w:rsid w:val="00CD323A"/>
    <w:rsid w:val="00CD3A9D"/>
    <w:rsid w:val="00D0253B"/>
    <w:rsid w:val="00D16B1C"/>
    <w:rsid w:val="00D16BBE"/>
    <w:rsid w:val="00D24257"/>
    <w:rsid w:val="00D257D6"/>
    <w:rsid w:val="00D2652F"/>
    <w:rsid w:val="00D434C8"/>
    <w:rsid w:val="00D53846"/>
    <w:rsid w:val="00D56CDD"/>
    <w:rsid w:val="00D610CC"/>
    <w:rsid w:val="00D812A4"/>
    <w:rsid w:val="00D94870"/>
    <w:rsid w:val="00D962A9"/>
    <w:rsid w:val="00D96D17"/>
    <w:rsid w:val="00DA1FB5"/>
    <w:rsid w:val="00DA5CFB"/>
    <w:rsid w:val="00DB0275"/>
    <w:rsid w:val="00DB1C34"/>
    <w:rsid w:val="00DB258C"/>
    <w:rsid w:val="00DB2C50"/>
    <w:rsid w:val="00DC14C3"/>
    <w:rsid w:val="00DC68E0"/>
    <w:rsid w:val="00DD74A4"/>
    <w:rsid w:val="00DE197E"/>
    <w:rsid w:val="00DE7C23"/>
    <w:rsid w:val="00DF0DF7"/>
    <w:rsid w:val="00DF5060"/>
    <w:rsid w:val="00E043F9"/>
    <w:rsid w:val="00E12AB0"/>
    <w:rsid w:val="00E13C45"/>
    <w:rsid w:val="00E15C60"/>
    <w:rsid w:val="00E267EF"/>
    <w:rsid w:val="00E27495"/>
    <w:rsid w:val="00E4436F"/>
    <w:rsid w:val="00E521FE"/>
    <w:rsid w:val="00E565EA"/>
    <w:rsid w:val="00E64DD9"/>
    <w:rsid w:val="00E76429"/>
    <w:rsid w:val="00E92102"/>
    <w:rsid w:val="00E9249E"/>
    <w:rsid w:val="00EA7BE5"/>
    <w:rsid w:val="00EB5859"/>
    <w:rsid w:val="00EC2188"/>
    <w:rsid w:val="00EE023F"/>
    <w:rsid w:val="00EF545F"/>
    <w:rsid w:val="00F034D5"/>
    <w:rsid w:val="00F03836"/>
    <w:rsid w:val="00F1459F"/>
    <w:rsid w:val="00F17BDE"/>
    <w:rsid w:val="00F2546B"/>
    <w:rsid w:val="00F407EA"/>
    <w:rsid w:val="00F42767"/>
    <w:rsid w:val="00F46011"/>
    <w:rsid w:val="00F47566"/>
    <w:rsid w:val="00F53E29"/>
    <w:rsid w:val="00F63709"/>
    <w:rsid w:val="00F63E50"/>
    <w:rsid w:val="00F64F03"/>
    <w:rsid w:val="00F768F2"/>
    <w:rsid w:val="00F7747D"/>
    <w:rsid w:val="00F85FF7"/>
    <w:rsid w:val="00F927CF"/>
    <w:rsid w:val="00F958E5"/>
    <w:rsid w:val="00FA114E"/>
    <w:rsid w:val="00FA4265"/>
    <w:rsid w:val="00FB1654"/>
    <w:rsid w:val="00FB3C48"/>
    <w:rsid w:val="00FB649C"/>
    <w:rsid w:val="00FC7C08"/>
    <w:rsid w:val="00FD5199"/>
    <w:rsid w:val="00FE0D3F"/>
    <w:rsid w:val="00FE145D"/>
    <w:rsid w:val="00FE2A09"/>
    <w:rsid w:val="00FE4CC2"/>
    <w:rsid w:val="00FE7060"/>
    <w:rsid w:val="00FF18E0"/>
    <w:rsid w:val="00FF6174"/>
    <w:rsid w:val="0222560A"/>
    <w:rsid w:val="036D5065"/>
    <w:rsid w:val="04454176"/>
    <w:rsid w:val="07AF2FE0"/>
    <w:rsid w:val="09E162A4"/>
    <w:rsid w:val="0AC6422A"/>
    <w:rsid w:val="0B00470C"/>
    <w:rsid w:val="0E061410"/>
    <w:rsid w:val="10CB423B"/>
    <w:rsid w:val="12525F91"/>
    <w:rsid w:val="1336293C"/>
    <w:rsid w:val="13F245D6"/>
    <w:rsid w:val="1616332B"/>
    <w:rsid w:val="16F86B88"/>
    <w:rsid w:val="17854713"/>
    <w:rsid w:val="18E67556"/>
    <w:rsid w:val="1D142368"/>
    <w:rsid w:val="1D7E7C3A"/>
    <w:rsid w:val="1DB11BE9"/>
    <w:rsid w:val="21E12E8E"/>
    <w:rsid w:val="23840219"/>
    <w:rsid w:val="243F3E9B"/>
    <w:rsid w:val="25355375"/>
    <w:rsid w:val="25560CAA"/>
    <w:rsid w:val="28232F7C"/>
    <w:rsid w:val="2B13589B"/>
    <w:rsid w:val="30913CD1"/>
    <w:rsid w:val="342C523D"/>
    <w:rsid w:val="34692F9B"/>
    <w:rsid w:val="36690512"/>
    <w:rsid w:val="36DD3353"/>
    <w:rsid w:val="39D205D5"/>
    <w:rsid w:val="3CE330BA"/>
    <w:rsid w:val="445532FB"/>
    <w:rsid w:val="4AAC13D6"/>
    <w:rsid w:val="4ACA27C4"/>
    <w:rsid w:val="4E217FEA"/>
    <w:rsid w:val="52F309F9"/>
    <w:rsid w:val="54E658DC"/>
    <w:rsid w:val="565C2507"/>
    <w:rsid w:val="590816A8"/>
    <w:rsid w:val="5A3609A1"/>
    <w:rsid w:val="5ABF5F70"/>
    <w:rsid w:val="5D214583"/>
    <w:rsid w:val="5E7128C8"/>
    <w:rsid w:val="613156AC"/>
    <w:rsid w:val="61857FDF"/>
    <w:rsid w:val="62AE1CFD"/>
    <w:rsid w:val="64162ACB"/>
    <w:rsid w:val="661E3335"/>
    <w:rsid w:val="69D6439B"/>
    <w:rsid w:val="6AFA4153"/>
    <w:rsid w:val="6D6A50B2"/>
    <w:rsid w:val="6F054601"/>
    <w:rsid w:val="70CF659B"/>
    <w:rsid w:val="70FA6911"/>
    <w:rsid w:val="7123635F"/>
    <w:rsid w:val="73616F4B"/>
    <w:rsid w:val="777554A1"/>
    <w:rsid w:val="789A72ED"/>
    <w:rsid w:val="7942297A"/>
    <w:rsid w:val="7B407D3A"/>
    <w:rsid w:val="7F0D3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numPr>
        <w:ilvl w:val="0"/>
        <w:numId w:val="1"/>
      </w:numPr>
      <w:spacing w:before="160" w:after="160"/>
      <w:outlineLvl w:val="0"/>
    </w:pPr>
    <w:rPr>
      <w:rFonts w:eastAsiaTheme="majorEastAsia"/>
      <w:b/>
      <w:bCs/>
      <w:kern w:val="44"/>
      <w:sz w:val="32"/>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paragraph" w:styleId="5">
    <w:name w:val="heading 5"/>
    <w:basedOn w:val="1"/>
    <w:next w:val="1"/>
    <w:link w:val="53"/>
    <w:semiHidden/>
    <w:unhideWhenUsed/>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next w:val="1"/>
    <w:qFormat/>
    <w:uiPriority w:val="0"/>
    <w:pPr>
      <w:ind w:firstLine="420"/>
    </w:pPr>
    <w:rPr>
      <w:kern w:val="0"/>
      <w:sz w:val="20"/>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60"/>
    <w:semiHidden/>
    <w:unhideWhenUsed/>
    <w:qFormat/>
    <w:uiPriority w:val="0"/>
    <w:rPr>
      <w:rFonts w:ascii="宋体"/>
      <w:sz w:val="18"/>
      <w:szCs w:val="18"/>
    </w:rPr>
  </w:style>
  <w:style w:type="paragraph" w:styleId="10">
    <w:name w:val="annotation text"/>
    <w:basedOn w:val="1"/>
    <w:link w:val="61"/>
    <w:unhideWhenUsed/>
    <w:qFormat/>
    <w:uiPriority w:val="0"/>
    <w:pPr>
      <w:jc w:val="left"/>
    </w:pPr>
  </w:style>
  <w:style w:type="paragraph" w:styleId="11">
    <w:name w:val="Body Text"/>
    <w:basedOn w:val="1"/>
    <w:next w:val="1"/>
    <w:qFormat/>
    <w:uiPriority w:val="0"/>
    <w:pPr>
      <w:spacing w:after="120"/>
    </w:pPr>
    <w:rPr>
      <w:kern w:val="0"/>
      <w:sz w:val="20"/>
      <w:szCs w:val="20"/>
    </w:rPr>
  </w:style>
  <w:style w:type="paragraph" w:styleId="12">
    <w:name w:val="Body Text Indent"/>
    <w:basedOn w:val="1"/>
    <w:link w:val="47"/>
    <w:qFormat/>
    <w:uiPriority w:val="0"/>
    <w:pPr>
      <w:spacing w:after="120"/>
      <w:ind w:left="420" w:leftChars="200"/>
    </w:pPr>
    <w:rPr>
      <w:kern w:val="0"/>
      <w:sz w:val="20"/>
      <w:szCs w:val="20"/>
    </w:rPr>
  </w:style>
  <w:style w:type="paragraph" w:styleId="13">
    <w:name w:val="Plain Text"/>
    <w:basedOn w:val="1"/>
    <w:link w:val="49"/>
    <w:qFormat/>
    <w:uiPriority w:val="0"/>
    <w:pPr>
      <w:spacing w:beforeLines="50" w:afterLines="50" w:line="400" w:lineRule="exact"/>
    </w:pPr>
    <w:rPr>
      <w:rFonts w:ascii="宋体" w:hAnsi="Courier New" w:cs="宋体"/>
      <w:kern w:val="0"/>
    </w:rPr>
  </w:style>
  <w:style w:type="paragraph" w:styleId="14">
    <w:name w:val="toc 8"/>
    <w:basedOn w:val="1"/>
    <w:next w:val="1"/>
    <w:qFormat/>
    <w:uiPriority w:val="0"/>
    <w:pPr>
      <w:ind w:left="1470"/>
      <w:jc w:val="left"/>
    </w:pPr>
    <w:rPr>
      <w:sz w:val="18"/>
      <w:szCs w:val="18"/>
    </w:rPr>
  </w:style>
  <w:style w:type="paragraph" w:styleId="15">
    <w:name w:val="Date"/>
    <w:basedOn w:val="1"/>
    <w:next w:val="1"/>
    <w:qFormat/>
    <w:uiPriority w:val="0"/>
    <w:pPr>
      <w:ind w:left="100" w:leftChars="2500"/>
    </w:pPr>
    <w:rPr>
      <w:kern w:val="0"/>
      <w:sz w:val="20"/>
      <w:szCs w:val="20"/>
    </w:rPr>
  </w:style>
  <w:style w:type="paragraph" w:styleId="16">
    <w:name w:val="Body Text Indent 2"/>
    <w:basedOn w:val="1"/>
    <w:link w:val="48"/>
    <w:qFormat/>
    <w:uiPriority w:val="0"/>
    <w:pPr>
      <w:spacing w:after="120" w:line="480" w:lineRule="auto"/>
      <w:ind w:left="420" w:leftChars="200"/>
    </w:pPr>
    <w:rPr>
      <w:rFonts w:ascii="Calibri" w:hAnsi="Calibri"/>
    </w:rPr>
  </w:style>
  <w:style w:type="paragraph" w:styleId="17">
    <w:name w:val="Balloon Text"/>
    <w:basedOn w:val="1"/>
    <w:link w:val="44"/>
    <w:qFormat/>
    <w:uiPriority w:val="0"/>
    <w:rPr>
      <w:sz w:val="18"/>
      <w:szCs w:val="18"/>
    </w:rPr>
  </w:style>
  <w:style w:type="paragraph" w:styleId="18">
    <w:name w:val="footer"/>
    <w:basedOn w:val="1"/>
    <w:link w:val="56"/>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sz w:val="28"/>
      <w:szCs w:val="28"/>
    </w:rPr>
  </w:style>
  <w:style w:type="paragraph" w:styleId="21">
    <w:name w:val="footnote text"/>
    <w:basedOn w:val="1"/>
    <w:semiHidden/>
    <w:qFormat/>
    <w:uiPriority w:val="99"/>
    <w:pPr>
      <w:snapToGrid w:val="0"/>
      <w:jc w:val="left"/>
    </w:pPr>
    <w:rPr>
      <w:kern w:val="0"/>
      <w:sz w:val="18"/>
      <w:szCs w:val="18"/>
    </w:rPr>
  </w:style>
  <w:style w:type="paragraph" w:styleId="22">
    <w:name w:val="Body Text Indent 3"/>
    <w:basedOn w:val="1"/>
    <w:qFormat/>
    <w:uiPriority w:val="0"/>
    <w:pPr>
      <w:spacing w:after="120"/>
      <w:ind w:left="420" w:leftChars="200"/>
    </w:pPr>
    <w:rPr>
      <w:kern w:val="0"/>
      <w:sz w:val="16"/>
      <w:szCs w:val="16"/>
    </w:rPr>
  </w:style>
  <w:style w:type="paragraph" w:styleId="23">
    <w:name w:val="Body Text 2"/>
    <w:basedOn w:val="1"/>
    <w:qFormat/>
    <w:uiPriority w:val="0"/>
    <w:pPr>
      <w:widowControl/>
      <w:snapToGrid w:val="0"/>
      <w:spacing w:before="50" w:afterLines="50" w:line="400" w:lineRule="exact"/>
      <w:jc w:val="left"/>
    </w:pPr>
    <w:rPr>
      <w:kern w:val="0"/>
      <w:sz w:val="20"/>
      <w:szCs w:val="20"/>
    </w:rPr>
  </w:style>
  <w:style w:type="paragraph" w:styleId="24">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paragraph" w:styleId="25">
    <w:name w:val="annotation subject"/>
    <w:basedOn w:val="10"/>
    <w:next w:val="10"/>
    <w:link w:val="62"/>
    <w:semiHidden/>
    <w:unhideWhenUsed/>
    <w:qFormat/>
    <w:uiPriority w:val="0"/>
    <w:rPr>
      <w:b/>
      <w:bCs/>
    </w:rPr>
  </w:style>
  <w:style w:type="paragraph" w:styleId="26">
    <w:name w:val="Body Text First Indent"/>
    <w:basedOn w:val="11"/>
    <w:qFormat/>
    <w:uiPriority w:val="0"/>
    <w:pPr>
      <w:spacing w:line="390" w:lineRule="atLeast"/>
      <w:ind w:firstLine="420" w:firstLineChars="100"/>
    </w:pPr>
    <w:rPr>
      <w:sz w:val="24"/>
      <w:szCs w:val="24"/>
    </w:rPr>
  </w:style>
  <w:style w:type="paragraph" w:styleId="27">
    <w:name w:val="Body Text First Indent 2"/>
    <w:basedOn w:val="12"/>
    <w:link w:val="55"/>
    <w:qFormat/>
    <w:uiPriority w:val="0"/>
    <w:pPr>
      <w:spacing w:line="360" w:lineRule="auto"/>
      <w:ind w:left="0" w:leftChars="0" w:firstLine="420"/>
      <w:jc w:val="left"/>
    </w:pPr>
    <w:rPr>
      <w:rFonts w:ascii="宋体" w:hAnsi="Courier New" w:eastAsia="华文中宋;宋体"/>
      <w:spacing w:val="-4"/>
      <w:kern w:val="2"/>
      <w:sz w:val="21"/>
      <w:szCs w:val="24"/>
    </w:rPr>
  </w:style>
  <w:style w:type="table" w:styleId="29">
    <w:name w:val="Table Grid"/>
    <w:basedOn w:val="2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Hyperlink"/>
    <w:qFormat/>
    <w:uiPriority w:val="0"/>
    <w:rPr>
      <w:color w:val="333333"/>
      <w:u w:val="none"/>
    </w:rPr>
  </w:style>
  <w:style w:type="character" w:styleId="33">
    <w:name w:val="annotation reference"/>
    <w:basedOn w:val="30"/>
    <w:semiHidden/>
    <w:unhideWhenUsed/>
    <w:qFormat/>
    <w:uiPriority w:val="0"/>
    <w:rPr>
      <w:sz w:val="21"/>
      <w:szCs w:val="21"/>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6">
    <w:name w:val="表正文"/>
    <w:basedOn w:val="1"/>
    <w:qFormat/>
    <w:uiPriority w:val="0"/>
    <w:pPr>
      <w:jc w:val="left"/>
    </w:pPr>
    <w:rPr>
      <w:rFonts w:ascii="Arial" w:hAnsi="Arial"/>
      <w:sz w:val="18"/>
      <w:szCs w:val="21"/>
    </w:rPr>
  </w:style>
  <w:style w:type="paragraph" w:customStyle="1" w:styleId="37">
    <w:name w:val="样式 列表编号 + 段后: 0.5 行"/>
    <w:basedOn w:val="6"/>
    <w:qFormat/>
    <w:uiPriority w:val="0"/>
  </w:style>
  <w:style w:type="paragraph" w:customStyle="1" w:styleId="38">
    <w:name w:val="默认段落字体 Para Char Char Char Char Char Char Char Char Char1 Char Char Char Char"/>
    <w:basedOn w:val="1"/>
    <w:qFormat/>
    <w:uiPriority w:val="0"/>
    <w:rPr>
      <w:rFonts w:ascii="Tahoma" w:hAnsi="Tahoma" w:cs="Tahoma"/>
      <w:sz w:val="24"/>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1">
    <w:name w:val="表格文字"/>
    <w:basedOn w:val="1"/>
    <w:qFormat/>
    <w:uiPriority w:val="0"/>
    <w:pPr>
      <w:spacing w:before="25" w:after="25"/>
      <w:jc w:val="left"/>
    </w:pPr>
    <w:rPr>
      <w:spacing w:val="10"/>
      <w:kern w:val="0"/>
      <w:sz w:val="24"/>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Char"/>
    <w:basedOn w:val="1"/>
    <w:qFormat/>
    <w:uiPriority w:val="0"/>
  </w:style>
  <w:style w:type="character" w:customStyle="1" w:styleId="44">
    <w:name w:val="批注框文本 字符"/>
    <w:basedOn w:val="30"/>
    <w:link w:val="17"/>
    <w:qFormat/>
    <w:uiPriority w:val="0"/>
    <w:rPr>
      <w:rFonts w:ascii="Times New Roman" w:hAnsi="Times New Roman" w:eastAsia="宋体" w:cs="Times New Roman"/>
      <w:kern w:val="2"/>
      <w:sz w:val="18"/>
      <w:szCs w:val="18"/>
    </w:rPr>
  </w:style>
  <w:style w:type="character" w:customStyle="1" w:styleId="45">
    <w:name w:val="页眉 字符"/>
    <w:basedOn w:val="30"/>
    <w:link w:val="19"/>
    <w:qFormat/>
    <w:uiPriority w:val="0"/>
    <w:rPr>
      <w:rFonts w:ascii="Times New Roman" w:hAnsi="Times New Roman" w:eastAsia="宋体" w:cs="Times New Roman"/>
      <w:kern w:val="2"/>
      <w:sz w:val="18"/>
      <w:szCs w:val="18"/>
    </w:rPr>
  </w:style>
  <w:style w:type="paragraph" w:customStyle="1" w:styleId="46">
    <w:name w:val="样式4"/>
    <w:basedOn w:val="1"/>
    <w:qFormat/>
    <w:uiPriority w:val="0"/>
    <w:pPr>
      <w:ind w:firstLine="482"/>
    </w:pPr>
    <w:rPr>
      <w:rFonts w:asciiTheme="minorHAnsi" w:hAnsiTheme="minorHAnsi" w:eastAsiaTheme="minorEastAsia" w:cstheme="minorBidi"/>
      <w:b/>
    </w:rPr>
  </w:style>
  <w:style w:type="character" w:customStyle="1" w:styleId="47">
    <w:name w:val="正文文本缩进 字符"/>
    <w:basedOn w:val="30"/>
    <w:link w:val="12"/>
    <w:qFormat/>
    <w:uiPriority w:val="0"/>
    <w:rPr>
      <w:rFonts w:ascii="Times New Roman" w:hAnsi="Times New Roman" w:eastAsia="宋体" w:cs="Times New Roman"/>
    </w:rPr>
  </w:style>
  <w:style w:type="character" w:customStyle="1" w:styleId="48">
    <w:name w:val="正文文本缩进 2 字符"/>
    <w:basedOn w:val="30"/>
    <w:link w:val="16"/>
    <w:qFormat/>
    <w:uiPriority w:val="0"/>
    <w:rPr>
      <w:rFonts w:ascii="Calibri" w:hAnsi="Calibri" w:eastAsia="宋体" w:cs="Times New Roman"/>
      <w:kern w:val="2"/>
      <w:sz w:val="21"/>
      <w:szCs w:val="24"/>
    </w:rPr>
  </w:style>
  <w:style w:type="character" w:customStyle="1" w:styleId="49">
    <w:name w:val="纯文本 字符"/>
    <w:basedOn w:val="30"/>
    <w:link w:val="13"/>
    <w:qFormat/>
    <w:uiPriority w:val="0"/>
    <w:rPr>
      <w:rFonts w:ascii="宋体" w:hAnsi="Courier New" w:eastAsia="宋体" w:cs="宋体"/>
      <w:sz w:val="21"/>
      <w:szCs w:val="24"/>
    </w:rPr>
  </w:style>
  <w:style w:type="character" w:customStyle="1" w:styleId="50">
    <w:name w:val="纯文本 Char1"/>
    <w:qFormat/>
    <w:uiPriority w:val="0"/>
    <w:rPr>
      <w:rFonts w:ascii="宋体" w:hAnsi="Courier New"/>
      <w:kern w:val="2"/>
      <w:sz w:val="24"/>
      <w:szCs w:val="24"/>
    </w:rPr>
  </w:style>
  <w:style w:type="character" w:customStyle="1" w:styleId="51">
    <w:name w:val="标题 2 Char"/>
    <w:basedOn w:val="30"/>
    <w:semiHidden/>
    <w:qFormat/>
    <w:uiPriority w:val="0"/>
    <w:rPr>
      <w:rFonts w:asciiTheme="majorHAnsi" w:hAnsiTheme="majorHAnsi" w:eastAsiaTheme="majorEastAsia" w:cstheme="majorBidi"/>
      <w:b/>
      <w:bCs/>
      <w:kern w:val="2"/>
      <w:sz w:val="32"/>
      <w:szCs w:val="32"/>
    </w:rPr>
  </w:style>
  <w:style w:type="character" w:customStyle="1" w:styleId="52">
    <w:name w:val="标题 2 字符"/>
    <w:link w:val="3"/>
    <w:qFormat/>
    <w:locked/>
    <w:uiPriority w:val="0"/>
    <w:rPr>
      <w:rFonts w:ascii="Arial" w:hAnsi="Arial" w:eastAsia="黑体"/>
      <w:b/>
      <w:bCs/>
      <w:kern w:val="2"/>
      <w:sz w:val="32"/>
      <w:szCs w:val="32"/>
    </w:rPr>
  </w:style>
  <w:style w:type="character" w:customStyle="1" w:styleId="53">
    <w:name w:val="标题 5 字符"/>
    <w:basedOn w:val="30"/>
    <w:link w:val="5"/>
    <w:semiHidden/>
    <w:qFormat/>
    <w:uiPriority w:val="0"/>
    <w:rPr>
      <w:b/>
      <w:bCs/>
      <w:kern w:val="2"/>
      <w:sz w:val="28"/>
      <w:szCs w:val="28"/>
    </w:rPr>
  </w:style>
  <w:style w:type="character" w:customStyle="1" w:styleId="54">
    <w:name w:val="标题 5 Char1"/>
    <w:qFormat/>
    <w:locked/>
    <w:uiPriority w:val="0"/>
    <w:rPr>
      <w:rFonts w:ascii="Cambria" w:hAnsi="Cambria" w:eastAsia="宋体" w:cs="宋体"/>
      <w:color w:val="4F81BD"/>
      <w:kern w:val="2"/>
      <w:sz w:val="21"/>
      <w:szCs w:val="24"/>
      <w:lang w:val="en-US" w:eastAsia="zh-CN" w:bidi="ar-SA"/>
    </w:rPr>
  </w:style>
  <w:style w:type="character" w:customStyle="1" w:styleId="55">
    <w:name w:val="正文文本首行缩进 2 字符"/>
    <w:basedOn w:val="47"/>
    <w:link w:val="27"/>
    <w:qFormat/>
    <w:uiPriority w:val="0"/>
    <w:rPr>
      <w:rFonts w:ascii="宋体" w:hAnsi="Courier New" w:eastAsia="华文中宋;宋体" w:cs="Times New Roman"/>
      <w:spacing w:val="-4"/>
      <w:kern w:val="2"/>
      <w:sz w:val="21"/>
      <w:szCs w:val="24"/>
    </w:rPr>
  </w:style>
  <w:style w:type="character" w:customStyle="1" w:styleId="56">
    <w:name w:val="页脚 字符"/>
    <w:link w:val="18"/>
    <w:qFormat/>
    <w:uiPriority w:val="99"/>
    <w:rPr>
      <w:sz w:val="18"/>
      <w:szCs w:val="18"/>
    </w:rPr>
  </w:style>
  <w:style w:type="paragraph" w:styleId="57">
    <w:name w:val="List Paragraph"/>
    <w:basedOn w:val="1"/>
    <w:unhideWhenUsed/>
    <w:qFormat/>
    <w:uiPriority w:val="34"/>
    <w:pPr>
      <w:ind w:firstLine="420" w:firstLineChars="200"/>
    </w:pPr>
  </w:style>
  <w:style w:type="paragraph" w:styleId="58">
    <w:name w:val="No Spacing"/>
    <w:link w:val="59"/>
    <w:qFormat/>
    <w:uiPriority w:val="1"/>
    <w:pPr>
      <w:widowControl w:val="0"/>
      <w:spacing w:line="360" w:lineRule="auto"/>
      <w:jc w:val="both"/>
    </w:pPr>
    <w:rPr>
      <w:rFonts w:ascii="宋体" w:hAnsi="宋体" w:eastAsiaTheme="minorEastAsia" w:cstheme="minorBidi"/>
      <w:kern w:val="2"/>
      <w:sz w:val="24"/>
      <w:szCs w:val="22"/>
      <w:lang w:val="en-US" w:eastAsia="zh-CN" w:bidi="ar-SA"/>
    </w:rPr>
  </w:style>
  <w:style w:type="character" w:customStyle="1" w:styleId="59">
    <w:name w:val="无间隔 字符"/>
    <w:link w:val="58"/>
    <w:qFormat/>
    <w:uiPriority w:val="1"/>
    <w:rPr>
      <w:rFonts w:ascii="宋体" w:hAnsi="宋体" w:eastAsiaTheme="minorEastAsia" w:cstheme="minorBidi"/>
      <w:kern w:val="2"/>
      <w:sz w:val="24"/>
      <w:szCs w:val="22"/>
    </w:rPr>
  </w:style>
  <w:style w:type="character" w:customStyle="1" w:styleId="60">
    <w:name w:val="文档结构图 字符"/>
    <w:basedOn w:val="30"/>
    <w:link w:val="9"/>
    <w:semiHidden/>
    <w:qFormat/>
    <w:uiPriority w:val="0"/>
    <w:rPr>
      <w:rFonts w:ascii="宋体"/>
      <w:kern w:val="2"/>
      <w:sz w:val="18"/>
      <w:szCs w:val="18"/>
    </w:rPr>
  </w:style>
  <w:style w:type="character" w:customStyle="1" w:styleId="61">
    <w:name w:val="批注文字 字符"/>
    <w:basedOn w:val="30"/>
    <w:link w:val="10"/>
    <w:qFormat/>
    <w:uiPriority w:val="0"/>
    <w:rPr>
      <w:kern w:val="2"/>
      <w:sz w:val="21"/>
      <w:szCs w:val="24"/>
    </w:rPr>
  </w:style>
  <w:style w:type="character" w:customStyle="1" w:styleId="62">
    <w:name w:val="批注主题 字符"/>
    <w:basedOn w:val="61"/>
    <w:link w:val="25"/>
    <w:qFormat/>
    <w:uiPriority w:val="0"/>
    <w:rPr>
      <w:kern w:val="2"/>
      <w:sz w:val="21"/>
      <w:szCs w:val="24"/>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5941</Words>
  <Characters>7333</Characters>
  <Lines>275</Lines>
  <Paragraphs>77</Paragraphs>
  <TotalTime>7</TotalTime>
  <ScaleCrop>false</ScaleCrop>
  <LinksUpToDate>false</LinksUpToDate>
  <CharactersWithSpaces>7492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2024-12-16T01:57:00Z</dcterms:created>
  <dcterms:modified xsi:type="dcterms:W3CDTF">2025-02-14T08:03:46Z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6B80D1264C4B4196A8F63EAB43B7833F_13</vt:lpwstr>
  </property>
  <property fmtid="{D5CDD505-2E9C-101B-9397-08002B2CF9AE}" pid="4" name="KSOTemplateDocerSaveRecord">
    <vt:lpwstr>eyJoZGlkIjoiMGI3YzJlMmZmMDkwMzU3M2RlN2ZjMTllNmYwMDAxODAiLCJ1c2VySWQiOiI5NDU3ODA3MTMifQ==</vt:lpwstr>
  </property>
</Properties>
</file>