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B0F90">
      <w:pPr>
        <w:spacing w:line="360" w:lineRule="atLeast"/>
        <w:rPr>
          <w:rFonts w:ascii="黑体" w:hAnsi="宋体" w:eastAsia="黑体" w:cs="Times New Roman"/>
          <w:color w:val="auto"/>
          <w:sz w:val="42"/>
          <w:szCs w:val="42"/>
          <w:highlight w:val="none"/>
        </w:rPr>
      </w:pPr>
    </w:p>
    <w:p w14:paraId="59516E00">
      <w:pPr>
        <w:spacing w:line="360" w:lineRule="atLeast"/>
        <w:rPr>
          <w:rFonts w:ascii="黑体" w:hAnsi="宋体" w:eastAsia="黑体" w:cs="Times New Roman"/>
          <w:color w:val="auto"/>
          <w:sz w:val="32"/>
          <w:szCs w:val="32"/>
          <w:highlight w:val="none"/>
        </w:rPr>
      </w:pPr>
    </w:p>
    <w:p w14:paraId="7AD451AF">
      <w:pPr>
        <w:spacing w:line="360" w:lineRule="atLeast"/>
        <w:jc w:val="center"/>
        <w:rPr>
          <w:rFonts w:hAnsi="宋体"/>
          <w:b/>
          <w:bCs/>
          <w:color w:val="auto"/>
          <w:sz w:val="48"/>
          <w:szCs w:val="48"/>
          <w:highlight w:val="none"/>
        </w:rPr>
      </w:pPr>
      <w:bookmarkStart w:id="0" w:name="OLE_LINK12"/>
      <w:bookmarkStart w:id="1" w:name="OLE_LINK1"/>
      <w:bookmarkStart w:id="2" w:name="OLE_LINK11"/>
      <w:bookmarkStart w:id="3" w:name="OLE_LINK10"/>
      <w:r>
        <w:rPr>
          <w:rFonts w:hAnsi="宋体"/>
          <w:b/>
          <w:bCs/>
          <w:color w:val="auto"/>
          <w:sz w:val="48"/>
          <w:szCs w:val="48"/>
          <w:highlight w:val="none"/>
        </w:rPr>
        <w:t>湖州市长兴县交通运输行政执法队</w:t>
      </w:r>
      <w:bookmarkEnd w:id="0"/>
      <w:bookmarkEnd w:id="1"/>
      <w:r>
        <w:rPr>
          <w:rFonts w:hAnsi="宋体"/>
          <w:b/>
          <w:bCs/>
          <w:color w:val="auto"/>
          <w:sz w:val="48"/>
          <w:szCs w:val="48"/>
          <w:highlight w:val="none"/>
        </w:rPr>
        <w:t>船舶自动核查抓拍系统维护保障项目</w:t>
      </w:r>
    </w:p>
    <w:bookmarkEnd w:id="2"/>
    <w:bookmarkEnd w:id="3"/>
    <w:p w14:paraId="6E0B5AEE">
      <w:pPr>
        <w:spacing w:line="360" w:lineRule="atLeast"/>
        <w:rPr>
          <w:rFonts w:ascii="黑体" w:hAnsi="宋体" w:eastAsia="黑体" w:cs="Times New Roman"/>
          <w:color w:val="auto"/>
          <w:sz w:val="42"/>
          <w:szCs w:val="42"/>
          <w:highlight w:val="none"/>
        </w:rPr>
      </w:pPr>
    </w:p>
    <w:p w14:paraId="3A58D45B">
      <w:pPr>
        <w:pStyle w:val="2"/>
        <w:rPr>
          <w:color w:val="auto"/>
          <w:highlight w:val="none"/>
        </w:rPr>
      </w:pPr>
    </w:p>
    <w:p w14:paraId="63E92F0C">
      <w:pPr>
        <w:snapToGrid w:val="0"/>
        <w:spacing w:before="156" w:beforeLines="50" w:line="360" w:lineRule="auto"/>
        <w:jc w:val="center"/>
        <w:rPr>
          <w:rFonts w:ascii="宋体" w:cs="Times New Roman"/>
          <w:b/>
          <w:bCs/>
          <w:color w:val="auto"/>
          <w:sz w:val="28"/>
          <w:szCs w:val="28"/>
          <w:highlight w:val="none"/>
          <w:u w:val="single"/>
        </w:rPr>
      </w:pPr>
      <w:r>
        <w:rPr>
          <w:rFonts w:hint="eastAsia" w:ascii="宋体" w:hAnsi="宋体" w:cs="宋体"/>
          <w:b/>
          <w:bCs/>
          <w:color w:val="auto"/>
          <w:sz w:val="28"/>
          <w:szCs w:val="28"/>
          <w:highlight w:val="none"/>
          <w:u w:val="single"/>
        </w:rPr>
        <w:t>财政审批编号：临[2025]1148号</w:t>
      </w:r>
    </w:p>
    <w:p w14:paraId="0103952D">
      <w:pPr>
        <w:snapToGrid w:val="0"/>
        <w:spacing w:before="156" w:beforeLines="50" w:line="360" w:lineRule="auto"/>
        <w:jc w:val="center"/>
        <w:rPr>
          <w:rFonts w:ascii="微软雅黑" w:hAnsi="微软雅黑" w:eastAsia="微软雅黑" w:cs="Times New Roman"/>
          <w:color w:val="auto"/>
          <w:sz w:val="68"/>
          <w:szCs w:val="68"/>
          <w:highlight w:val="none"/>
        </w:rPr>
      </w:pPr>
    </w:p>
    <w:p w14:paraId="752C9305">
      <w:pPr>
        <w:spacing w:line="800" w:lineRule="exact"/>
        <w:jc w:val="center"/>
        <w:rPr>
          <w:rFonts w:ascii="宋体" w:cs="Times New Roman"/>
          <w:color w:val="auto"/>
          <w:sz w:val="52"/>
          <w:szCs w:val="52"/>
          <w:highlight w:val="none"/>
        </w:rPr>
      </w:pPr>
      <w:r>
        <w:rPr>
          <w:rFonts w:hint="eastAsia" w:ascii="微软雅黑" w:hAnsi="微软雅黑" w:eastAsia="微软雅黑" w:cs="微软雅黑"/>
          <w:color w:val="auto"/>
          <w:sz w:val="52"/>
          <w:szCs w:val="52"/>
          <w:highlight w:val="none"/>
        </w:rPr>
        <w:t>竞争性磋商文件</w:t>
      </w:r>
    </w:p>
    <w:p w14:paraId="76F591CF">
      <w:pPr>
        <w:spacing w:line="480" w:lineRule="exact"/>
        <w:jc w:val="left"/>
        <w:rPr>
          <w:rFonts w:ascii="宋体" w:cs="Times New Roman"/>
          <w:color w:val="auto"/>
          <w:sz w:val="24"/>
          <w:szCs w:val="24"/>
          <w:highlight w:val="none"/>
        </w:rPr>
      </w:pPr>
    </w:p>
    <w:p w14:paraId="3ACC8436">
      <w:pPr>
        <w:spacing w:line="480" w:lineRule="exact"/>
        <w:jc w:val="left"/>
        <w:rPr>
          <w:rFonts w:ascii="宋体" w:cs="Times New Roman"/>
          <w:color w:val="auto"/>
          <w:sz w:val="24"/>
          <w:szCs w:val="24"/>
          <w:highlight w:val="none"/>
        </w:rPr>
      </w:pPr>
    </w:p>
    <w:p w14:paraId="5DF6CCBD">
      <w:pPr>
        <w:spacing w:line="480" w:lineRule="exact"/>
        <w:jc w:val="left"/>
        <w:rPr>
          <w:rFonts w:ascii="宋体" w:cs="Times New Roman"/>
          <w:color w:val="auto"/>
          <w:sz w:val="24"/>
          <w:szCs w:val="24"/>
          <w:highlight w:val="none"/>
        </w:rPr>
      </w:pPr>
    </w:p>
    <w:p w14:paraId="6B3C298E">
      <w:pPr>
        <w:spacing w:line="480" w:lineRule="exact"/>
        <w:jc w:val="left"/>
        <w:rPr>
          <w:rFonts w:ascii="宋体" w:cs="Times New Roman"/>
          <w:color w:val="auto"/>
          <w:sz w:val="24"/>
          <w:szCs w:val="24"/>
          <w:highlight w:val="none"/>
        </w:rPr>
      </w:pPr>
    </w:p>
    <w:p w14:paraId="444A27F4">
      <w:pPr>
        <w:pStyle w:val="35"/>
        <w:snapToGrid w:val="0"/>
        <w:spacing w:beforeLines="0" w:afterLines="0" w:line="360" w:lineRule="auto"/>
        <w:ind w:firstLine="602" w:firstLineChars="200"/>
        <w:rPr>
          <w:b/>
          <w:bCs/>
          <w:color w:val="auto"/>
          <w:sz w:val="30"/>
          <w:szCs w:val="30"/>
          <w:highlight w:val="none"/>
        </w:rPr>
      </w:pPr>
      <w:r>
        <w:rPr>
          <w:rFonts w:hint="eastAsia"/>
          <w:b/>
          <w:bCs/>
          <w:color w:val="auto"/>
          <w:sz w:val="30"/>
          <w:szCs w:val="30"/>
          <w:highlight w:val="none"/>
        </w:rPr>
        <w:t>项目编号：</w:t>
      </w:r>
      <w:r>
        <w:rPr>
          <w:b/>
          <w:bCs/>
          <w:color w:val="auto"/>
          <w:sz w:val="30"/>
          <w:szCs w:val="30"/>
          <w:highlight w:val="none"/>
        </w:rPr>
        <w:t>HYHZ2025-44</w:t>
      </w:r>
    </w:p>
    <w:p w14:paraId="34635C5F">
      <w:pPr>
        <w:pStyle w:val="35"/>
        <w:snapToGrid w:val="0"/>
        <w:spacing w:beforeLines="0" w:afterLines="0" w:line="360" w:lineRule="auto"/>
        <w:ind w:left="1835" w:leftChars="300" w:hanging="1205" w:hangingChars="400"/>
        <w:rPr>
          <w:b/>
          <w:bCs/>
          <w:color w:val="auto"/>
          <w:sz w:val="30"/>
          <w:szCs w:val="30"/>
          <w:highlight w:val="none"/>
        </w:rPr>
      </w:pPr>
      <w:r>
        <w:rPr>
          <w:rFonts w:hint="eastAsia"/>
          <w:b/>
          <w:bCs/>
          <w:color w:val="auto"/>
          <w:sz w:val="30"/>
          <w:szCs w:val="30"/>
          <w:highlight w:val="none"/>
        </w:rPr>
        <w:t>项目名称：</w:t>
      </w:r>
      <w:r>
        <w:rPr>
          <w:b/>
          <w:bCs/>
          <w:color w:val="auto"/>
          <w:sz w:val="30"/>
          <w:szCs w:val="30"/>
          <w:highlight w:val="none"/>
        </w:rPr>
        <w:t>湖州市长兴县交通运输行政执法队船舶自动核查抓拍系统维护保障项目</w:t>
      </w:r>
    </w:p>
    <w:p w14:paraId="5B33905B">
      <w:pPr>
        <w:pStyle w:val="35"/>
        <w:snapToGrid w:val="0"/>
        <w:spacing w:beforeLines="0" w:afterLines="0" w:line="360" w:lineRule="auto"/>
        <w:ind w:firstLine="602" w:firstLineChars="200"/>
        <w:rPr>
          <w:b/>
          <w:bCs/>
          <w:color w:val="auto"/>
          <w:sz w:val="30"/>
          <w:szCs w:val="30"/>
          <w:highlight w:val="none"/>
        </w:rPr>
      </w:pPr>
      <w:r>
        <w:rPr>
          <w:rFonts w:hint="eastAsia"/>
          <w:b/>
          <w:bCs/>
          <w:color w:val="auto"/>
          <w:sz w:val="30"/>
          <w:szCs w:val="30"/>
          <w:highlight w:val="none"/>
        </w:rPr>
        <w:t>采购单位：湖州市长兴县交通运输行政执法队</w:t>
      </w:r>
    </w:p>
    <w:p w14:paraId="441E798B">
      <w:pPr>
        <w:pStyle w:val="35"/>
        <w:snapToGrid w:val="0"/>
        <w:spacing w:beforeLines="0" w:afterLines="0" w:line="360" w:lineRule="auto"/>
        <w:ind w:firstLine="602" w:firstLineChars="200"/>
        <w:rPr>
          <w:b/>
          <w:bCs/>
          <w:color w:val="auto"/>
          <w:sz w:val="30"/>
          <w:szCs w:val="30"/>
          <w:highlight w:val="none"/>
        </w:rPr>
      </w:pPr>
      <w:r>
        <w:rPr>
          <w:rFonts w:hint="eastAsia"/>
          <w:b/>
          <w:bCs/>
          <w:color w:val="auto"/>
          <w:sz w:val="30"/>
          <w:szCs w:val="30"/>
          <w:highlight w:val="none"/>
        </w:rPr>
        <w:t>代理机构：浙江华耀建设咨询有限公司</w:t>
      </w:r>
    </w:p>
    <w:p w14:paraId="6FD9ADC7">
      <w:pPr>
        <w:snapToGrid w:val="0"/>
        <w:spacing w:before="156" w:beforeLines="50" w:line="360" w:lineRule="auto"/>
        <w:rPr>
          <w:rFonts w:ascii="宋体" w:cs="Times New Roman"/>
          <w:b/>
          <w:bCs/>
          <w:color w:val="auto"/>
          <w:w w:val="95"/>
          <w:sz w:val="30"/>
          <w:szCs w:val="30"/>
          <w:highlight w:val="none"/>
        </w:rPr>
      </w:pPr>
    </w:p>
    <w:p w14:paraId="0C08836A">
      <w:pPr>
        <w:snapToGrid w:val="0"/>
        <w:spacing w:before="156" w:beforeLines="50" w:line="360" w:lineRule="auto"/>
        <w:ind w:left="384" w:leftChars="183" w:firstLine="4599" w:firstLineChars="1607"/>
        <w:rPr>
          <w:rFonts w:ascii="宋体" w:cs="Times New Roman"/>
          <w:b/>
          <w:bCs/>
          <w:color w:val="auto"/>
          <w:w w:val="95"/>
          <w:sz w:val="30"/>
          <w:szCs w:val="30"/>
          <w:highlight w:val="none"/>
        </w:rPr>
      </w:pPr>
      <w:bookmarkStart w:id="4" w:name="OLE_LINK7"/>
      <w:bookmarkStart w:id="5" w:name="OLE_LINK8"/>
      <w:r>
        <w:rPr>
          <w:rFonts w:ascii="宋体" w:hAnsi="宋体" w:cs="宋体"/>
          <w:b/>
          <w:bCs/>
          <w:color w:val="auto"/>
          <w:w w:val="95"/>
          <w:sz w:val="30"/>
          <w:szCs w:val="30"/>
          <w:highlight w:val="none"/>
        </w:rPr>
        <w:t>2025年 月 日</w:t>
      </w:r>
    </w:p>
    <w:bookmarkEnd w:id="4"/>
    <w:bookmarkEnd w:id="5"/>
    <w:p w14:paraId="5ACA33B4">
      <w:pPr>
        <w:spacing w:line="360" w:lineRule="auto"/>
        <w:rPr>
          <w:rFonts w:ascii="宋体" w:cs="Times New Roman"/>
          <w:b/>
          <w:bCs/>
          <w:color w:val="auto"/>
          <w:sz w:val="44"/>
          <w:szCs w:val="44"/>
          <w:highlight w:val="none"/>
        </w:rPr>
      </w:pPr>
    </w:p>
    <w:p w14:paraId="12DF56E3">
      <w:pPr>
        <w:spacing w:line="360" w:lineRule="auto"/>
        <w:jc w:val="center"/>
        <w:rPr>
          <w:rFonts w:ascii="宋体" w:cs="Times New Roman"/>
          <w:b/>
          <w:bCs/>
          <w:color w:val="auto"/>
          <w:sz w:val="44"/>
          <w:szCs w:val="44"/>
          <w:highlight w:val="none"/>
        </w:rPr>
      </w:pPr>
    </w:p>
    <w:p w14:paraId="5A4FEECE">
      <w:pPr>
        <w:spacing w:line="360" w:lineRule="auto"/>
        <w:jc w:val="center"/>
        <w:rPr>
          <w:rFonts w:ascii="宋体" w:hAnsi="宋体" w:cs="宋体"/>
          <w:b/>
          <w:bCs/>
          <w:color w:val="auto"/>
          <w:sz w:val="44"/>
          <w:szCs w:val="44"/>
          <w:highlight w:val="none"/>
        </w:rPr>
      </w:pPr>
    </w:p>
    <w:p w14:paraId="74A2A99C">
      <w:pPr>
        <w:spacing w:line="360" w:lineRule="auto"/>
        <w:jc w:val="center"/>
        <w:rPr>
          <w:rFonts w:ascii="宋体" w:cs="Times New Roman"/>
          <w:b/>
          <w:bCs/>
          <w:color w:val="auto"/>
          <w:sz w:val="44"/>
          <w:szCs w:val="44"/>
          <w:highlight w:val="none"/>
        </w:rPr>
      </w:pPr>
      <w:r>
        <w:rPr>
          <w:rFonts w:hint="eastAsia" w:ascii="宋体" w:hAnsi="宋体" w:cs="宋体"/>
          <w:b/>
          <w:bCs/>
          <w:color w:val="auto"/>
          <w:sz w:val="44"/>
          <w:szCs w:val="44"/>
          <w:highlight w:val="none"/>
        </w:rPr>
        <w:t>目    录</w:t>
      </w:r>
    </w:p>
    <w:p w14:paraId="4509B348">
      <w:pPr>
        <w:spacing w:line="360" w:lineRule="auto"/>
        <w:jc w:val="center"/>
        <w:rPr>
          <w:rFonts w:ascii="宋体" w:cs="Times New Roman"/>
          <w:b/>
          <w:bCs/>
          <w:color w:val="auto"/>
          <w:sz w:val="44"/>
          <w:szCs w:val="44"/>
          <w:highlight w:val="none"/>
        </w:rPr>
      </w:pPr>
    </w:p>
    <w:p w14:paraId="2ADFE1CE">
      <w:pPr>
        <w:pStyle w:val="44"/>
        <w:jc w:val="center"/>
        <w:rPr>
          <w:rFonts w:asciiTheme="minorHAnsi" w:hAnsiTheme="minorHAnsi" w:eastAsiaTheme="minorEastAsia" w:cstheme="minorBidi"/>
          <w:color w:val="auto"/>
          <w:sz w:val="21"/>
          <w:szCs w:val="22"/>
          <w:highlight w:val="none"/>
        </w:rPr>
      </w:pPr>
      <w:bookmarkStart w:id="6" w:name="_Toc113441585"/>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"_Toc68613970" </w:instrText>
      </w:r>
      <w:r>
        <w:rPr>
          <w:color w:val="auto"/>
          <w:highlight w:val="none"/>
        </w:rPr>
        <w:fldChar w:fldCharType="separate"/>
      </w:r>
      <w:r>
        <w:rPr>
          <w:rStyle w:val="74"/>
          <w:rFonts w:hint="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_Toc68613970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B851EDB">
      <w:pPr>
        <w:pStyle w:val="44"/>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"_Toc68613971" </w:instrText>
      </w:r>
      <w:r>
        <w:rPr>
          <w:color w:val="auto"/>
          <w:highlight w:val="none"/>
        </w:rPr>
        <w:fldChar w:fldCharType="separate"/>
      </w:r>
      <w:r>
        <w:rPr>
          <w:rStyle w:val="74"/>
          <w:rFonts w:hint="eastAsia"/>
          <w:color w:val="auto"/>
          <w:highlight w:val="none"/>
        </w:rPr>
        <w:t>第一章供应商须知</w:t>
      </w:r>
      <w:r>
        <w:rPr>
          <w:color w:val="auto"/>
          <w:highlight w:val="none"/>
        </w:rPr>
        <w:tab/>
      </w:r>
      <w:r>
        <w:rPr>
          <w:color w:val="auto"/>
          <w:highlight w:val="none"/>
        </w:rPr>
        <w:fldChar w:fldCharType="begin"/>
      </w:r>
      <w:r>
        <w:rPr>
          <w:color w:val="auto"/>
          <w:highlight w:val="none"/>
        </w:rPr>
        <w:instrText xml:space="preserve"> PAGEREF _Toc68613971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352C08A">
      <w:pPr>
        <w:pStyle w:val="53"/>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"_Toc68613972" </w:instrText>
      </w:r>
      <w:r>
        <w:rPr>
          <w:color w:val="auto"/>
          <w:highlight w:val="none"/>
        </w:rPr>
        <w:fldChar w:fldCharType="separate"/>
      </w:r>
      <w:r>
        <w:rPr>
          <w:rStyle w:val="74"/>
          <w:rFonts w:hint="eastAsia" w:ascii="宋体" w:hAnsi="宋体" w:cs="宋体"/>
          <w:color w:val="auto"/>
          <w:highlight w:val="none"/>
        </w:rPr>
        <w:t>前附表</w:t>
      </w:r>
      <w:r>
        <w:rPr>
          <w:color w:val="auto"/>
          <w:highlight w:val="none"/>
        </w:rPr>
        <w:tab/>
      </w:r>
      <w:r>
        <w:rPr>
          <w:color w:val="auto"/>
          <w:highlight w:val="none"/>
        </w:rPr>
        <w:fldChar w:fldCharType="begin"/>
      </w:r>
      <w:r>
        <w:rPr>
          <w:color w:val="auto"/>
          <w:highlight w:val="none"/>
        </w:rPr>
        <w:instrText xml:space="preserve"> PAGEREF _Toc68613972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3124C0A">
      <w:pPr>
        <w:pStyle w:val="53"/>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"_Toc68613973" </w:instrText>
      </w:r>
      <w:r>
        <w:rPr>
          <w:color w:val="auto"/>
          <w:highlight w:val="none"/>
        </w:rPr>
        <w:fldChar w:fldCharType="separate"/>
      </w:r>
      <w:r>
        <w:rPr>
          <w:rStyle w:val="74"/>
          <w:rFonts w:hint="eastAsia" w:ascii="宋体" w:hAnsi="宋体" w:cs="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_Toc68613973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34B1E4F">
      <w:pPr>
        <w:pStyle w:val="53"/>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"_Toc68613983" </w:instrText>
      </w:r>
      <w:r>
        <w:rPr>
          <w:color w:val="auto"/>
          <w:highlight w:val="none"/>
        </w:rPr>
        <w:fldChar w:fldCharType="separate"/>
      </w:r>
      <w:r>
        <w:rPr>
          <w:rStyle w:val="74"/>
          <w:rFonts w:hint="eastAsia" w:ascii="宋体" w:hAnsi="宋体" w:cs="宋体"/>
          <w:color w:val="auto"/>
          <w:kern w:val="44"/>
          <w:highlight w:val="none"/>
        </w:rPr>
        <w:t>二、磋商文件的说明</w:t>
      </w:r>
      <w:r>
        <w:rPr>
          <w:color w:val="auto"/>
          <w:highlight w:val="none"/>
        </w:rPr>
        <w:tab/>
      </w:r>
      <w:r>
        <w:rPr>
          <w:color w:val="auto"/>
          <w:highlight w:val="none"/>
        </w:rPr>
        <w:fldChar w:fldCharType="begin"/>
      </w:r>
      <w:r>
        <w:rPr>
          <w:color w:val="auto"/>
          <w:highlight w:val="none"/>
        </w:rPr>
        <w:instrText xml:space="preserve"> PAGEREF _Toc68613983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F9468F8">
      <w:pPr>
        <w:pStyle w:val="53"/>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"_Toc68613984" </w:instrText>
      </w:r>
      <w:r>
        <w:rPr>
          <w:color w:val="auto"/>
          <w:highlight w:val="none"/>
        </w:rPr>
        <w:fldChar w:fldCharType="separate"/>
      </w:r>
      <w:r>
        <w:rPr>
          <w:rStyle w:val="74"/>
          <w:rFonts w:hint="eastAsia" w:ascii="宋体" w:hAnsi="宋体" w:cs="宋体"/>
          <w:color w:val="auto"/>
          <w:kern w:val="44"/>
          <w:highlight w:val="none"/>
        </w:rPr>
        <w:t>三、响应文件的编制和提交</w:t>
      </w:r>
      <w:r>
        <w:rPr>
          <w:color w:val="auto"/>
          <w:highlight w:val="none"/>
        </w:rPr>
        <w:tab/>
      </w:r>
      <w:r>
        <w:rPr>
          <w:color w:val="auto"/>
          <w:highlight w:val="none"/>
        </w:rPr>
        <w:fldChar w:fldCharType="begin"/>
      </w:r>
      <w:r>
        <w:rPr>
          <w:color w:val="auto"/>
          <w:highlight w:val="none"/>
        </w:rPr>
        <w:instrText xml:space="preserve"> PAGEREF _Toc68613984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9B58E4D">
      <w:pPr>
        <w:pStyle w:val="53"/>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"_Toc68613985" </w:instrText>
      </w:r>
      <w:r>
        <w:rPr>
          <w:color w:val="auto"/>
          <w:highlight w:val="none"/>
        </w:rPr>
        <w:fldChar w:fldCharType="separate"/>
      </w:r>
      <w:r>
        <w:rPr>
          <w:rStyle w:val="74"/>
          <w:rFonts w:hint="eastAsia" w:ascii="宋体" w:hAnsi="宋体" w:cs="宋体"/>
          <w:color w:val="auto"/>
          <w:kern w:val="44"/>
          <w:highlight w:val="none"/>
        </w:rPr>
        <w:t>四、磋商规则、程序</w:t>
      </w:r>
      <w:r>
        <w:rPr>
          <w:color w:val="auto"/>
          <w:highlight w:val="none"/>
        </w:rPr>
        <w:tab/>
      </w:r>
      <w:r>
        <w:rPr>
          <w:color w:val="auto"/>
          <w:highlight w:val="none"/>
        </w:rPr>
        <w:fldChar w:fldCharType="begin"/>
      </w:r>
      <w:r>
        <w:rPr>
          <w:color w:val="auto"/>
          <w:highlight w:val="none"/>
        </w:rPr>
        <w:instrText xml:space="preserve"> PAGEREF _Toc68613985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00E3492">
      <w:pPr>
        <w:pStyle w:val="53"/>
        <w:jc w:val="center"/>
        <w:rPr>
          <w:rFonts w:asciiTheme="minorHAnsi" w:hAnsiTheme="minorHAnsi" w:eastAsiaTheme="minorEastAsia" w:cstheme="minorBidi"/>
          <w:b/>
          <w:color w:val="auto"/>
          <w:sz w:val="21"/>
          <w:szCs w:val="22"/>
          <w:highlight w:val="none"/>
        </w:rPr>
      </w:pPr>
      <w:r>
        <w:rPr>
          <w:color w:val="auto"/>
          <w:highlight w:val="none"/>
        </w:rPr>
        <w:fldChar w:fldCharType="begin"/>
      </w:r>
      <w:r>
        <w:rPr>
          <w:color w:val="auto"/>
          <w:highlight w:val="none"/>
        </w:rPr>
        <w:instrText xml:space="preserve"> HYPERLINK \l "_Toc68613992" </w:instrText>
      </w:r>
      <w:r>
        <w:rPr>
          <w:color w:val="auto"/>
          <w:highlight w:val="none"/>
        </w:rPr>
        <w:fldChar w:fldCharType="separate"/>
      </w:r>
      <w:r>
        <w:rPr>
          <w:rStyle w:val="74"/>
          <w:rFonts w:hint="eastAsia" w:ascii="宋体" w:hAnsi="宋体" w:cs="宋体"/>
          <w:color w:val="auto"/>
          <w:spacing w:val="14"/>
          <w:highlight w:val="none"/>
        </w:rPr>
        <w:t>五、授予合同</w:t>
      </w:r>
      <w:r>
        <w:rPr>
          <w:color w:val="auto"/>
          <w:highlight w:val="none"/>
        </w:rPr>
        <w:tab/>
      </w:r>
      <w:r>
        <w:rPr>
          <w:color w:val="auto"/>
          <w:highlight w:val="none"/>
        </w:rPr>
        <w:fldChar w:fldCharType="begin"/>
      </w:r>
      <w:r>
        <w:rPr>
          <w:color w:val="auto"/>
          <w:highlight w:val="none"/>
        </w:rPr>
        <w:instrText xml:space="preserve"> PAGEREF _Toc68613992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0B572B0">
      <w:pPr>
        <w:pStyle w:val="44"/>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"_Toc68613993" </w:instrText>
      </w:r>
      <w:r>
        <w:rPr>
          <w:color w:val="auto"/>
          <w:highlight w:val="none"/>
        </w:rPr>
        <w:fldChar w:fldCharType="separate"/>
      </w:r>
      <w:r>
        <w:rPr>
          <w:rStyle w:val="74"/>
          <w:rFonts w:hint="eastAsia"/>
          <w:color w:val="auto"/>
          <w:highlight w:val="none"/>
        </w:rPr>
        <w:t>第二章磋商项目范围及要求</w:t>
      </w:r>
      <w:r>
        <w:rPr>
          <w:color w:val="auto"/>
          <w:highlight w:val="none"/>
        </w:rPr>
        <w:tab/>
      </w:r>
      <w:r>
        <w:rPr>
          <w:color w:val="auto"/>
          <w:highlight w:val="none"/>
        </w:rPr>
        <w:fldChar w:fldCharType="begin"/>
      </w:r>
      <w:r>
        <w:rPr>
          <w:color w:val="auto"/>
          <w:highlight w:val="none"/>
        </w:rPr>
        <w:instrText xml:space="preserve"> PAGEREF _Toc68613993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DA1E012">
      <w:pPr>
        <w:pStyle w:val="44"/>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"_Toc68613998" </w:instrText>
      </w:r>
      <w:r>
        <w:rPr>
          <w:color w:val="auto"/>
          <w:highlight w:val="none"/>
        </w:rPr>
        <w:fldChar w:fldCharType="separate"/>
      </w:r>
      <w:r>
        <w:rPr>
          <w:rStyle w:val="74"/>
          <w:rFonts w:hint="eastAsia"/>
          <w:color w:val="auto"/>
          <w:highlight w:val="none"/>
        </w:rPr>
        <w:t>第三章合同主要条款</w:t>
      </w:r>
      <w:r>
        <w:rPr>
          <w:color w:val="auto"/>
          <w:highlight w:val="none"/>
        </w:rPr>
        <w:tab/>
      </w:r>
      <w:r>
        <w:rPr>
          <w:color w:val="auto"/>
          <w:highlight w:val="none"/>
        </w:rPr>
        <w:fldChar w:fldCharType="begin"/>
      </w:r>
      <w:r>
        <w:rPr>
          <w:color w:val="auto"/>
          <w:highlight w:val="none"/>
        </w:rPr>
        <w:instrText xml:space="preserve"> PAGEREF _Toc68613998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F765A1F">
      <w:pPr>
        <w:pStyle w:val="44"/>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"_Toc68613999" </w:instrText>
      </w:r>
      <w:r>
        <w:rPr>
          <w:color w:val="auto"/>
          <w:highlight w:val="none"/>
        </w:rPr>
        <w:fldChar w:fldCharType="separate"/>
      </w:r>
      <w:r>
        <w:rPr>
          <w:rStyle w:val="74"/>
          <w:rFonts w:hint="eastAsia"/>
          <w:color w:val="auto"/>
          <w:highlight w:val="none"/>
        </w:rPr>
        <w:t>第四章响应文件格式</w:t>
      </w:r>
      <w:r>
        <w:rPr>
          <w:color w:val="auto"/>
          <w:highlight w:val="none"/>
        </w:rPr>
        <w:tab/>
      </w:r>
      <w:r>
        <w:rPr>
          <w:color w:val="auto"/>
          <w:highlight w:val="none"/>
        </w:rPr>
        <w:fldChar w:fldCharType="begin"/>
      </w:r>
      <w:r>
        <w:rPr>
          <w:color w:val="auto"/>
          <w:highlight w:val="none"/>
        </w:rPr>
        <w:instrText xml:space="preserve"> PAGEREF _Toc68613999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65E19EF4">
      <w:pPr>
        <w:pStyle w:val="44"/>
        <w:jc w:val="center"/>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"_Toc68614001" </w:instrText>
      </w:r>
      <w:r>
        <w:rPr>
          <w:color w:val="auto"/>
          <w:highlight w:val="none"/>
        </w:rPr>
        <w:fldChar w:fldCharType="separate"/>
      </w:r>
      <w:r>
        <w:rPr>
          <w:rStyle w:val="74"/>
          <w:rFonts w:hint="eastAsia"/>
          <w:color w:val="auto"/>
          <w:highlight w:val="none"/>
        </w:rPr>
        <w:t>第五章磋商办法及评分标准</w:t>
      </w:r>
      <w:r>
        <w:rPr>
          <w:color w:val="auto"/>
          <w:highlight w:val="none"/>
        </w:rPr>
        <w:tab/>
      </w:r>
      <w:r>
        <w:rPr>
          <w:color w:val="auto"/>
          <w:highlight w:val="none"/>
        </w:rPr>
        <w:fldChar w:fldCharType="begin"/>
      </w:r>
      <w:r>
        <w:rPr>
          <w:color w:val="auto"/>
          <w:highlight w:val="none"/>
        </w:rPr>
        <w:instrText xml:space="preserve"> PAGEREF _Toc68614001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2B9C5D5">
      <w:pPr>
        <w:jc w:val="center"/>
        <w:rPr>
          <w:rFonts w:ascii="宋体" w:cs="Times New Roman"/>
          <w:b/>
          <w:bCs/>
          <w:color w:val="auto"/>
          <w:sz w:val="28"/>
          <w:szCs w:val="28"/>
          <w:highlight w:val="none"/>
        </w:rPr>
      </w:pPr>
      <w:r>
        <w:rPr>
          <w:color w:val="auto"/>
          <w:sz w:val="28"/>
          <w:szCs w:val="28"/>
          <w:highlight w:val="none"/>
        </w:rPr>
        <w:fldChar w:fldCharType="end"/>
      </w:r>
      <w:bookmarkEnd w:id="6"/>
    </w:p>
    <w:p w14:paraId="37C2E95B">
      <w:pPr>
        <w:pStyle w:val="35"/>
        <w:snapToGrid w:val="0"/>
        <w:spacing w:beforeLines="0" w:afterLines="0" w:line="360" w:lineRule="auto"/>
        <w:ind w:left="1394" w:hanging="1394" w:hangingChars="496"/>
        <w:jc w:val="center"/>
        <w:rPr>
          <w:rFonts w:hAnsi="宋体"/>
          <w:b/>
          <w:bCs/>
          <w:color w:val="auto"/>
          <w:sz w:val="28"/>
          <w:szCs w:val="28"/>
          <w:highlight w:val="none"/>
        </w:rPr>
      </w:pPr>
    </w:p>
    <w:p w14:paraId="05327578">
      <w:pPr>
        <w:pStyle w:val="35"/>
        <w:snapToGrid w:val="0"/>
        <w:spacing w:beforeLines="0" w:afterLines="0" w:line="360" w:lineRule="auto"/>
        <w:ind w:left="1394" w:hanging="1394" w:hangingChars="496"/>
        <w:jc w:val="center"/>
        <w:rPr>
          <w:rFonts w:hAnsi="宋体"/>
          <w:b/>
          <w:bCs/>
          <w:color w:val="auto"/>
          <w:sz w:val="28"/>
          <w:szCs w:val="28"/>
          <w:highlight w:val="none"/>
        </w:rPr>
      </w:pPr>
    </w:p>
    <w:p w14:paraId="0BC6B049">
      <w:pPr>
        <w:pStyle w:val="35"/>
        <w:snapToGrid w:val="0"/>
        <w:spacing w:beforeLines="0" w:afterLines="0" w:line="360" w:lineRule="auto"/>
        <w:ind w:left="1394" w:hanging="1394" w:hangingChars="496"/>
        <w:jc w:val="center"/>
        <w:rPr>
          <w:rFonts w:hAnsi="宋体"/>
          <w:b/>
          <w:bCs/>
          <w:color w:val="auto"/>
          <w:sz w:val="28"/>
          <w:szCs w:val="28"/>
          <w:highlight w:val="none"/>
        </w:rPr>
      </w:pPr>
    </w:p>
    <w:p w14:paraId="5CED7E84">
      <w:pPr>
        <w:pStyle w:val="35"/>
        <w:snapToGrid w:val="0"/>
        <w:spacing w:beforeLines="0" w:afterLines="0" w:line="360" w:lineRule="auto"/>
        <w:ind w:left="1394" w:hanging="1394" w:hangingChars="496"/>
        <w:jc w:val="center"/>
        <w:rPr>
          <w:rFonts w:hAnsi="宋体"/>
          <w:b/>
          <w:bCs/>
          <w:color w:val="auto"/>
          <w:sz w:val="28"/>
          <w:szCs w:val="28"/>
          <w:highlight w:val="none"/>
        </w:rPr>
      </w:pPr>
    </w:p>
    <w:p w14:paraId="62F42EC9">
      <w:pPr>
        <w:pStyle w:val="35"/>
        <w:snapToGrid w:val="0"/>
        <w:spacing w:beforeLines="0" w:afterLines="0" w:line="360" w:lineRule="auto"/>
        <w:ind w:left="1394" w:hanging="1394" w:hangingChars="496"/>
        <w:jc w:val="center"/>
        <w:rPr>
          <w:rFonts w:hAnsi="宋体"/>
          <w:b/>
          <w:bCs/>
          <w:color w:val="auto"/>
          <w:sz w:val="28"/>
          <w:szCs w:val="28"/>
          <w:highlight w:val="none"/>
        </w:rPr>
      </w:pPr>
    </w:p>
    <w:p w14:paraId="72EC5368">
      <w:pPr>
        <w:pStyle w:val="35"/>
        <w:snapToGrid w:val="0"/>
        <w:spacing w:beforeLines="0" w:afterLines="0" w:line="360" w:lineRule="auto"/>
        <w:ind w:left="1394" w:hanging="1394" w:hangingChars="496"/>
        <w:jc w:val="center"/>
        <w:rPr>
          <w:rFonts w:hAnsi="宋体"/>
          <w:b/>
          <w:bCs/>
          <w:color w:val="auto"/>
          <w:sz w:val="28"/>
          <w:szCs w:val="28"/>
          <w:highlight w:val="none"/>
        </w:rPr>
      </w:pPr>
    </w:p>
    <w:p w14:paraId="791F589C">
      <w:pPr>
        <w:pStyle w:val="35"/>
        <w:snapToGrid w:val="0"/>
        <w:spacing w:beforeLines="0" w:afterLines="0" w:line="240" w:lineRule="auto"/>
        <w:ind w:left="1394" w:hanging="1394" w:hangingChars="496"/>
        <w:jc w:val="center"/>
        <w:rPr>
          <w:rFonts w:cs="Times New Roman"/>
          <w:color w:val="auto"/>
          <w:sz w:val="28"/>
          <w:szCs w:val="28"/>
          <w:highlight w:val="none"/>
        </w:rPr>
      </w:pPr>
      <w:r>
        <w:rPr>
          <w:rFonts w:hAnsi="宋体"/>
          <w:b/>
          <w:bCs/>
          <w:color w:val="auto"/>
          <w:sz w:val="28"/>
          <w:szCs w:val="28"/>
          <w:highlight w:val="none"/>
        </w:rPr>
        <w:t>湖州市长兴县交通运输行政执法队船舶自动核查抓拍系统维护保障项目</w:t>
      </w:r>
    </w:p>
    <w:p w14:paraId="2F309F86">
      <w:pPr>
        <w:pStyle w:val="3"/>
        <w:spacing w:before="0" w:after="0" w:line="420" w:lineRule="exact"/>
        <w:jc w:val="center"/>
        <w:rPr>
          <w:rFonts w:ascii="宋体" w:hAnsi="宋体" w:cs="宋体"/>
          <w:color w:val="auto"/>
          <w:sz w:val="32"/>
          <w:szCs w:val="32"/>
          <w:highlight w:val="none"/>
        </w:rPr>
      </w:pPr>
      <w:bookmarkStart w:id="7" w:name="_Toc68613970"/>
      <w:r>
        <w:rPr>
          <w:rFonts w:hint="eastAsia" w:ascii="宋体" w:hAnsi="宋体" w:cs="宋体"/>
          <w:color w:val="auto"/>
          <w:sz w:val="32"/>
          <w:szCs w:val="32"/>
          <w:highlight w:val="none"/>
        </w:rPr>
        <w:t>竞争性磋商公告</w:t>
      </w:r>
      <w:bookmarkEnd w:id="7"/>
    </w:p>
    <w:p w14:paraId="367155B6">
      <w:pPr>
        <w:snapToGrid w:val="0"/>
        <w:spacing w:before="156" w:beforeLines="50"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根据《政府采购竞争性磋商采购方式管理暂行办法》等有关规定，经长兴县财政局临[2025]1148号批准，浙江华耀建设咨询有限公司受湖州市长兴县交通运输行政执法队的委托，就</w:t>
      </w:r>
      <w:r>
        <w:rPr>
          <w:rFonts w:ascii="宋体" w:hAnsi="宋体" w:cs="宋体"/>
          <w:color w:val="auto"/>
          <w:kern w:val="0"/>
          <w:sz w:val="24"/>
          <w:szCs w:val="24"/>
          <w:highlight w:val="none"/>
        </w:rPr>
        <w:t>湖州市长兴县交通运输行政执法队船舶自动核查抓拍系统维护保障项目</w:t>
      </w:r>
      <w:r>
        <w:rPr>
          <w:rFonts w:hint="eastAsia" w:ascii="宋体" w:hAnsi="宋体" w:cs="宋体"/>
          <w:color w:val="auto"/>
          <w:kern w:val="0"/>
          <w:sz w:val="24"/>
          <w:szCs w:val="24"/>
          <w:highlight w:val="none"/>
        </w:rPr>
        <w:t>进行竞争性磋商，欢迎国内合格的供应商前来磋商。</w:t>
      </w:r>
    </w:p>
    <w:p w14:paraId="28980BC7">
      <w:pPr>
        <w:snapToGrid w:val="0"/>
        <w:spacing w:line="360" w:lineRule="auto"/>
        <w:ind w:firstLine="472" w:firstLineChars="196"/>
        <w:rPr>
          <w:rFonts w:ascii="宋体" w:cs="Times New Roman"/>
          <w:color w:val="auto"/>
          <w:sz w:val="24"/>
          <w:szCs w:val="24"/>
          <w:highlight w:val="none"/>
        </w:rPr>
      </w:pPr>
      <w:r>
        <w:rPr>
          <w:rFonts w:hint="eastAsia" w:ascii="宋体" w:hAnsi="宋体" w:cs="宋体"/>
          <w:b/>
          <w:bCs/>
          <w:color w:val="auto"/>
          <w:kern w:val="0"/>
          <w:sz w:val="24"/>
          <w:szCs w:val="24"/>
          <w:highlight w:val="none"/>
        </w:rPr>
        <w:t>一、磋商项目编号：</w:t>
      </w:r>
      <w:r>
        <w:rPr>
          <w:rFonts w:ascii="宋体" w:hAnsi="宋体" w:cs="宋体"/>
          <w:color w:val="auto"/>
          <w:kern w:val="0"/>
          <w:sz w:val="24"/>
          <w:szCs w:val="24"/>
          <w:highlight w:val="none"/>
        </w:rPr>
        <w:t xml:space="preserve"> </w:t>
      </w:r>
      <w:r>
        <w:rPr>
          <w:rFonts w:ascii="宋体" w:hAnsi="宋体" w:cs="宋体"/>
          <w:color w:val="auto"/>
          <w:sz w:val="24"/>
          <w:szCs w:val="24"/>
          <w:highlight w:val="none"/>
        </w:rPr>
        <w:t>HYHZ2025-44</w:t>
      </w:r>
    </w:p>
    <w:p w14:paraId="6ABE70D1">
      <w:pPr>
        <w:snapToGrid w:val="0"/>
        <w:spacing w:line="360" w:lineRule="auto"/>
        <w:ind w:firstLine="472" w:firstLineChars="196"/>
        <w:rPr>
          <w:rFonts w:ascii="宋体" w:cs="Times New Roman"/>
          <w:b/>
          <w:bCs/>
          <w:color w:val="auto"/>
          <w:sz w:val="24"/>
          <w:szCs w:val="24"/>
          <w:highlight w:val="none"/>
        </w:rPr>
      </w:pPr>
      <w:r>
        <w:rPr>
          <w:rFonts w:hint="eastAsia" w:ascii="宋体" w:hAnsi="宋体" w:cs="宋体"/>
          <w:b/>
          <w:bCs/>
          <w:color w:val="auto"/>
          <w:kern w:val="0"/>
          <w:sz w:val="24"/>
          <w:szCs w:val="24"/>
          <w:highlight w:val="none"/>
        </w:rPr>
        <w:t>二、磋商项目概况</w:t>
      </w:r>
      <w:r>
        <w:rPr>
          <w:rFonts w:hint="eastAsia" w:ascii="宋体" w:hAnsi="宋体" w:cs="宋体"/>
          <w:color w:val="auto"/>
          <w:kern w:val="0"/>
          <w:sz w:val="24"/>
          <w:szCs w:val="24"/>
          <w:highlight w:val="none"/>
        </w:rPr>
        <w:t>：</w:t>
      </w:r>
    </w:p>
    <w:tbl>
      <w:tblPr>
        <w:tblStyle w:val="63"/>
        <w:tblW w:w="91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5353"/>
        <w:gridCol w:w="1418"/>
        <w:gridCol w:w="1516"/>
      </w:tblGrid>
      <w:tr w14:paraId="19831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exact"/>
          <w:jc w:val="center"/>
        </w:trPr>
        <w:tc>
          <w:tcPr>
            <w:tcW w:w="875" w:type="dxa"/>
            <w:tcBorders>
              <w:top w:val="single" w:color="auto" w:sz="4" w:space="0"/>
              <w:bottom w:val="single" w:color="auto" w:sz="4" w:space="0"/>
              <w:right w:val="single" w:color="auto" w:sz="4" w:space="0"/>
            </w:tcBorders>
            <w:vAlign w:val="center"/>
          </w:tcPr>
          <w:p w14:paraId="39E77902">
            <w:pPr>
              <w:snapToGrid w:val="0"/>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5353" w:type="dxa"/>
            <w:tcBorders>
              <w:top w:val="single" w:color="auto" w:sz="4" w:space="0"/>
              <w:left w:val="single" w:color="auto" w:sz="4" w:space="0"/>
              <w:bottom w:val="single" w:color="auto" w:sz="4" w:space="0"/>
              <w:right w:val="single" w:color="auto" w:sz="4" w:space="0"/>
            </w:tcBorders>
            <w:vAlign w:val="center"/>
          </w:tcPr>
          <w:p w14:paraId="07D94273">
            <w:pPr>
              <w:snapToGrid w:val="0"/>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采购内容</w:t>
            </w:r>
          </w:p>
        </w:tc>
        <w:tc>
          <w:tcPr>
            <w:tcW w:w="1418" w:type="dxa"/>
            <w:tcBorders>
              <w:top w:val="single" w:color="auto" w:sz="4" w:space="0"/>
              <w:left w:val="single" w:color="auto" w:sz="4" w:space="0"/>
              <w:bottom w:val="single" w:color="auto" w:sz="4" w:space="0"/>
              <w:right w:val="single" w:color="auto" w:sz="4" w:space="0"/>
            </w:tcBorders>
            <w:vAlign w:val="center"/>
          </w:tcPr>
          <w:p w14:paraId="7D44AD62">
            <w:pPr>
              <w:snapToGrid w:val="0"/>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单位及数量</w:t>
            </w:r>
          </w:p>
        </w:tc>
        <w:tc>
          <w:tcPr>
            <w:tcW w:w="1516" w:type="dxa"/>
            <w:tcBorders>
              <w:top w:val="single" w:color="auto" w:sz="4" w:space="0"/>
              <w:left w:val="single" w:color="auto" w:sz="4" w:space="0"/>
              <w:bottom w:val="single" w:color="auto" w:sz="4" w:space="0"/>
            </w:tcBorders>
            <w:vAlign w:val="center"/>
          </w:tcPr>
          <w:p w14:paraId="2510C926">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采购预算</w:t>
            </w:r>
          </w:p>
        </w:tc>
      </w:tr>
      <w:tr w14:paraId="64848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exact"/>
          <w:jc w:val="center"/>
        </w:trPr>
        <w:tc>
          <w:tcPr>
            <w:tcW w:w="875" w:type="dxa"/>
            <w:tcBorders>
              <w:top w:val="single" w:color="auto" w:sz="4" w:space="0"/>
              <w:bottom w:val="single" w:color="auto" w:sz="4" w:space="0"/>
              <w:right w:val="single" w:color="auto" w:sz="4" w:space="0"/>
            </w:tcBorders>
            <w:vAlign w:val="center"/>
          </w:tcPr>
          <w:p w14:paraId="3D72B462">
            <w:pPr>
              <w:snapToGrid w:val="0"/>
              <w:spacing w:line="360" w:lineRule="auto"/>
              <w:jc w:val="center"/>
              <w:rPr>
                <w:rFonts w:ascii="宋体" w:hAnsi="宋体" w:cs="宋体"/>
                <w:color w:val="auto"/>
                <w:sz w:val="24"/>
                <w:szCs w:val="24"/>
                <w:highlight w:val="none"/>
              </w:rPr>
            </w:pPr>
            <w:r>
              <w:rPr>
                <w:rFonts w:ascii="宋体" w:hAnsi="宋体" w:cs="宋体"/>
                <w:color w:val="auto"/>
                <w:kern w:val="0"/>
                <w:sz w:val="24"/>
                <w:szCs w:val="24"/>
                <w:highlight w:val="none"/>
              </w:rPr>
              <w:t>1</w:t>
            </w:r>
          </w:p>
        </w:tc>
        <w:tc>
          <w:tcPr>
            <w:tcW w:w="5353" w:type="dxa"/>
            <w:tcBorders>
              <w:top w:val="single" w:color="auto" w:sz="4" w:space="0"/>
              <w:left w:val="single" w:color="auto" w:sz="4" w:space="0"/>
              <w:bottom w:val="single" w:color="auto" w:sz="4" w:space="0"/>
              <w:right w:val="single" w:color="auto" w:sz="4" w:space="0"/>
            </w:tcBorders>
            <w:vAlign w:val="center"/>
          </w:tcPr>
          <w:p w14:paraId="23827F90">
            <w:pPr>
              <w:snapToGrid w:val="0"/>
              <w:spacing w:line="360" w:lineRule="auto"/>
              <w:rPr>
                <w:rFonts w:ascii="宋体" w:hAnsi="宋体" w:cs="宋体"/>
                <w:color w:val="auto"/>
                <w:sz w:val="24"/>
                <w:szCs w:val="24"/>
                <w:highlight w:val="none"/>
              </w:rPr>
            </w:pPr>
            <w:r>
              <w:rPr>
                <w:rFonts w:ascii="宋体" w:hAnsi="宋体" w:cs="宋体"/>
                <w:color w:val="auto"/>
                <w:kern w:val="0"/>
                <w:sz w:val="24"/>
                <w:szCs w:val="24"/>
                <w:highlight w:val="none"/>
              </w:rPr>
              <w:t>湖州市长兴县交通运输行政执法队船舶自动核查抓拍系统维护保障项目</w:t>
            </w:r>
          </w:p>
        </w:tc>
        <w:tc>
          <w:tcPr>
            <w:tcW w:w="1418" w:type="dxa"/>
            <w:tcBorders>
              <w:top w:val="single" w:color="auto" w:sz="4" w:space="0"/>
              <w:left w:val="single" w:color="auto" w:sz="4" w:space="0"/>
              <w:bottom w:val="single" w:color="auto" w:sz="4" w:space="0"/>
              <w:right w:val="single" w:color="auto" w:sz="4" w:space="0"/>
            </w:tcBorders>
            <w:vAlign w:val="center"/>
          </w:tcPr>
          <w:p w14:paraId="1E25CE80">
            <w:pPr>
              <w:snapToGrid w:val="0"/>
              <w:spacing w:line="360" w:lineRule="auto"/>
              <w:jc w:val="center"/>
              <w:rPr>
                <w:rFonts w:ascii="宋体" w:hAnsi="宋体" w:cs="宋体"/>
                <w:color w:val="auto"/>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项</w:t>
            </w:r>
          </w:p>
        </w:tc>
        <w:tc>
          <w:tcPr>
            <w:tcW w:w="1516" w:type="dxa"/>
            <w:tcBorders>
              <w:top w:val="single" w:color="auto" w:sz="4" w:space="0"/>
              <w:left w:val="single" w:color="auto" w:sz="4" w:space="0"/>
              <w:bottom w:val="single" w:color="auto" w:sz="4" w:space="0"/>
            </w:tcBorders>
            <w:vAlign w:val="center"/>
          </w:tcPr>
          <w:p w14:paraId="109B180B">
            <w:pPr>
              <w:snapToGrid w:val="0"/>
              <w:spacing w:line="360" w:lineRule="auto"/>
              <w:jc w:val="center"/>
              <w:rPr>
                <w:rFonts w:ascii="宋体" w:hAnsi="宋体" w:cs="宋体"/>
                <w:color w:val="auto"/>
                <w:sz w:val="24"/>
                <w:szCs w:val="24"/>
                <w:highlight w:val="none"/>
              </w:rPr>
            </w:pPr>
            <w:r>
              <w:rPr>
                <w:rFonts w:hint="eastAsia" w:ascii="宋体" w:cs="宋体"/>
                <w:color w:val="auto"/>
                <w:kern w:val="0"/>
                <w:sz w:val="24"/>
                <w:szCs w:val="24"/>
                <w:highlight w:val="none"/>
                <w:lang w:eastAsia="zh-CN"/>
              </w:rPr>
              <w:t>72</w:t>
            </w:r>
            <w:r>
              <w:rPr>
                <w:rFonts w:hint="eastAsia" w:ascii="宋体" w:cs="宋体"/>
                <w:color w:val="auto"/>
                <w:kern w:val="0"/>
                <w:sz w:val="24"/>
                <w:szCs w:val="24"/>
                <w:highlight w:val="none"/>
              </w:rPr>
              <w:t>万元</w:t>
            </w:r>
          </w:p>
        </w:tc>
      </w:tr>
    </w:tbl>
    <w:p w14:paraId="20173938">
      <w:pPr>
        <w:snapToGrid w:val="0"/>
        <w:spacing w:line="360" w:lineRule="auto"/>
        <w:ind w:firstLine="470" w:firstLineChars="196"/>
        <w:rPr>
          <w:rFonts w:ascii="宋体" w:cs="Times New Roman"/>
          <w:color w:val="auto"/>
          <w:kern w:val="0"/>
          <w:sz w:val="24"/>
          <w:szCs w:val="24"/>
          <w:highlight w:val="none"/>
        </w:rPr>
      </w:pPr>
      <w:r>
        <w:rPr>
          <w:rFonts w:hint="eastAsia" w:ascii="宋体" w:hAnsi="宋体" w:cs="宋体"/>
          <w:color w:val="auto"/>
          <w:kern w:val="0"/>
          <w:sz w:val="24"/>
          <w:szCs w:val="24"/>
          <w:highlight w:val="none"/>
        </w:rPr>
        <w:t>详见竞争性磋商文件。</w:t>
      </w:r>
    </w:p>
    <w:p w14:paraId="057AB1C0">
      <w:pPr>
        <w:snapToGrid w:val="0"/>
        <w:spacing w:line="360" w:lineRule="auto"/>
        <w:ind w:firstLine="472" w:firstLineChars="196"/>
        <w:rPr>
          <w:rFonts w:ascii="宋体" w:cs="Times New Roman"/>
          <w:color w:val="auto"/>
          <w:kern w:val="0"/>
          <w:sz w:val="24"/>
          <w:szCs w:val="24"/>
          <w:highlight w:val="none"/>
        </w:rPr>
      </w:pPr>
      <w:r>
        <w:rPr>
          <w:rFonts w:hint="eastAsia" w:ascii="宋体" w:hAnsi="宋体" w:cs="宋体"/>
          <w:b/>
          <w:bCs/>
          <w:color w:val="auto"/>
          <w:kern w:val="0"/>
          <w:sz w:val="24"/>
          <w:szCs w:val="24"/>
          <w:highlight w:val="none"/>
        </w:rPr>
        <w:t>三、磋商供应商资格要求</w:t>
      </w:r>
      <w:r>
        <w:rPr>
          <w:rFonts w:hint="eastAsia" w:ascii="宋体" w:hAnsi="宋体" w:cs="宋体"/>
          <w:color w:val="auto"/>
          <w:kern w:val="0"/>
          <w:sz w:val="24"/>
          <w:szCs w:val="24"/>
          <w:highlight w:val="none"/>
        </w:rPr>
        <w:t>：</w:t>
      </w:r>
    </w:p>
    <w:p w14:paraId="1D4A184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1.符合《政府采购法》第二十二条规定；未被“信用中国”（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14:paraId="26D0C9D7">
      <w:pPr>
        <w:widowControl/>
        <w:spacing w:line="360" w:lineRule="auto"/>
        <w:ind w:firstLine="480" w:firstLineChars="200"/>
        <w:jc w:val="left"/>
        <w:rPr>
          <w:rFonts w:ascii="宋体" w:hAnsi="宋体" w:cs="宋体"/>
          <w:color w:val="auto"/>
          <w:sz w:val="24"/>
          <w:szCs w:val="20"/>
          <w:highlight w:val="none"/>
        </w:rPr>
      </w:pPr>
      <w:r>
        <w:rPr>
          <w:rFonts w:hint="eastAsia" w:ascii="宋体" w:hAnsi="宋体" w:cs="仿宋"/>
          <w:color w:val="auto"/>
          <w:sz w:val="24"/>
          <w:highlight w:val="none"/>
        </w:rPr>
        <w:t>2.落实政府采购政策需满足的资格要求：</w:t>
      </w:r>
      <w:r>
        <w:rPr>
          <w:rFonts w:hint="eastAsia" w:ascii="宋体" w:hAnsi="宋体"/>
          <w:color w:val="auto"/>
          <w:sz w:val="24"/>
          <w:highlight w:val="none"/>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r>
        <w:rPr>
          <w:rFonts w:hint="eastAsia" w:ascii="宋体" w:hAnsi="宋体" w:cs="宋体"/>
          <w:color w:val="auto"/>
          <w:sz w:val="24"/>
          <w:szCs w:val="20"/>
          <w:highlight w:val="none"/>
        </w:rPr>
        <w:t>；</w:t>
      </w:r>
    </w:p>
    <w:p w14:paraId="62F4DD67">
      <w:pPr>
        <w:spacing w:line="360" w:lineRule="auto"/>
        <w:ind w:firstLine="480" w:firstLineChars="200"/>
        <w:rPr>
          <w:rFonts w:ascii="宋体" w:hAnsi="宋体" w:cs="宋体"/>
          <w:b/>
          <w:bCs/>
          <w:color w:val="auto"/>
          <w:kern w:val="0"/>
          <w:sz w:val="24"/>
          <w:szCs w:val="24"/>
          <w:highlight w:val="none"/>
        </w:rPr>
      </w:pPr>
      <w:r>
        <w:rPr>
          <w:rFonts w:hint="eastAsia" w:ascii="宋体" w:hAnsi="宋体" w:cs="宋体"/>
          <w:color w:val="auto"/>
          <w:sz w:val="24"/>
          <w:szCs w:val="24"/>
          <w:highlight w:val="none"/>
        </w:rPr>
        <w:t>3.▲</w:t>
      </w:r>
      <w:r>
        <w:rPr>
          <w:rFonts w:hint="eastAsia" w:ascii="宋体" w:hAnsi="宋体" w:cs="宋体"/>
          <w:b/>
          <w:bCs/>
          <w:color w:val="auto"/>
          <w:kern w:val="0"/>
          <w:sz w:val="24"/>
          <w:szCs w:val="24"/>
          <w:highlight w:val="none"/>
        </w:rPr>
        <w:t>供应商的特定条件：无</w:t>
      </w:r>
    </w:p>
    <w:p w14:paraId="62B45CA6">
      <w:pPr>
        <w:snapToGrid w:val="0"/>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4.本项目不接受联合体磋商。</w:t>
      </w:r>
    </w:p>
    <w:p w14:paraId="2DBBBA89">
      <w:pPr>
        <w:snapToGrid w:val="0"/>
        <w:spacing w:line="360" w:lineRule="auto"/>
        <w:ind w:firstLine="482" w:firstLineChars="200"/>
        <w:rPr>
          <w:rFonts w:ascii="宋体" w:cs="Times New Roman"/>
          <w:b/>
          <w:bCs/>
          <w:color w:val="auto"/>
          <w:kern w:val="0"/>
          <w:sz w:val="24"/>
          <w:szCs w:val="24"/>
          <w:highlight w:val="none"/>
        </w:rPr>
      </w:pPr>
      <w:r>
        <w:rPr>
          <w:rFonts w:hint="eastAsia" w:ascii="宋体" w:hAnsi="宋体" w:cs="宋体"/>
          <w:b/>
          <w:bCs/>
          <w:color w:val="auto"/>
          <w:kern w:val="0"/>
          <w:sz w:val="24"/>
          <w:szCs w:val="24"/>
          <w:highlight w:val="none"/>
        </w:rPr>
        <w:t>四、磋商文件的获取</w:t>
      </w:r>
    </w:p>
    <w:p w14:paraId="4E8DCF3F">
      <w:pPr>
        <w:shd w:val="clear" w:color="auto" w:fill="FFFFFF"/>
        <w:spacing w:line="360" w:lineRule="auto"/>
        <w:ind w:firstLine="470"/>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、报名获取文件时间：</w:t>
      </w:r>
      <w:r>
        <w:rPr>
          <w:rFonts w:ascii="宋体" w:hAnsi="宋体" w:cs="宋体"/>
          <w:color w:val="auto"/>
          <w:sz w:val="24"/>
          <w:szCs w:val="24"/>
          <w:highlight w:val="none"/>
        </w:rPr>
        <w:t>2025年 月 日</w:t>
      </w:r>
      <w:r>
        <w:rPr>
          <w:rFonts w:hint="eastAsia" w:ascii="宋体" w:hAnsi="宋体" w:cs="宋体"/>
          <w:color w:val="auto"/>
          <w:sz w:val="24"/>
          <w:szCs w:val="24"/>
          <w:highlight w:val="none"/>
        </w:rPr>
        <w:t>至</w:t>
      </w:r>
      <w:r>
        <w:rPr>
          <w:rFonts w:ascii="宋体" w:hAnsi="宋体" w:cs="宋体"/>
          <w:color w:val="auto"/>
          <w:sz w:val="24"/>
          <w:szCs w:val="24"/>
          <w:highlight w:val="none"/>
        </w:rPr>
        <w:t>2025年 月 日</w:t>
      </w:r>
      <w:r>
        <w:rPr>
          <w:rFonts w:hint="eastAsia" w:ascii="宋体" w:hAnsi="宋体" w:cs="宋体"/>
          <w:color w:val="auto"/>
          <w:sz w:val="24"/>
          <w:szCs w:val="24"/>
          <w:highlight w:val="none"/>
        </w:rPr>
        <w:t>（潜在供应商获取磋商文件前应当在电子交易平台上注册账号并登录，截止时间后不再接受潜在供应商报名及获取磋商文件</w:t>
      </w:r>
      <w:r>
        <w:rPr>
          <w:rFonts w:ascii="宋体" w:hAnsi="宋体" w:cs="宋体"/>
          <w:color w:val="auto"/>
          <w:sz w:val="24"/>
          <w:szCs w:val="24"/>
          <w:highlight w:val="none"/>
        </w:rPr>
        <w:t>)</w:t>
      </w:r>
    </w:p>
    <w:p w14:paraId="34B5A94A">
      <w:pPr>
        <w:shd w:val="clear" w:color="auto" w:fill="FFFFFF"/>
        <w:spacing w:line="360" w:lineRule="auto"/>
        <w:ind w:firstLine="47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、本次磋商文件实行网上获取，不接受供应商现场报名，供应商须登录浙江政府采购网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24"/>
          <w:highlight w:val="none"/>
        </w:rPr>
        <w:t>（</w:t>
      </w:r>
      <w:r>
        <w:rPr>
          <w:rFonts w:ascii="宋体" w:hAnsi="宋体" w:cs="宋体"/>
          <w:color w:val="auto"/>
          <w:sz w:val="24"/>
          <w:szCs w:val="24"/>
          <w:highlight w:val="none"/>
        </w:rPr>
        <w:t>http://zfcg.czt.zj.gov.cn/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）进入政采云系统“项目采购”模块“获取采购文件”菜单，进行网上获取磋商文件（“政采云”注册账号、密码登录系统后获取磋商文件）。</w:t>
      </w:r>
    </w:p>
    <w:p w14:paraId="16FC8B28">
      <w:pPr>
        <w:snapToGrid w:val="0"/>
        <w:spacing w:line="360" w:lineRule="auto"/>
        <w:ind w:firstLine="482" w:firstLineChars="200"/>
        <w:rPr>
          <w:rFonts w:ascii="宋体" w:cs="Times New Roman"/>
          <w:b/>
          <w:bCs/>
          <w:color w:val="auto"/>
          <w:kern w:val="0"/>
          <w:sz w:val="24"/>
          <w:szCs w:val="24"/>
          <w:highlight w:val="none"/>
        </w:rPr>
      </w:pPr>
      <w:bookmarkStart w:id="8" w:name="_Toc6085"/>
      <w:bookmarkEnd w:id="8"/>
      <w:r>
        <w:rPr>
          <w:rFonts w:hint="eastAsia" w:ascii="宋体" w:hAnsi="宋体" w:cs="宋体"/>
          <w:b/>
          <w:bCs/>
          <w:color w:val="auto"/>
          <w:kern w:val="0"/>
          <w:sz w:val="24"/>
          <w:szCs w:val="24"/>
          <w:highlight w:val="none"/>
        </w:rPr>
        <w:t>五、</w:t>
      </w:r>
      <w:bookmarkStart w:id="9" w:name="_Toc3484"/>
      <w:bookmarkEnd w:id="9"/>
      <w:bookmarkStart w:id="10" w:name="_Toc140"/>
      <w:r>
        <w:rPr>
          <w:rFonts w:hint="eastAsia" w:ascii="宋体" w:hAnsi="宋体" w:cs="宋体"/>
          <w:b/>
          <w:bCs/>
          <w:color w:val="auto"/>
          <w:kern w:val="0"/>
          <w:sz w:val="24"/>
          <w:szCs w:val="24"/>
          <w:highlight w:val="none"/>
        </w:rPr>
        <w:t>磋商响应文件的递交及相关事宜</w:t>
      </w:r>
      <w:bookmarkEnd w:id="10"/>
      <w:r>
        <w:rPr>
          <w:rFonts w:hint="eastAsia" w:ascii="宋体" w:hAnsi="宋体" w:cs="宋体"/>
          <w:b/>
          <w:bCs/>
          <w:color w:val="auto"/>
          <w:kern w:val="0"/>
          <w:sz w:val="24"/>
          <w:szCs w:val="24"/>
          <w:highlight w:val="none"/>
        </w:rPr>
        <w:t>：</w:t>
      </w:r>
    </w:p>
    <w:p w14:paraId="69697D76">
      <w:pPr>
        <w:shd w:val="clear" w:color="auto" w:fill="FFFFFF"/>
        <w:spacing w:line="360" w:lineRule="auto"/>
        <w:ind w:firstLine="470"/>
        <w:rPr>
          <w:rFonts w:ascii="宋体" w:cs="Times New Roman"/>
          <w:color w:val="auto"/>
          <w:sz w:val="24"/>
          <w:szCs w:val="24"/>
          <w:highlight w:val="none"/>
        </w:rPr>
      </w:pPr>
      <w:bookmarkStart w:id="11" w:name="_Toc25948"/>
      <w:bookmarkEnd w:id="11"/>
      <w:bookmarkStart w:id="12" w:name="_Toc9684"/>
      <w:bookmarkEnd w:id="12"/>
      <w:bookmarkStart w:id="13" w:name="_Toc1896"/>
      <w:r>
        <w:rPr>
          <w:rFonts w:ascii="宋体" w:hAnsi="宋体" w:cs="宋体"/>
          <w:color w:val="auto"/>
          <w:sz w:val="24"/>
          <w:szCs w:val="24"/>
          <w:highlight w:val="none"/>
        </w:rPr>
        <w:t>1</w:t>
      </w:r>
      <w:bookmarkEnd w:id="13"/>
      <w:r>
        <w:rPr>
          <w:rFonts w:hint="eastAsia" w:ascii="宋体" w:hAnsi="宋体" w:cs="宋体"/>
          <w:color w:val="auto"/>
          <w:sz w:val="24"/>
          <w:szCs w:val="24"/>
          <w:highlight w:val="none"/>
        </w:rPr>
        <w:t>、磋商响应文件递交的截止时间（磋商响应截止时间，下同）：</w:t>
      </w:r>
      <w:r>
        <w:rPr>
          <w:rFonts w:ascii="宋体" w:hAnsi="宋体" w:cs="宋体"/>
          <w:color w:val="auto"/>
          <w:sz w:val="24"/>
          <w:szCs w:val="24"/>
          <w:highlight w:val="none"/>
        </w:rPr>
        <w:t>2025年 月 日14:</w:t>
      </w:r>
      <w:r>
        <w:rPr>
          <w:rFonts w:hint="eastAsia" w:ascii="宋体" w:hAnsi="宋体" w:cs="宋体"/>
          <w:color w:val="auto"/>
          <w:sz w:val="24"/>
          <w:szCs w:val="24"/>
          <w:highlight w:val="none"/>
        </w:rPr>
        <w:t>3</w:t>
      </w:r>
      <w:r>
        <w:rPr>
          <w:rFonts w:ascii="宋体" w:hAnsi="宋体" w:cs="宋体"/>
          <w:color w:val="auto"/>
          <w:sz w:val="24"/>
          <w:szCs w:val="24"/>
          <w:highlight w:val="none"/>
        </w:rPr>
        <w:t>0</w:t>
      </w:r>
      <w:r>
        <w:rPr>
          <w:rFonts w:hint="eastAsia" w:ascii="宋体" w:hAnsi="宋体" w:cs="宋体"/>
          <w:color w:val="auto"/>
          <w:sz w:val="24"/>
          <w:szCs w:val="24"/>
          <w:highlight w:val="none"/>
        </w:rPr>
        <w:t>时（北京时间）。</w:t>
      </w:r>
    </w:p>
    <w:p w14:paraId="34E4708C">
      <w:pPr>
        <w:shd w:val="clear" w:color="auto" w:fill="FFFFFF"/>
        <w:spacing w:line="360" w:lineRule="auto"/>
        <w:ind w:firstLine="47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、磋商响应文件递交方式：供应商应当在</w:t>
      </w:r>
      <w:r>
        <w:rPr>
          <w:rFonts w:ascii="宋体" w:hAnsi="宋体" w:cs="宋体"/>
          <w:color w:val="auto"/>
          <w:sz w:val="24"/>
          <w:szCs w:val="24"/>
          <w:highlight w:val="none"/>
        </w:rPr>
        <w:t>2025年 月 日14:</w:t>
      </w:r>
      <w:r>
        <w:rPr>
          <w:rFonts w:hint="eastAsia" w:ascii="宋体" w:hAnsi="宋体" w:cs="宋体"/>
          <w:color w:val="auto"/>
          <w:sz w:val="24"/>
          <w:szCs w:val="24"/>
          <w:highlight w:val="none"/>
        </w:rPr>
        <w:t>3</w:t>
      </w:r>
      <w:r>
        <w:rPr>
          <w:rFonts w:ascii="宋体" w:hAnsi="宋体" w:cs="宋体"/>
          <w:color w:val="auto"/>
          <w:sz w:val="24"/>
          <w:szCs w:val="24"/>
          <w:highlight w:val="none"/>
        </w:rPr>
        <w:t>0</w:t>
      </w:r>
      <w:r>
        <w:rPr>
          <w:rFonts w:hint="eastAsia" w:ascii="宋体" w:hAnsi="宋体" w:cs="宋体"/>
          <w:color w:val="auto"/>
          <w:sz w:val="24"/>
          <w:szCs w:val="24"/>
          <w:highlight w:val="none"/>
        </w:rPr>
        <w:t>时（北京时间）前，将生成的“电子加密响应文件”上传递交至“政采云平台”。磋商响应截止时间以后上传递交的磋商响应文件将被“政采云平台”拒收。</w:t>
      </w:r>
    </w:p>
    <w:p w14:paraId="7D42540E">
      <w:pPr>
        <w:shd w:val="clear" w:color="auto" w:fill="FFFFFF"/>
        <w:spacing w:line="360" w:lineRule="auto"/>
        <w:ind w:firstLine="47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六、磋商响应截止时间：</w:t>
      </w:r>
      <w:r>
        <w:rPr>
          <w:rFonts w:ascii="宋体" w:hAnsi="宋体" w:cs="宋体"/>
          <w:color w:val="auto"/>
          <w:sz w:val="24"/>
          <w:szCs w:val="24"/>
          <w:highlight w:val="none"/>
        </w:rPr>
        <w:t xml:space="preserve"> 2025年 月 日14:</w:t>
      </w:r>
      <w:r>
        <w:rPr>
          <w:rFonts w:hint="eastAsia" w:ascii="宋体" w:hAnsi="宋体" w:cs="宋体"/>
          <w:color w:val="auto"/>
          <w:sz w:val="24"/>
          <w:szCs w:val="24"/>
          <w:highlight w:val="none"/>
        </w:rPr>
        <w:t>3</w:t>
      </w:r>
      <w:r>
        <w:rPr>
          <w:rFonts w:ascii="宋体" w:hAnsi="宋体" w:cs="宋体"/>
          <w:color w:val="auto"/>
          <w:sz w:val="24"/>
          <w:szCs w:val="24"/>
          <w:highlight w:val="none"/>
        </w:rPr>
        <w:t>0</w:t>
      </w:r>
      <w:r>
        <w:rPr>
          <w:rFonts w:hint="eastAsia" w:ascii="宋体" w:hAnsi="宋体" w:cs="宋体"/>
          <w:color w:val="auto"/>
          <w:sz w:val="24"/>
          <w:szCs w:val="24"/>
          <w:highlight w:val="none"/>
        </w:rPr>
        <w:t>时（北京时间）</w:t>
      </w:r>
    </w:p>
    <w:p w14:paraId="64E1B1C0">
      <w:pPr>
        <w:shd w:val="clear" w:color="auto" w:fill="FFFFFF"/>
        <w:spacing w:line="360" w:lineRule="auto"/>
        <w:ind w:firstLine="470"/>
        <w:rPr>
          <w:rFonts w:ascii="宋体" w:hAnsi="宋体" w:cs="宋体"/>
          <w:color w:val="auto"/>
          <w:sz w:val="24"/>
          <w:szCs w:val="24"/>
          <w:highlight w:val="none"/>
        </w:rPr>
      </w:pPr>
      <w:r>
        <w:rPr>
          <w:rFonts w:hint="eastAsia" w:ascii="宋体" w:hAnsi="宋体" w:cs="宋体"/>
          <w:b/>
          <w:bCs/>
          <w:color w:val="auto"/>
          <w:kern w:val="0"/>
          <w:sz w:val="24"/>
          <w:szCs w:val="24"/>
          <w:highlight w:val="none"/>
        </w:rPr>
        <w:t>七、磋商地点：</w:t>
      </w:r>
      <w:r>
        <w:rPr>
          <w:rFonts w:hint="eastAsia" w:ascii="宋体" w:hAnsi="宋体" w:cs="宋体"/>
          <w:color w:val="auto"/>
          <w:sz w:val="24"/>
          <w:szCs w:val="24"/>
          <w:highlight w:val="none"/>
        </w:rPr>
        <w:t>长兴县市民服务中心四楼（长兴县锦绣路8号）公共资源交易中心开标室（届时详见四楼大屏公告栏） （通过“政府采购云平台（http://www.zcygov.cn）”实行在线投标及开标) 。</w:t>
      </w:r>
    </w:p>
    <w:p w14:paraId="1F1F88D1">
      <w:pPr>
        <w:snapToGrid w:val="0"/>
        <w:spacing w:line="360" w:lineRule="auto"/>
        <w:ind w:firstLine="472" w:firstLineChars="196"/>
        <w:rPr>
          <w:rFonts w:ascii="宋体" w:cs="Times New Roman"/>
          <w:b/>
          <w:bCs/>
          <w:color w:val="auto"/>
          <w:sz w:val="24"/>
          <w:szCs w:val="24"/>
          <w:highlight w:val="none"/>
        </w:rPr>
      </w:pPr>
      <w:r>
        <w:rPr>
          <w:rFonts w:hint="eastAsia" w:ascii="宋体" w:hAnsi="宋体" w:cs="宋体"/>
          <w:b/>
          <w:bCs/>
          <w:color w:val="auto"/>
          <w:kern w:val="0"/>
          <w:sz w:val="24"/>
          <w:szCs w:val="24"/>
          <w:highlight w:val="none"/>
        </w:rPr>
        <w:t>八、</w:t>
      </w:r>
      <w:r>
        <w:rPr>
          <w:rFonts w:hint="eastAsia" w:ascii="宋体" w:hAnsi="宋体" w:cs="宋体"/>
          <w:b/>
          <w:bCs/>
          <w:color w:val="auto"/>
          <w:sz w:val="24"/>
          <w:szCs w:val="24"/>
          <w:highlight w:val="none"/>
        </w:rPr>
        <w:t>其他事项</w:t>
      </w:r>
    </w:p>
    <w:p w14:paraId="426F8F1C">
      <w:pPr>
        <w:snapToGrid w:val="0"/>
        <w:spacing w:line="360" w:lineRule="auto"/>
        <w:ind w:firstLine="470" w:firstLineChars="196"/>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、本项目实行网上磋商，采用电子响应文件，要求供应商通过政采云系统在线磋商响应。</w:t>
      </w:r>
    </w:p>
    <w:p w14:paraId="7D8170CF">
      <w:pPr>
        <w:snapToGrid w:val="0"/>
        <w:spacing w:line="360" w:lineRule="auto"/>
        <w:ind w:firstLine="470" w:firstLineChars="196"/>
        <w:rPr>
          <w:rFonts w:ascii="宋体" w:cs="Times New Roman"/>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个工作日内提出。根据《中华人民共和国财政部令第</w:t>
      </w:r>
      <w:r>
        <w:rPr>
          <w:rFonts w:ascii="宋体" w:hAnsi="宋体" w:cs="宋体"/>
          <w:color w:val="auto"/>
          <w:kern w:val="0"/>
          <w:sz w:val="24"/>
          <w:szCs w:val="24"/>
          <w:highlight w:val="none"/>
        </w:rPr>
        <w:t>94</w:t>
      </w:r>
      <w:r>
        <w:rPr>
          <w:rFonts w:hint="eastAsia" w:ascii="宋体" w:hAnsi="宋体" w:cs="宋体"/>
          <w:color w:val="auto"/>
          <w:kern w:val="0"/>
          <w:sz w:val="24"/>
          <w:szCs w:val="24"/>
          <w:highlight w:val="none"/>
        </w:rPr>
        <w:t>号</w:t>
      </w:r>
      <w:r>
        <w:rPr>
          <w:rFonts w:ascii="宋体" w:cs="宋体"/>
          <w:color w:val="auto"/>
          <w:kern w:val="0"/>
          <w:sz w:val="24"/>
          <w:szCs w:val="24"/>
          <w:highlight w:val="none"/>
        </w:rPr>
        <w:t>-</w:t>
      </w:r>
      <w:r>
        <w:rPr>
          <w:rFonts w:hint="eastAsia" w:ascii="宋体" w:hAnsi="宋体" w:cs="宋体"/>
          <w:color w:val="auto"/>
          <w:kern w:val="0"/>
          <w:sz w:val="24"/>
          <w:szCs w:val="24"/>
          <w:highlight w:val="none"/>
        </w:rPr>
        <w:t>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14:paraId="0BE2E2A1">
      <w:pPr>
        <w:snapToGrid w:val="0"/>
        <w:spacing w:line="360" w:lineRule="auto"/>
        <w:ind w:firstLine="470" w:firstLineChars="196"/>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、本项目公告期限：</w:t>
      </w:r>
      <w:r>
        <w:rPr>
          <w:rFonts w:ascii="宋体" w:cs="宋体"/>
          <w:color w:val="auto"/>
          <w:sz w:val="24"/>
          <w:szCs w:val="24"/>
          <w:highlight w:val="none"/>
        </w:rPr>
        <w:t>3</w:t>
      </w:r>
      <w:r>
        <w:rPr>
          <w:rFonts w:hint="eastAsia" w:ascii="宋体" w:hAnsi="宋体" w:cs="宋体"/>
          <w:color w:val="auto"/>
          <w:sz w:val="24"/>
          <w:szCs w:val="24"/>
          <w:highlight w:val="none"/>
        </w:rPr>
        <w:t>个工作日。</w:t>
      </w:r>
    </w:p>
    <w:p w14:paraId="0980D027">
      <w:pPr>
        <w:snapToGrid w:val="0"/>
        <w:spacing w:line="360" w:lineRule="auto"/>
        <w:ind w:firstLine="470" w:firstLineChars="196"/>
        <w:rPr>
          <w:rFonts w:ascii="宋体" w:cs="Times New Roman"/>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、本项目公告发布网站：“浙江省政府采购网”（</w:t>
      </w:r>
      <w:r>
        <w:rPr>
          <w:rFonts w:ascii="宋体" w:hAnsi="宋体" w:cs="宋体"/>
          <w:color w:val="auto"/>
          <w:sz w:val="24"/>
          <w:szCs w:val="24"/>
          <w:highlight w:val="none"/>
        </w:rPr>
        <w:t>http://zfcg.czt.zj.gov.cn/)</w:t>
      </w:r>
      <w:r>
        <w:rPr>
          <w:rFonts w:hint="eastAsia" w:ascii="宋体" w:hAnsi="宋体" w:cs="宋体"/>
          <w:color w:val="auto"/>
          <w:sz w:val="24"/>
          <w:szCs w:val="24"/>
          <w:highlight w:val="none"/>
        </w:rPr>
        <w:t>和湖州市公共资源交易信息网</w:t>
      </w:r>
      <w:r>
        <w:rPr>
          <w:rFonts w:ascii="宋体" w:hAnsi="宋体" w:cs="宋体"/>
          <w:color w:val="auto"/>
          <w:sz w:val="24"/>
          <w:szCs w:val="24"/>
          <w:highlight w:val="none"/>
        </w:rPr>
        <w:t>http://ggzy.huzhou.gov.cn/hzfront/)</w:t>
      </w:r>
      <w:r>
        <w:rPr>
          <w:rFonts w:hint="eastAsia" w:ascii="宋体" w:hAnsi="宋体" w:cs="宋体"/>
          <w:color w:val="auto"/>
          <w:sz w:val="24"/>
          <w:szCs w:val="24"/>
          <w:highlight w:val="none"/>
        </w:rPr>
        <w:t>“政府采购”“分散采购”版块。</w:t>
      </w:r>
    </w:p>
    <w:p w14:paraId="6B0C0AB3">
      <w:pPr>
        <w:snapToGrid w:val="0"/>
        <w:spacing w:line="360" w:lineRule="auto"/>
        <w:ind w:firstLine="470" w:firstLineChars="196"/>
        <w:rPr>
          <w:rFonts w:ascii="宋体" w:cs="Times New Roman"/>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、为有效破解当前中小微企业面临的</w:t>
      </w:r>
      <w:r>
        <w:rPr>
          <w:rFonts w:hint="eastAsia" w:ascii="宋体" w:cs="宋体"/>
          <w:color w:val="auto"/>
          <w:sz w:val="24"/>
          <w:szCs w:val="24"/>
          <w:highlight w:val="none"/>
        </w:rPr>
        <w:t>“</w:t>
      </w:r>
      <w:r>
        <w:rPr>
          <w:rFonts w:hint="eastAsia" w:ascii="宋体" w:hAnsi="宋体" w:cs="宋体"/>
          <w:color w:val="auto"/>
          <w:sz w:val="24"/>
          <w:szCs w:val="24"/>
          <w:highlight w:val="none"/>
        </w:rPr>
        <w:t>融资难、融资贵</w:t>
      </w:r>
      <w:r>
        <w:rPr>
          <w:rFonts w:hint="eastAsia" w:ascii="宋体" w:cs="宋体"/>
          <w:color w:val="auto"/>
          <w:sz w:val="24"/>
          <w:szCs w:val="24"/>
          <w:highlight w:val="none"/>
        </w:rPr>
        <w:t>”</w:t>
      </w:r>
      <w:r>
        <w:rPr>
          <w:rFonts w:hint="eastAsia" w:ascii="宋体" w:hAnsi="宋体" w:cs="宋体"/>
          <w:color w:val="auto"/>
          <w:sz w:val="24"/>
          <w:szCs w:val="24"/>
          <w:highlight w:val="none"/>
        </w:rPr>
        <w:t>困局，充分发挥好政府采购扶持小微企业发展的政策功能，本项目中标供应商可凭中标通知书等材料至</w:t>
      </w:r>
      <w:r>
        <w:rPr>
          <w:rFonts w:hint="eastAsia" w:ascii="宋体" w:cs="宋体"/>
          <w:color w:val="auto"/>
          <w:sz w:val="24"/>
          <w:szCs w:val="24"/>
          <w:highlight w:val="none"/>
        </w:rPr>
        <w:t>“</w:t>
      </w:r>
      <w:r>
        <w:rPr>
          <w:rFonts w:hint="eastAsia" w:ascii="宋体" w:hAnsi="宋体" w:cs="宋体"/>
          <w:color w:val="auto"/>
          <w:sz w:val="24"/>
          <w:szCs w:val="24"/>
          <w:highlight w:val="none"/>
        </w:rPr>
        <w:t>绿贷通平台</w:t>
      </w:r>
      <w:r>
        <w:rPr>
          <w:rFonts w:hint="eastAsia" w:ascii="宋体" w:cs="宋体"/>
          <w:color w:val="auto"/>
          <w:sz w:val="24"/>
          <w:szCs w:val="24"/>
          <w:highlight w:val="none"/>
        </w:rPr>
        <w:t>”</w:t>
      </w:r>
      <w:r>
        <w:rPr>
          <w:rFonts w:hint="eastAsia" w:ascii="宋体" w:hAnsi="宋体" w:cs="宋体"/>
          <w:color w:val="auto"/>
          <w:sz w:val="24"/>
          <w:szCs w:val="24"/>
          <w:highlight w:val="none"/>
        </w:rPr>
        <w:t>网页（</w:t>
      </w:r>
      <w:r>
        <w:rPr>
          <w:rFonts w:ascii="宋体" w:cs="Times New Roman"/>
          <w:color w:val="auto"/>
          <w:sz w:val="24"/>
          <w:szCs w:val="24"/>
          <w:highlight w:val="none"/>
        </w:rPr>
        <w:drawing>
          <wp:inline distT="0" distB="0" distL="114300" distR="114300">
            <wp:extent cx="190500" cy="142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cs="宋体"/>
          <w:color w:val="auto"/>
          <w:sz w:val="24"/>
          <w:szCs w:val="24"/>
          <w:highlight w:val="none"/>
        </w:rPr>
        <w:t>https://lvdt.huzldt.com</w:t>
      </w:r>
      <w:r>
        <w:rPr>
          <w:rFonts w:hint="eastAsia" w:ascii="宋体" w:hAnsi="宋体" w:cs="宋体"/>
          <w:color w:val="auto"/>
          <w:sz w:val="24"/>
          <w:szCs w:val="24"/>
          <w:highlight w:val="none"/>
        </w:rPr>
        <w:t>）或</w:t>
      </w:r>
      <w:r>
        <w:rPr>
          <w:rFonts w:hint="eastAsia" w:ascii="宋体" w:cs="宋体"/>
          <w:color w:val="auto"/>
          <w:sz w:val="24"/>
          <w:szCs w:val="24"/>
          <w:highlight w:val="none"/>
        </w:rPr>
        <w:t>“</w:t>
      </w:r>
      <w:r>
        <w:rPr>
          <w:rFonts w:hint="eastAsia" w:ascii="宋体" w:hAnsi="宋体" w:cs="宋体"/>
          <w:color w:val="auto"/>
          <w:sz w:val="24"/>
          <w:szCs w:val="24"/>
          <w:highlight w:val="none"/>
        </w:rPr>
        <w:t>政采贷</w:t>
      </w:r>
      <w:r>
        <w:rPr>
          <w:rFonts w:hint="eastAsia" w:ascii="宋体" w:cs="宋体"/>
          <w:color w:val="auto"/>
          <w:sz w:val="24"/>
          <w:szCs w:val="24"/>
          <w:highlight w:val="none"/>
        </w:rPr>
        <w:t>”</w:t>
      </w:r>
      <w:r>
        <w:rPr>
          <w:rFonts w:hint="eastAsia" w:ascii="宋体" w:hAnsi="宋体" w:cs="宋体"/>
          <w:color w:val="auto"/>
          <w:sz w:val="24"/>
          <w:szCs w:val="24"/>
          <w:highlight w:val="none"/>
        </w:rPr>
        <w:t>平台网页（</w:t>
      </w:r>
      <w:r>
        <w:rPr>
          <w:rFonts w:ascii="宋体" w:cs="Times New Roman"/>
          <w:color w:val="auto"/>
          <w:sz w:val="24"/>
          <w:szCs w:val="24"/>
          <w:highlight w:val="none"/>
        </w:rPr>
        <w:drawing>
          <wp:inline distT="0" distB="0" distL="114300" distR="114300">
            <wp:extent cx="190500"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cs="宋体"/>
          <w:color w:val="auto"/>
          <w:sz w:val="24"/>
          <w:szCs w:val="24"/>
          <w:highlight w:val="none"/>
        </w:rPr>
        <w:t>www.zcygov.cn</w:t>
      </w:r>
      <w:r>
        <w:rPr>
          <w:rFonts w:hint="eastAsia" w:ascii="宋体" w:hAnsi="宋体" w:cs="宋体"/>
          <w:color w:val="auto"/>
          <w:sz w:val="24"/>
          <w:szCs w:val="24"/>
          <w:highlight w:val="none"/>
        </w:rPr>
        <w:t>）申请相关融资产品。具体操作方式可在</w:t>
      </w:r>
      <w:r>
        <w:rPr>
          <w:rFonts w:hint="eastAsia" w:ascii="宋体" w:cs="宋体"/>
          <w:color w:val="auto"/>
          <w:sz w:val="24"/>
          <w:szCs w:val="24"/>
          <w:highlight w:val="none"/>
        </w:rPr>
        <w:t>“</w:t>
      </w:r>
      <w:r>
        <w:rPr>
          <w:rFonts w:hint="eastAsia" w:ascii="宋体" w:hAnsi="宋体" w:cs="宋体"/>
          <w:color w:val="auto"/>
          <w:sz w:val="24"/>
          <w:szCs w:val="24"/>
          <w:highlight w:val="none"/>
        </w:rPr>
        <w:t>绿贷通</w:t>
      </w:r>
      <w:r>
        <w:rPr>
          <w:rFonts w:hint="eastAsia" w:ascii="宋体" w:cs="宋体"/>
          <w:color w:val="auto"/>
          <w:sz w:val="24"/>
          <w:szCs w:val="24"/>
          <w:highlight w:val="none"/>
        </w:rPr>
        <w:t>”</w:t>
      </w:r>
      <w:r>
        <w:rPr>
          <w:rFonts w:hint="eastAsia" w:ascii="宋体" w:hAnsi="宋体" w:cs="宋体"/>
          <w:color w:val="auto"/>
          <w:sz w:val="24"/>
          <w:szCs w:val="24"/>
          <w:highlight w:val="none"/>
        </w:rPr>
        <w:t>或</w:t>
      </w:r>
      <w:r>
        <w:rPr>
          <w:rFonts w:hint="eastAsia" w:ascii="宋体" w:cs="宋体"/>
          <w:color w:val="auto"/>
          <w:sz w:val="24"/>
          <w:szCs w:val="24"/>
          <w:highlight w:val="none"/>
        </w:rPr>
        <w:t>“</w:t>
      </w:r>
      <w:r>
        <w:rPr>
          <w:rFonts w:hint="eastAsia" w:ascii="宋体" w:hAnsi="宋体" w:cs="宋体"/>
          <w:color w:val="auto"/>
          <w:sz w:val="24"/>
          <w:szCs w:val="24"/>
          <w:highlight w:val="none"/>
        </w:rPr>
        <w:t>政采贷</w:t>
      </w:r>
      <w:r>
        <w:rPr>
          <w:rFonts w:hint="eastAsia" w:ascii="宋体" w:cs="宋体"/>
          <w:color w:val="auto"/>
          <w:sz w:val="24"/>
          <w:szCs w:val="24"/>
          <w:highlight w:val="none"/>
        </w:rPr>
        <w:t>”</w:t>
      </w:r>
      <w:r>
        <w:rPr>
          <w:rFonts w:hint="eastAsia" w:ascii="宋体" w:hAnsi="宋体" w:cs="宋体"/>
          <w:color w:val="auto"/>
          <w:sz w:val="24"/>
          <w:szCs w:val="24"/>
          <w:highlight w:val="none"/>
        </w:rPr>
        <w:t>平台网站查询，也可向</w:t>
      </w:r>
      <w:r>
        <w:rPr>
          <w:rFonts w:hint="eastAsia" w:ascii="宋体" w:cs="宋体"/>
          <w:color w:val="auto"/>
          <w:sz w:val="24"/>
          <w:szCs w:val="24"/>
          <w:highlight w:val="none"/>
        </w:rPr>
        <w:t>“</w:t>
      </w:r>
      <w:r>
        <w:rPr>
          <w:rFonts w:hint="eastAsia" w:ascii="宋体" w:hAnsi="宋体" w:cs="宋体"/>
          <w:color w:val="auto"/>
          <w:sz w:val="24"/>
          <w:szCs w:val="24"/>
          <w:highlight w:val="none"/>
        </w:rPr>
        <w:t>绿贷通</w:t>
      </w:r>
      <w:r>
        <w:rPr>
          <w:rFonts w:hint="eastAsia" w:ascii="宋体" w:cs="宋体"/>
          <w:color w:val="auto"/>
          <w:sz w:val="24"/>
          <w:szCs w:val="24"/>
          <w:highlight w:val="none"/>
        </w:rPr>
        <w:t>”</w:t>
      </w:r>
      <w:r>
        <w:rPr>
          <w:rFonts w:hint="eastAsia" w:ascii="宋体" w:hAnsi="宋体" w:cs="宋体"/>
          <w:color w:val="auto"/>
          <w:sz w:val="24"/>
          <w:szCs w:val="24"/>
          <w:highlight w:val="none"/>
        </w:rPr>
        <w:t>或</w:t>
      </w:r>
      <w:r>
        <w:rPr>
          <w:rFonts w:hint="eastAsia" w:ascii="宋体" w:cs="宋体"/>
          <w:color w:val="auto"/>
          <w:sz w:val="24"/>
          <w:szCs w:val="24"/>
          <w:highlight w:val="none"/>
        </w:rPr>
        <w:t>“</w:t>
      </w:r>
      <w:r>
        <w:rPr>
          <w:rFonts w:hint="eastAsia" w:ascii="宋体" w:hAnsi="宋体" w:cs="宋体"/>
          <w:color w:val="auto"/>
          <w:sz w:val="24"/>
          <w:szCs w:val="24"/>
          <w:highlight w:val="none"/>
        </w:rPr>
        <w:t>政采贷</w:t>
      </w:r>
      <w:r>
        <w:rPr>
          <w:rFonts w:hint="eastAsia" w:ascii="宋体" w:cs="宋体"/>
          <w:color w:val="auto"/>
          <w:sz w:val="24"/>
          <w:szCs w:val="24"/>
          <w:highlight w:val="none"/>
        </w:rPr>
        <w:t>”</w:t>
      </w:r>
      <w:r>
        <w:rPr>
          <w:rFonts w:hint="eastAsia" w:ascii="宋体" w:hAnsi="宋体" w:cs="宋体"/>
          <w:color w:val="auto"/>
          <w:sz w:val="24"/>
          <w:szCs w:val="24"/>
          <w:highlight w:val="none"/>
        </w:rPr>
        <w:t>平台电话咨询（</w:t>
      </w:r>
      <w:r>
        <w:rPr>
          <w:rFonts w:hint="eastAsia" w:ascii="宋体" w:cs="宋体"/>
          <w:color w:val="auto"/>
          <w:sz w:val="24"/>
          <w:szCs w:val="24"/>
          <w:highlight w:val="none"/>
        </w:rPr>
        <w:t>“</w:t>
      </w:r>
      <w:r>
        <w:rPr>
          <w:rFonts w:hint="eastAsia" w:ascii="宋体" w:hAnsi="宋体" w:cs="宋体"/>
          <w:color w:val="auto"/>
          <w:sz w:val="24"/>
          <w:szCs w:val="24"/>
          <w:highlight w:val="none"/>
        </w:rPr>
        <w:t>绿贷通</w:t>
      </w:r>
      <w:r>
        <w:rPr>
          <w:rFonts w:hint="eastAsia" w:ascii="宋体" w:cs="宋体"/>
          <w:color w:val="auto"/>
          <w:sz w:val="24"/>
          <w:szCs w:val="24"/>
          <w:highlight w:val="none"/>
        </w:rPr>
        <w:t>”</w:t>
      </w:r>
      <w:r>
        <w:rPr>
          <w:rFonts w:hint="eastAsia" w:ascii="宋体" w:hAnsi="宋体" w:cs="宋体"/>
          <w:color w:val="auto"/>
          <w:sz w:val="24"/>
          <w:szCs w:val="24"/>
          <w:highlight w:val="none"/>
        </w:rPr>
        <w:t>联系电话：</w:t>
      </w:r>
      <w:r>
        <w:rPr>
          <w:rFonts w:ascii="宋体" w:hAnsi="宋体" w:cs="宋体"/>
          <w:color w:val="auto"/>
          <w:sz w:val="24"/>
          <w:szCs w:val="24"/>
          <w:highlight w:val="none"/>
        </w:rPr>
        <w:t>0572-2392590</w:t>
      </w:r>
      <w:r>
        <w:rPr>
          <w:rFonts w:hint="eastAsia" w:ascii="宋体" w:hAnsi="宋体" w:cs="宋体"/>
          <w:color w:val="auto"/>
          <w:sz w:val="24"/>
          <w:szCs w:val="24"/>
          <w:highlight w:val="none"/>
        </w:rPr>
        <w:t>、</w:t>
      </w:r>
      <w:r>
        <w:rPr>
          <w:rFonts w:hint="eastAsia" w:ascii="宋体" w:cs="宋体"/>
          <w:color w:val="auto"/>
          <w:sz w:val="24"/>
          <w:szCs w:val="24"/>
          <w:highlight w:val="none"/>
        </w:rPr>
        <w:t>“</w:t>
      </w:r>
      <w:r>
        <w:rPr>
          <w:rFonts w:hint="eastAsia" w:ascii="宋体" w:hAnsi="宋体" w:cs="宋体"/>
          <w:color w:val="auto"/>
          <w:sz w:val="24"/>
          <w:szCs w:val="24"/>
          <w:highlight w:val="none"/>
        </w:rPr>
        <w:t>政采贷</w:t>
      </w:r>
      <w:r>
        <w:rPr>
          <w:rFonts w:hint="eastAsia" w:ascii="宋体" w:cs="宋体"/>
          <w:color w:val="auto"/>
          <w:sz w:val="24"/>
          <w:szCs w:val="24"/>
          <w:highlight w:val="none"/>
        </w:rPr>
        <w:t>”</w:t>
      </w:r>
      <w:r>
        <w:rPr>
          <w:rFonts w:hint="eastAsia" w:ascii="宋体" w:hAnsi="宋体" w:cs="宋体"/>
          <w:color w:val="auto"/>
          <w:sz w:val="24"/>
          <w:szCs w:val="24"/>
          <w:highlight w:val="none"/>
        </w:rPr>
        <w:t>联系电话：</w:t>
      </w:r>
      <w:r>
        <w:rPr>
          <w:rFonts w:ascii="宋体" w:hAnsi="宋体" w:cs="宋体"/>
          <w:color w:val="auto"/>
          <w:sz w:val="24"/>
          <w:szCs w:val="24"/>
          <w:highlight w:val="none"/>
        </w:rPr>
        <w:t>0572-2151055</w:t>
      </w:r>
      <w:r>
        <w:rPr>
          <w:rFonts w:hint="eastAsia" w:ascii="宋体" w:hAnsi="宋体" w:cs="宋体"/>
          <w:color w:val="auto"/>
          <w:sz w:val="24"/>
          <w:szCs w:val="24"/>
          <w:highlight w:val="none"/>
        </w:rPr>
        <w:t>、</w:t>
      </w:r>
      <w:r>
        <w:rPr>
          <w:rFonts w:ascii="宋体" w:hAnsi="宋体" w:cs="宋体"/>
          <w:color w:val="auto"/>
          <w:sz w:val="24"/>
          <w:szCs w:val="24"/>
          <w:highlight w:val="none"/>
        </w:rPr>
        <w:t>18698580797</w:t>
      </w:r>
      <w:r>
        <w:rPr>
          <w:rFonts w:hint="eastAsia" w:ascii="宋体" w:hAnsi="宋体" w:cs="宋体"/>
          <w:color w:val="auto"/>
          <w:sz w:val="24"/>
          <w:szCs w:val="24"/>
          <w:highlight w:val="none"/>
        </w:rPr>
        <w:t>）。</w:t>
      </w:r>
    </w:p>
    <w:p w14:paraId="263E0BFA">
      <w:pPr>
        <w:snapToGrid w:val="0"/>
        <w:spacing w:line="360" w:lineRule="auto"/>
        <w:ind w:firstLine="470" w:firstLineChars="196"/>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、根据《政府采购促进中小企业发展管理办法</w:t>
      </w:r>
      <w:r>
        <w:rPr>
          <w:rFonts w:ascii="宋体" w:hAnsi="宋体" w:cs="宋体"/>
          <w:color w:val="auto"/>
          <w:sz w:val="24"/>
          <w:szCs w:val="24"/>
          <w:highlight w:val="none"/>
        </w:rPr>
        <w:t>》</w:t>
      </w:r>
      <w:r>
        <w:rPr>
          <w:rFonts w:hint="eastAsia" w:ascii="宋体" w:hAnsi="宋体" w:cs="宋体"/>
          <w:color w:val="auto"/>
          <w:sz w:val="24"/>
          <w:szCs w:val="24"/>
          <w:highlight w:val="none"/>
        </w:rPr>
        <w:t>，本项目是否专门面向中小企业采购：是。</w:t>
      </w:r>
    </w:p>
    <w:p w14:paraId="72D26E69">
      <w:pPr>
        <w:snapToGrid w:val="0"/>
        <w:spacing w:line="360" w:lineRule="auto"/>
        <w:ind w:firstLine="540" w:firstLineChars="225"/>
        <w:rPr>
          <w:rFonts w:ascii="宋体" w:cs="Times New Roman"/>
          <w:color w:val="auto"/>
          <w:sz w:val="24"/>
          <w:szCs w:val="24"/>
          <w:highlight w:val="none"/>
        </w:rPr>
      </w:pPr>
      <w:r>
        <w:rPr>
          <w:rFonts w:hint="eastAsia" w:ascii="宋体" w:hAnsi="宋体" w:cs="宋体"/>
          <w:color w:val="auto"/>
          <w:sz w:val="24"/>
          <w:szCs w:val="24"/>
          <w:highlight w:val="none"/>
        </w:rPr>
        <w:t>7、备份响应文件：（</w:t>
      </w:r>
      <w:r>
        <w:rPr>
          <w:rFonts w:ascii="宋体" w:hAnsi="宋体" w:cs="宋体"/>
          <w:color w:val="auto"/>
          <w:sz w:val="24"/>
          <w:szCs w:val="24"/>
          <w:highlight w:val="none"/>
        </w:rPr>
        <w:t>1)</w:t>
      </w:r>
      <w:r>
        <w:rPr>
          <w:rFonts w:hint="eastAsia" w:ascii="宋体" w:hAnsi="宋体" w:cs="宋体"/>
          <w:color w:val="auto"/>
          <w:sz w:val="24"/>
          <w:szCs w:val="24"/>
          <w:highlight w:val="none"/>
        </w:rPr>
        <w:t>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14:paraId="615D4084">
      <w:pPr>
        <w:snapToGrid w:val="0"/>
        <w:spacing w:line="360" w:lineRule="auto"/>
        <w:ind w:firstLine="540" w:firstLineChars="225"/>
        <w:rPr>
          <w:rFonts w:ascii="宋体" w:cs="Times New Roman"/>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备份响应文件：</w:t>
      </w:r>
      <w:r>
        <w:rPr>
          <w:rFonts w:ascii="宋体" w:hAnsi="宋体" w:cs="宋体"/>
          <w:color w:val="auto"/>
          <w:sz w:val="24"/>
          <w:szCs w:val="24"/>
          <w:highlight w:val="none"/>
        </w:rPr>
        <w:t>1</w:t>
      </w:r>
      <w:r>
        <w:rPr>
          <w:rFonts w:hint="eastAsia" w:ascii="宋体" w:hAnsi="宋体" w:cs="宋体"/>
          <w:color w:val="auto"/>
          <w:sz w:val="24"/>
          <w:szCs w:val="24"/>
          <w:highlight w:val="none"/>
        </w:rPr>
        <w:t>份。以介质存储的数据电文形式的备份响应文件（</w:t>
      </w:r>
      <w:r>
        <w:rPr>
          <w:rFonts w:ascii="宋体" w:hAnsi="宋体" w:cs="宋体"/>
          <w:color w:val="auto"/>
          <w:sz w:val="24"/>
          <w:szCs w:val="24"/>
          <w:highlight w:val="none"/>
        </w:rPr>
        <w:t>BFBS</w:t>
      </w:r>
      <w:r>
        <w:rPr>
          <w:rFonts w:hint="eastAsia" w:ascii="宋体" w:hAnsi="宋体" w:cs="宋体"/>
          <w:color w:val="auto"/>
          <w:sz w:val="24"/>
          <w:szCs w:val="24"/>
          <w:highlight w:val="none"/>
        </w:rPr>
        <w:t>格式</w:t>
      </w:r>
      <w:r>
        <w:rPr>
          <w:rFonts w:ascii="宋体" w:hAnsi="宋体" w:cs="宋体"/>
          <w:color w:val="auto"/>
          <w:sz w:val="24"/>
          <w:szCs w:val="24"/>
          <w:highlight w:val="none"/>
        </w:rPr>
        <w:t>)</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电子交易操作指南中上传的电子响应文件格式，以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盘形式存储提供</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U</w:t>
      </w:r>
      <w:r>
        <w:rPr>
          <w:rFonts w:hint="eastAsia" w:ascii="宋体" w:hAnsi="宋体" w:cs="宋体"/>
          <w:color w:val="auto"/>
          <w:sz w:val="24"/>
          <w:szCs w:val="24"/>
          <w:highlight w:val="none"/>
        </w:rPr>
        <w:t>盘盘面上粘贴标签，标注单位名称，装入一个外包封袋中进行邮寄。邮寄时，总的外包封袋上可不注明单位名称，但应注明单位的联系人、联系电话及项目名称。</w:t>
      </w:r>
      <w:r>
        <w:rPr>
          <w:rFonts w:hint="eastAsia" w:ascii="宋体" w:hAnsi="宋体" w:cs="宋体"/>
          <w:color w:val="auto"/>
          <w:kern w:val="0"/>
          <w:sz w:val="24"/>
          <w:szCs w:val="24"/>
          <w:highlight w:val="none"/>
        </w:rPr>
        <w:t>邮寄地址为：浙江华耀建设咨询有限公司（湖州市静江公寓</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单元</w:t>
      </w:r>
      <w:r>
        <w:rPr>
          <w:rFonts w:ascii="宋体" w:hAnsi="宋体" w:cs="宋体"/>
          <w:color w:val="auto"/>
          <w:kern w:val="0"/>
          <w:sz w:val="24"/>
          <w:szCs w:val="24"/>
          <w:highlight w:val="none"/>
        </w:rPr>
        <w:t>1101</w:t>
      </w:r>
      <w:r>
        <w:rPr>
          <w:rFonts w:hint="eastAsia" w:ascii="宋体" w:hAnsi="宋体" w:cs="宋体"/>
          <w:color w:val="auto"/>
          <w:kern w:val="0"/>
          <w:sz w:val="24"/>
          <w:szCs w:val="24"/>
          <w:highlight w:val="none"/>
        </w:rPr>
        <w:t>室），联系人：张治中，联系电话：</w:t>
      </w:r>
      <w:r>
        <w:rPr>
          <w:rFonts w:ascii="宋体" w:hAnsi="宋体" w:cs="宋体"/>
          <w:color w:val="auto"/>
          <w:kern w:val="0"/>
          <w:sz w:val="24"/>
          <w:szCs w:val="24"/>
          <w:highlight w:val="none"/>
        </w:rPr>
        <w:t>0572-2198738</w:t>
      </w:r>
      <w:r>
        <w:rPr>
          <w:rFonts w:hint="eastAsia" w:ascii="宋体" w:hAnsi="宋体" w:cs="宋体"/>
          <w:color w:val="auto"/>
          <w:kern w:val="0"/>
          <w:sz w:val="24"/>
          <w:szCs w:val="24"/>
          <w:highlight w:val="none"/>
        </w:rPr>
        <w:t>。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w:t>
      </w:r>
      <w:r>
        <w:rPr>
          <w:rFonts w:ascii="宋体" w:hAnsi="宋体" w:cs="宋体"/>
          <w:color w:val="auto"/>
          <w:kern w:val="0"/>
          <w:sz w:val="24"/>
          <w:szCs w:val="24"/>
          <w:highlight w:val="none"/>
        </w:rPr>
        <w:t>U</w:t>
      </w:r>
      <w:r>
        <w:rPr>
          <w:rFonts w:hint="eastAsia" w:ascii="宋体" w:hAnsi="宋体" w:cs="宋体"/>
          <w:color w:val="auto"/>
          <w:kern w:val="0"/>
          <w:sz w:val="24"/>
          <w:szCs w:val="24"/>
          <w:highlight w:val="none"/>
        </w:rPr>
        <w:t>盘）应在响应截止时间前送达，超过响应截止时间前送达的，按未提供处理。</w:t>
      </w:r>
    </w:p>
    <w:p w14:paraId="45C3310A">
      <w:pPr>
        <w:shd w:val="clear" w:color="auto" w:fill="FFFFFF"/>
        <w:spacing w:line="360" w:lineRule="auto"/>
        <w:ind w:firstLine="470"/>
        <w:rPr>
          <w:rFonts w:ascii="宋体" w:cs="Times New Roman"/>
          <w:color w:val="auto"/>
          <w:sz w:val="24"/>
          <w:szCs w:val="24"/>
          <w:highlight w:val="none"/>
        </w:rPr>
      </w:pPr>
      <w:r>
        <w:rPr>
          <w:rFonts w:hint="eastAsia" w:ascii="宋体" w:hAnsi="宋体" w:cs="宋体"/>
          <w:color w:val="auto"/>
          <w:sz w:val="24"/>
          <w:szCs w:val="24"/>
          <w:highlight w:val="none"/>
        </w:rPr>
        <w:t>8、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14:paraId="75C8C5F4">
      <w:pPr>
        <w:shd w:val="clear" w:color="auto" w:fill="FFFFFF"/>
        <w:spacing w:line="360" w:lineRule="auto"/>
        <w:ind w:firstLine="470"/>
        <w:rPr>
          <w:rFonts w:ascii="宋体" w:cs="Times New Roman"/>
          <w:color w:val="auto"/>
          <w:sz w:val="24"/>
          <w:szCs w:val="24"/>
          <w:highlight w:val="none"/>
        </w:rPr>
      </w:pPr>
      <w:r>
        <w:rPr>
          <w:rFonts w:hint="eastAsia" w:ascii="宋体" w:hAnsi="宋体" w:cs="宋体"/>
          <w:color w:val="auto"/>
          <w:sz w:val="24"/>
          <w:szCs w:val="24"/>
          <w:highlight w:val="none"/>
        </w:rPr>
        <w:t>9、因本次磋商为全流程电子化交易，请各供应商自备可联网的电脑及</w:t>
      </w:r>
      <w:r>
        <w:rPr>
          <w:rFonts w:ascii="宋体" w:hAnsi="宋体" w:cs="宋体"/>
          <w:color w:val="auto"/>
          <w:sz w:val="24"/>
          <w:szCs w:val="24"/>
          <w:highlight w:val="none"/>
        </w:rPr>
        <w:t>CA</w:t>
      </w:r>
      <w:r>
        <w:rPr>
          <w:rFonts w:hint="eastAsia" w:ascii="宋体" w:hAnsi="宋体" w:cs="宋体"/>
          <w:color w:val="auto"/>
          <w:sz w:val="24"/>
          <w:szCs w:val="24"/>
          <w:highlight w:val="none"/>
        </w:rPr>
        <w:t>锁，最终报价由各供应商在规定的时间内在政采云平台在线完成。政采云平台在线报价操作失败的，供应商应及时联系采购代理机构，通过指定的电子邮箱提供。</w:t>
      </w:r>
    </w:p>
    <w:p w14:paraId="088FCFFF">
      <w:pPr>
        <w:shd w:val="clear" w:color="auto" w:fill="FFFFFF"/>
        <w:spacing w:line="360" w:lineRule="auto"/>
        <w:ind w:firstLine="470"/>
        <w:rPr>
          <w:rFonts w:ascii="宋体" w:cs="Times New Roman"/>
          <w:color w:val="auto"/>
          <w:sz w:val="24"/>
          <w:szCs w:val="24"/>
          <w:highlight w:val="none"/>
        </w:rPr>
      </w:pPr>
      <w:r>
        <w:rPr>
          <w:rFonts w:hint="eastAsia" w:ascii="宋体" w:hAnsi="宋体" w:cs="宋体"/>
          <w:color w:val="auto"/>
          <w:sz w:val="24"/>
          <w:szCs w:val="24"/>
          <w:highlight w:val="none"/>
        </w:rPr>
        <w:t>10、为确保网上操作合法、有效和安全，供应商应当在磋商截止时间前完成在“政府采购云平台”的身份认证，确保在电子磋商过程中能够对相关数据电文进行加密和使用电子签章。使用“政采云电子交易客户端”需要提前申领</w:t>
      </w:r>
      <w:r>
        <w:rPr>
          <w:rFonts w:ascii="宋体" w:hAnsi="宋体" w:cs="宋体"/>
          <w:color w:val="auto"/>
          <w:sz w:val="24"/>
          <w:szCs w:val="24"/>
          <w:highlight w:val="none"/>
        </w:rPr>
        <w:t>CA</w:t>
      </w:r>
      <w:r>
        <w:rPr>
          <w:rFonts w:hint="eastAsia" w:ascii="宋体" w:hAnsi="宋体" w:cs="宋体"/>
          <w:color w:val="auto"/>
          <w:sz w:val="24"/>
          <w:szCs w:val="24"/>
          <w:highlight w:val="none"/>
        </w:rPr>
        <w:t>数字证书（完成</w:t>
      </w:r>
      <w:r>
        <w:rPr>
          <w:rFonts w:ascii="宋体" w:hAnsi="宋体" w:cs="宋体"/>
          <w:color w:val="auto"/>
          <w:sz w:val="24"/>
          <w:szCs w:val="24"/>
          <w:highlight w:val="none"/>
        </w:rPr>
        <w:t>CA</w:t>
      </w:r>
      <w:r>
        <w:rPr>
          <w:rFonts w:hint="eastAsia" w:ascii="宋体" w:hAnsi="宋体" w:cs="宋体"/>
          <w:color w:val="auto"/>
          <w:sz w:val="24"/>
          <w:szCs w:val="24"/>
          <w:highlight w:val="none"/>
        </w:rPr>
        <w:t>数字证书办理预计一周左右，建议各供应商自行把握时间），申领流程请自行前往“浙江政府采购网</w:t>
      </w:r>
      <w:r>
        <w:rPr>
          <w:rFonts w:ascii="宋体" w:cs="宋体"/>
          <w:color w:val="auto"/>
          <w:sz w:val="24"/>
          <w:szCs w:val="24"/>
          <w:highlight w:val="none"/>
        </w:rPr>
        <w:t>-</w:t>
      </w:r>
      <w:r>
        <w:rPr>
          <w:rFonts w:hint="eastAsia" w:ascii="宋体" w:hAnsi="宋体" w:cs="宋体"/>
          <w:color w:val="auto"/>
          <w:sz w:val="24"/>
          <w:szCs w:val="24"/>
          <w:highlight w:val="none"/>
        </w:rPr>
        <w:t>下载专区</w:t>
      </w:r>
      <w:r>
        <w:rPr>
          <w:rFonts w:ascii="宋体" w:cs="宋体"/>
          <w:color w:val="auto"/>
          <w:sz w:val="24"/>
          <w:szCs w:val="24"/>
          <w:highlight w:val="none"/>
        </w:rPr>
        <w:t>-</w:t>
      </w:r>
      <w:r>
        <w:rPr>
          <w:rFonts w:hint="eastAsia" w:ascii="宋体" w:hAnsi="宋体" w:cs="宋体"/>
          <w:color w:val="auto"/>
          <w:sz w:val="24"/>
          <w:szCs w:val="24"/>
          <w:highlight w:val="none"/>
        </w:rPr>
        <w:t>电子交易客户端</w:t>
      </w:r>
      <w:r>
        <w:rPr>
          <w:rFonts w:ascii="宋体" w:hAnsi="宋体" w:cs="宋体"/>
          <w:color w:val="auto"/>
          <w:sz w:val="24"/>
          <w:szCs w:val="24"/>
          <w:highlight w:val="none"/>
        </w:rPr>
        <w:t>-CA</w:t>
      </w:r>
      <w:r>
        <w:rPr>
          <w:rFonts w:hint="eastAsia" w:ascii="宋体" w:hAnsi="宋体" w:cs="宋体"/>
          <w:color w:val="auto"/>
          <w:sz w:val="24"/>
          <w:szCs w:val="24"/>
          <w:highlight w:val="none"/>
        </w:rPr>
        <w:t>驱动和申领流程”进行查阅。登录“浙江政府采购网”（</w:t>
      </w:r>
      <w:r>
        <w:rPr>
          <w:rFonts w:ascii="宋体" w:hAnsi="宋体" w:cs="宋体"/>
          <w:color w:val="auto"/>
          <w:sz w:val="24"/>
          <w:szCs w:val="24"/>
          <w:highlight w:val="none"/>
        </w:rPr>
        <w:t>http://zfcg.czt.zj.gov.cn/</w:t>
      </w:r>
      <w:r>
        <w:rPr>
          <w:rFonts w:hint="eastAsia" w:ascii="宋体" w:hAnsi="宋体" w:cs="宋体"/>
          <w:color w:val="auto"/>
          <w:sz w:val="24"/>
          <w:szCs w:val="24"/>
          <w:highlight w:val="none"/>
        </w:rPr>
        <w:t>），进入“下载专区”下载“电子交易客户端”，制作响应文件。</w:t>
      </w:r>
    </w:p>
    <w:p w14:paraId="1AA4C4F0">
      <w:pPr>
        <w:shd w:val="clear" w:color="auto" w:fill="FFFFFF"/>
        <w:spacing w:line="360" w:lineRule="auto"/>
        <w:ind w:firstLine="470"/>
        <w:rPr>
          <w:rFonts w:ascii="宋体" w:cs="Times New Roman"/>
          <w:color w:val="auto"/>
          <w:sz w:val="24"/>
          <w:szCs w:val="24"/>
          <w:highlight w:val="none"/>
        </w:rPr>
      </w:pPr>
      <w:r>
        <w:rPr>
          <w:rFonts w:hint="eastAsia" w:ascii="宋体" w:hAnsi="宋体" w:cs="宋体"/>
          <w:color w:val="auto"/>
          <w:sz w:val="24"/>
          <w:szCs w:val="24"/>
          <w:highlight w:val="none"/>
        </w:rPr>
        <w:t>11、供应商通过政采云平台电子投标工具制作响应文件，电子投标工具请供应商自行前往浙江省政府采购网下载并安装，供应商电子交易操作指南详见网址：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ascii="宋体" w:hAnsi="宋体" w:cs="宋体"/>
          <w:color w:val="auto"/>
          <w:sz w:val="24"/>
          <w:szCs w:val="24"/>
          <w:highlight w:val="none"/>
        </w:rPr>
        <w:t>https://help.zcygov.cn/web/site_2/2018/12-28/2573.html</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665137F2">
      <w:pPr>
        <w:shd w:val="clear" w:color="auto" w:fill="FFFFFF"/>
        <w:spacing w:line="360" w:lineRule="auto"/>
        <w:ind w:firstLine="480" w:firstLineChars="200"/>
        <w:rPr>
          <w:color w:val="auto"/>
          <w:highlight w:val="none"/>
        </w:rPr>
      </w:pPr>
      <w:r>
        <w:rPr>
          <w:rFonts w:hint="eastAsia" w:ascii="宋体" w:hAnsi="宋体" w:cs="宋体"/>
          <w:color w:val="auto"/>
          <w:sz w:val="24"/>
          <w:szCs w:val="24"/>
          <w:highlight w:val="none"/>
        </w:rPr>
        <w:t>12、按照</w:t>
      </w:r>
      <w:r>
        <w:rPr>
          <w:rFonts w:hint="eastAsia" w:ascii="宋体" w:cs="宋体"/>
          <w:color w:val="auto"/>
          <w:sz w:val="24"/>
          <w:szCs w:val="24"/>
          <w:highlight w:val="none"/>
        </w:rPr>
        <w:t>“</w:t>
      </w:r>
      <w:r>
        <w:rPr>
          <w:rFonts w:hint="eastAsia" w:ascii="宋体" w:hAnsi="宋体" w:cs="宋体"/>
          <w:color w:val="auto"/>
          <w:sz w:val="24"/>
          <w:szCs w:val="24"/>
          <w:highlight w:val="none"/>
        </w:rPr>
        <w:t>不见面、少接触</w:t>
      </w:r>
      <w:r>
        <w:rPr>
          <w:rFonts w:hint="eastAsia" w:ascii="宋体" w:cs="宋体"/>
          <w:color w:val="auto"/>
          <w:sz w:val="24"/>
          <w:szCs w:val="24"/>
          <w:highlight w:val="none"/>
        </w:rPr>
        <w:t>”</w:t>
      </w:r>
      <w:r>
        <w:rPr>
          <w:rFonts w:hint="eastAsia" w:ascii="宋体" w:hAnsi="宋体" w:cs="宋体"/>
          <w:color w:val="auto"/>
          <w:sz w:val="24"/>
          <w:szCs w:val="24"/>
          <w:highlight w:val="none"/>
        </w:rPr>
        <w:t>的原则，本项目采取</w:t>
      </w:r>
      <w:r>
        <w:rPr>
          <w:rFonts w:hint="eastAsia" w:ascii="宋体" w:cs="宋体"/>
          <w:color w:val="auto"/>
          <w:sz w:val="24"/>
          <w:szCs w:val="24"/>
          <w:highlight w:val="none"/>
        </w:rPr>
        <w:t>“</w:t>
      </w:r>
      <w:r>
        <w:rPr>
          <w:rFonts w:hint="eastAsia" w:ascii="宋体" w:hAnsi="宋体" w:cs="宋体"/>
          <w:color w:val="auto"/>
          <w:sz w:val="24"/>
          <w:szCs w:val="24"/>
          <w:highlight w:val="none"/>
        </w:rPr>
        <w:t>不见面</w:t>
      </w:r>
      <w:r>
        <w:rPr>
          <w:rFonts w:hint="eastAsia" w:ascii="宋体" w:cs="宋体"/>
          <w:color w:val="auto"/>
          <w:sz w:val="24"/>
          <w:szCs w:val="24"/>
          <w:highlight w:val="none"/>
        </w:rPr>
        <w:t>”</w:t>
      </w:r>
      <w:r>
        <w:rPr>
          <w:rFonts w:hint="eastAsia" w:ascii="宋体" w:hAnsi="宋体" w:cs="宋体"/>
          <w:color w:val="auto"/>
          <w:sz w:val="24"/>
          <w:szCs w:val="24"/>
          <w:highlight w:val="none"/>
        </w:rPr>
        <w:t>形式进行开评标活动，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法定代表人或其授权代表无须到场，在线响应即可（通过指定的电子邮箱、传真等）。</w:t>
      </w:r>
    </w:p>
    <w:p w14:paraId="73AACD72">
      <w:pPr>
        <w:snapToGrid w:val="0"/>
        <w:spacing w:line="360" w:lineRule="auto"/>
        <w:ind w:firstLine="472" w:firstLineChars="196"/>
        <w:rPr>
          <w:rFonts w:ascii="宋体" w:cs="Times New Roman"/>
          <w:b/>
          <w:bCs/>
          <w:color w:val="auto"/>
          <w:sz w:val="24"/>
          <w:szCs w:val="24"/>
          <w:highlight w:val="none"/>
        </w:rPr>
      </w:pPr>
      <w:r>
        <w:rPr>
          <w:rFonts w:hint="eastAsia" w:ascii="宋体" w:hAnsi="宋体" w:cs="宋体"/>
          <w:b/>
          <w:bCs/>
          <w:color w:val="auto"/>
          <w:sz w:val="24"/>
          <w:szCs w:val="24"/>
          <w:highlight w:val="none"/>
        </w:rPr>
        <w:t>九、业务咨询：</w:t>
      </w:r>
    </w:p>
    <w:p w14:paraId="3CDCE9BA">
      <w:pPr>
        <w:snapToGrid w:val="0"/>
        <w:spacing w:line="360" w:lineRule="auto"/>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浙江华耀建设咨询有限公司联系人：张治中</w:t>
      </w:r>
    </w:p>
    <w:p w14:paraId="470C0159">
      <w:pPr>
        <w:snapToGrid w:val="0"/>
        <w:spacing w:line="360" w:lineRule="auto"/>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联系电话：</w:t>
      </w:r>
      <w:r>
        <w:rPr>
          <w:rFonts w:ascii="宋体" w:hAnsi="宋体" w:cs="宋体"/>
          <w:color w:val="auto"/>
          <w:sz w:val="24"/>
          <w:szCs w:val="24"/>
          <w:highlight w:val="none"/>
        </w:rPr>
        <w:t xml:space="preserve">0572-2198738      </w:t>
      </w:r>
      <w:r>
        <w:rPr>
          <w:rFonts w:hint="eastAsia" w:ascii="宋体" w:hAnsi="宋体" w:cs="宋体"/>
          <w:color w:val="auto"/>
          <w:sz w:val="24"/>
          <w:szCs w:val="24"/>
          <w:highlight w:val="none"/>
        </w:rPr>
        <w:t>传真：</w:t>
      </w:r>
      <w:r>
        <w:rPr>
          <w:rFonts w:ascii="宋体" w:hAnsi="宋体" w:cs="宋体"/>
          <w:color w:val="auto"/>
          <w:sz w:val="24"/>
          <w:szCs w:val="24"/>
          <w:highlight w:val="none"/>
        </w:rPr>
        <w:t>0572-2198739</w:t>
      </w:r>
    </w:p>
    <w:p w14:paraId="59EDF786">
      <w:pPr>
        <w:snapToGrid w:val="0"/>
        <w:spacing w:line="360" w:lineRule="auto"/>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供应商质疑函接收人：何女士</w:t>
      </w:r>
      <w:r>
        <w:rPr>
          <w:rFonts w:hint="eastAsia" w:ascii="宋体" w:cs="Times New Roman"/>
          <w:color w:val="auto"/>
          <w:sz w:val="24"/>
          <w:szCs w:val="24"/>
          <w:highlight w:val="none"/>
        </w:rPr>
        <w:t xml:space="preserve">  </w:t>
      </w:r>
      <w:r>
        <w:rPr>
          <w:rFonts w:hint="eastAsia" w:ascii="宋体" w:hAnsi="宋体" w:cs="宋体"/>
          <w:color w:val="auto"/>
          <w:sz w:val="24"/>
          <w:szCs w:val="24"/>
          <w:highlight w:val="none"/>
        </w:rPr>
        <w:t>联系电话：</w:t>
      </w:r>
      <w:r>
        <w:rPr>
          <w:rFonts w:ascii="宋体" w:hAnsi="宋体" w:cs="宋体"/>
          <w:color w:val="auto"/>
          <w:sz w:val="24"/>
          <w:szCs w:val="24"/>
          <w:highlight w:val="none"/>
        </w:rPr>
        <w:t>0572-</w:t>
      </w:r>
      <w:r>
        <w:rPr>
          <w:rFonts w:hint="eastAsia" w:ascii="宋体" w:hAnsi="宋体" w:cs="宋体"/>
          <w:color w:val="auto"/>
          <w:sz w:val="24"/>
          <w:szCs w:val="24"/>
          <w:highlight w:val="none"/>
        </w:rPr>
        <w:t>2371910</w:t>
      </w:r>
    </w:p>
    <w:p w14:paraId="2861BEE1">
      <w:pPr>
        <w:snapToGrid w:val="0"/>
        <w:spacing w:line="360" w:lineRule="auto"/>
        <w:ind w:firstLine="470" w:firstLineChars="196"/>
        <w:rPr>
          <w:rFonts w:cs="Times New Roman"/>
          <w:color w:val="auto"/>
          <w:highlight w:val="none"/>
        </w:rPr>
      </w:pPr>
      <w:r>
        <w:rPr>
          <w:rFonts w:hint="eastAsia" w:ascii="宋体" w:hAnsi="宋体" w:cs="宋体"/>
          <w:color w:val="auto"/>
          <w:kern w:val="0"/>
          <w:sz w:val="24"/>
          <w:szCs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Style w:val="74"/>
          <w:rFonts w:ascii="宋体" w:cs="宋体"/>
          <w:color w:val="auto"/>
          <w:sz w:val="24"/>
          <w:szCs w:val="24"/>
          <w:highlight w:val="none"/>
        </w:rPr>
        <w:t>huayaohz@163.com</w:t>
      </w:r>
      <w:r>
        <w:rPr>
          <w:rStyle w:val="74"/>
          <w:rFonts w:ascii="宋体" w:cs="宋体"/>
          <w:color w:val="auto"/>
          <w:sz w:val="24"/>
          <w:szCs w:val="24"/>
          <w:highlight w:val="none"/>
        </w:rPr>
        <w:fldChar w:fldCharType="end"/>
      </w:r>
    </w:p>
    <w:p w14:paraId="2E5819BA">
      <w:pPr>
        <w:snapToGrid w:val="0"/>
        <w:spacing w:line="360" w:lineRule="auto"/>
        <w:ind w:firstLine="470" w:firstLineChars="196"/>
        <w:rPr>
          <w:rFonts w:ascii="宋体" w:cs="Times New Roman"/>
          <w:color w:val="auto"/>
          <w:sz w:val="24"/>
          <w:szCs w:val="24"/>
          <w:highlight w:val="none"/>
        </w:rPr>
      </w:pPr>
    </w:p>
    <w:p w14:paraId="37906515">
      <w:pPr>
        <w:snapToGrid w:val="0"/>
        <w:spacing w:line="360" w:lineRule="auto"/>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磋商单位：湖州市长兴县交通运输行政执法队</w:t>
      </w:r>
    </w:p>
    <w:p w14:paraId="4D875044">
      <w:pPr>
        <w:snapToGrid w:val="0"/>
        <w:spacing w:line="360" w:lineRule="auto"/>
        <w:ind w:firstLine="470" w:firstLineChars="196"/>
        <w:rPr>
          <w:rFonts w:ascii="宋体" w:cs="Times New Roman"/>
          <w:color w:val="auto"/>
          <w:sz w:val="24"/>
          <w:szCs w:val="24"/>
          <w:highlight w:val="none"/>
        </w:rPr>
      </w:pPr>
      <w:r>
        <w:rPr>
          <w:rFonts w:ascii="宋体" w:cs="Times New Roman"/>
          <w:color w:val="auto"/>
          <w:sz w:val="24"/>
          <w:szCs w:val="24"/>
          <w:highlight w:val="none"/>
        </w:rPr>
        <w:t>联系人</w:t>
      </w:r>
      <w:r>
        <w:rPr>
          <w:rFonts w:hint="eastAsia" w:ascii="宋体" w:cs="Times New Roman"/>
          <w:color w:val="auto"/>
          <w:sz w:val="24"/>
          <w:szCs w:val="24"/>
          <w:highlight w:val="none"/>
        </w:rPr>
        <w:t>：</w:t>
      </w:r>
      <w:r>
        <w:rPr>
          <w:rFonts w:hint="eastAsia" w:ascii="宋体" w:cs="Times New Roman"/>
          <w:color w:val="auto"/>
          <w:sz w:val="24"/>
          <w:szCs w:val="24"/>
          <w:highlight w:val="none"/>
          <w:lang w:eastAsia="zh-CN"/>
        </w:rPr>
        <w:t>赵耀宗</w:t>
      </w:r>
      <w:r>
        <w:rPr>
          <w:rFonts w:ascii="宋体" w:cs="Times New Roman"/>
          <w:color w:val="auto"/>
          <w:sz w:val="24"/>
          <w:szCs w:val="24"/>
          <w:highlight w:val="none"/>
        </w:rPr>
        <w:t>  </w:t>
      </w:r>
      <w:r>
        <w:rPr>
          <w:rFonts w:hint="eastAsia" w:ascii="宋体" w:cs="Times New Roman"/>
          <w:color w:val="auto"/>
          <w:sz w:val="24"/>
          <w:szCs w:val="24"/>
          <w:highlight w:val="none"/>
        </w:rPr>
        <w:t xml:space="preserve">              </w:t>
      </w:r>
      <w:r>
        <w:rPr>
          <w:rFonts w:ascii="宋体" w:cs="Times New Roman"/>
          <w:color w:val="auto"/>
          <w:sz w:val="24"/>
          <w:szCs w:val="24"/>
          <w:highlight w:val="none"/>
        </w:rPr>
        <w:t> 联系电话：0572-</w:t>
      </w:r>
      <w:r>
        <w:rPr>
          <w:rFonts w:hint="eastAsia" w:ascii="宋体" w:cs="Times New Roman"/>
          <w:color w:val="auto"/>
          <w:sz w:val="24"/>
          <w:szCs w:val="24"/>
          <w:highlight w:val="none"/>
        </w:rPr>
        <w:t xml:space="preserve">6230254 </w:t>
      </w:r>
    </w:p>
    <w:p w14:paraId="5FAC9386">
      <w:pPr>
        <w:snapToGrid w:val="0"/>
        <w:spacing w:line="360" w:lineRule="auto"/>
        <w:ind w:firstLine="470" w:firstLineChars="196"/>
        <w:rPr>
          <w:rFonts w:ascii="宋体" w:cs="Times New Roman"/>
          <w:color w:val="auto"/>
          <w:sz w:val="24"/>
          <w:szCs w:val="24"/>
          <w:highlight w:val="none"/>
        </w:rPr>
      </w:pPr>
      <w:r>
        <w:rPr>
          <w:rFonts w:hint="eastAsia" w:ascii="宋体" w:cs="Times New Roman"/>
          <w:color w:val="auto"/>
          <w:sz w:val="24"/>
          <w:szCs w:val="24"/>
          <w:highlight w:val="none"/>
        </w:rPr>
        <w:t xml:space="preserve">采购人质疑联系人：周国俊  </w:t>
      </w:r>
      <w:r>
        <w:rPr>
          <w:rFonts w:ascii="宋体" w:cs="Times New Roman"/>
          <w:color w:val="auto"/>
          <w:sz w:val="24"/>
          <w:szCs w:val="24"/>
          <w:highlight w:val="none"/>
        </w:rPr>
        <w:t> </w:t>
      </w:r>
      <w:r>
        <w:rPr>
          <w:rFonts w:hint="eastAsia" w:ascii="宋体" w:cs="Times New Roman"/>
          <w:color w:val="auto"/>
          <w:sz w:val="24"/>
          <w:szCs w:val="24"/>
          <w:highlight w:val="none"/>
        </w:rPr>
        <w:t xml:space="preserve"> 联系电话：</w:t>
      </w:r>
      <w:r>
        <w:rPr>
          <w:rFonts w:ascii="宋体" w:cs="Times New Roman"/>
          <w:color w:val="auto"/>
          <w:sz w:val="24"/>
          <w:szCs w:val="24"/>
          <w:highlight w:val="none"/>
        </w:rPr>
        <w:t> 0572-</w:t>
      </w:r>
      <w:r>
        <w:rPr>
          <w:rFonts w:hint="eastAsia" w:ascii="宋体" w:cs="Times New Roman"/>
          <w:color w:val="auto"/>
          <w:sz w:val="24"/>
          <w:szCs w:val="24"/>
          <w:highlight w:val="none"/>
        </w:rPr>
        <w:t xml:space="preserve">6231387 </w:t>
      </w:r>
    </w:p>
    <w:p w14:paraId="341C4145">
      <w:pPr>
        <w:pStyle w:val="2"/>
        <w:rPr>
          <w:color w:val="auto"/>
          <w:highlight w:val="none"/>
        </w:rPr>
      </w:pPr>
    </w:p>
    <w:p w14:paraId="6580F75B">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政府采购行政监管及投诉受理部门：</w:t>
      </w:r>
    </w:p>
    <w:p w14:paraId="4477A0F2">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名 称：长兴县财政局政府采购监管科</w:t>
      </w:r>
    </w:p>
    <w:p w14:paraId="59F5596A">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地 址：长兴县太湖街道中央大道和长兴大道交叉口</w:t>
      </w:r>
    </w:p>
    <w:p w14:paraId="6DFEF061">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联系人 ：佘科    监督投诉电话：0572-6027789</w:t>
      </w:r>
    </w:p>
    <w:p w14:paraId="39AA57C5">
      <w:pPr>
        <w:snapToGrid w:val="0"/>
        <w:spacing w:line="360" w:lineRule="auto"/>
        <w:ind w:firstLine="470" w:firstLineChars="196"/>
        <w:rPr>
          <w:rFonts w:ascii="宋体" w:cs="Times New Roman"/>
          <w:color w:val="auto"/>
          <w:sz w:val="24"/>
          <w:szCs w:val="24"/>
          <w:highlight w:val="none"/>
        </w:rPr>
      </w:pPr>
    </w:p>
    <w:p w14:paraId="67D01913">
      <w:pPr>
        <w:snapToGrid w:val="0"/>
        <w:spacing w:line="360" w:lineRule="auto"/>
        <w:ind w:firstLine="2760" w:firstLineChars="1150"/>
        <w:jc w:val="right"/>
        <w:rPr>
          <w:rFonts w:ascii="宋体" w:cs="Times New Roman"/>
          <w:color w:val="auto"/>
          <w:sz w:val="24"/>
          <w:szCs w:val="24"/>
          <w:highlight w:val="none"/>
        </w:rPr>
      </w:pPr>
      <w:r>
        <w:rPr>
          <w:rFonts w:hint="eastAsia" w:ascii="宋体" w:hAnsi="宋体" w:cs="宋体"/>
          <w:color w:val="auto"/>
          <w:sz w:val="24"/>
          <w:szCs w:val="24"/>
          <w:highlight w:val="none"/>
        </w:rPr>
        <w:t>湖州市长兴县交通运输行政执法队</w:t>
      </w:r>
    </w:p>
    <w:p w14:paraId="182D16CE">
      <w:pPr>
        <w:snapToGrid w:val="0"/>
        <w:spacing w:line="360" w:lineRule="auto"/>
        <w:ind w:firstLine="2760" w:firstLineChars="1150"/>
        <w:jc w:val="right"/>
        <w:rPr>
          <w:rFonts w:ascii="宋体" w:cs="Times New Roman"/>
          <w:color w:val="auto"/>
          <w:sz w:val="24"/>
          <w:szCs w:val="24"/>
          <w:highlight w:val="none"/>
        </w:rPr>
      </w:pPr>
      <w:r>
        <w:rPr>
          <w:rFonts w:hint="eastAsia" w:ascii="宋体" w:hAnsi="宋体" w:cs="宋体"/>
          <w:color w:val="auto"/>
          <w:sz w:val="24"/>
          <w:szCs w:val="24"/>
          <w:highlight w:val="none"/>
        </w:rPr>
        <w:t>浙江华耀建设咨询有限公司</w:t>
      </w:r>
    </w:p>
    <w:p w14:paraId="034B4C79">
      <w:pPr>
        <w:spacing w:line="360" w:lineRule="auto"/>
        <w:jc w:val="right"/>
        <w:rPr>
          <w:rFonts w:ascii="宋体" w:cs="Times New Roman"/>
          <w:color w:val="auto"/>
          <w:sz w:val="24"/>
          <w:szCs w:val="24"/>
          <w:highlight w:val="none"/>
        </w:rPr>
      </w:pPr>
      <w:r>
        <w:rPr>
          <w:rFonts w:ascii="宋体" w:hAnsi="宋体" w:cs="宋体"/>
          <w:color w:val="auto"/>
          <w:sz w:val="24"/>
          <w:szCs w:val="24"/>
          <w:highlight w:val="none"/>
        </w:rPr>
        <w:t>2025年 月 日</w:t>
      </w:r>
    </w:p>
    <w:p w14:paraId="5E7F8393">
      <w:pPr>
        <w:spacing w:line="360" w:lineRule="auto"/>
        <w:jc w:val="right"/>
        <w:rPr>
          <w:rFonts w:ascii="宋体" w:cs="Times New Roman"/>
          <w:color w:val="auto"/>
          <w:sz w:val="24"/>
          <w:szCs w:val="24"/>
          <w:highlight w:val="none"/>
        </w:rPr>
      </w:pPr>
    </w:p>
    <w:p w14:paraId="729FA053">
      <w:pPr>
        <w:spacing w:line="360" w:lineRule="auto"/>
        <w:jc w:val="right"/>
        <w:rPr>
          <w:rFonts w:ascii="宋体" w:cs="Times New Roman"/>
          <w:color w:val="auto"/>
          <w:sz w:val="24"/>
          <w:szCs w:val="24"/>
          <w:highlight w:val="none"/>
        </w:rPr>
      </w:pPr>
    </w:p>
    <w:p w14:paraId="36FC2169">
      <w:pPr>
        <w:pStyle w:val="2"/>
        <w:rPr>
          <w:color w:val="auto"/>
          <w:highlight w:val="none"/>
        </w:rPr>
      </w:pPr>
    </w:p>
    <w:p w14:paraId="61DF4E91">
      <w:pPr>
        <w:pStyle w:val="2"/>
        <w:rPr>
          <w:color w:val="auto"/>
          <w:highlight w:val="none"/>
        </w:rPr>
      </w:pPr>
    </w:p>
    <w:p w14:paraId="5A8A2B6E">
      <w:pPr>
        <w:pStyle w:val="2"/>
        <w:rPr>
          <w:color w:val="auto"/>
          <w:highlight w:val="none"/>
        </w:rPr>
      </w:pPr>
    </w:p>
    <w:p w14:paraId="2C2CA6DE">
      <w:pPr>
        <w:pStyle w:val="2"/>
        <w:rPr>
          <w:color w:val="auto"/>
          <w:highlight w:val="none"/>
        </w:rPr>
      </w:pPr>
    </w:p>
    <w:p w14:paraId="21BC6A45">
      <w:pPr>
        <w:pStyle w:val="2"/>
        <w:rPr>
          <w:color w:val="auto"/>
          <w:highlight w:val="none"/>
        </w:rPr>
      </w:pPr>
    </w:p>
    <w:p w14:paraId="6069C9C6">
      <w:pPr>
        <w:pStyle w:val="2"/>
        <w:rPr>
          <w:color w:val="auto"/>
          <w:highlight w:val="none"/>
        </w:rPr>
      </w:pPr>
    </w:p>
    <w:p w14:paraId="6380DE10">
      <w:pPr>
        <w:pStyle w:val="2"/>
        <w:rPr>
          <w:color w:val="auto"/>
          <w:highlight w:val="none"/>
        </w:rPr>
      </w:pPr>
    </w:p>
    <w:p w14:paraId="1F347CE0">
      <w:pPr>
        <w:pStyle w:val="2"/>
        <w:rPr>
          <w:color w:val="auto"/>
          <w:highlight w:val="none"/>
        </w:rPr>
      </w:pPr>
    </w:p>
    <w:p w14:paraId="7FC7CC8C">
      <w:pPr>
        <w:pStyle w:val="2"/>
        <w:rPr>
          <w:color w:val="auto"/>
          <w:highlight w:val="none"/>
        </w:rPr>
      </w:pPr>
    </w:p>
    <w:p w14:paraId="6F26290C">
      <w:pPr>
        <w:pStyle w:val="2"/>
        <w:rPr>
          <w:color w:val="auto"/>
          <w:highlight w:val="none"/>
        </w:rPr>
      </w:pPr>
    </w:p>
    <w:p w14:paraId="79CF8B96">
      <w:pPr>
        <w:pStyle w:val="2"/>
        <w:rPr>
          <w:color w:val="auto"/>
          <w:highlight w:val="none"/>
        </w:rPr>
      </w:pPr>
    </w:p>
    <w:p w14:paraId="312D7E09">
      <w:pPr>
        <w:pStyle w:val="2"/>
        <w:rPr>
          <w:color w:val="auto"/>
          <w:highlight w:val="none"/>
        </w:rPr>
      </w:pPr>
    </w:p>
    <w:p w14:paraId="43A947B5">
      <w:pPr>
        <w:pStyle w:val="2"/>
        <w:rPr>
          <w:color w:val="auto"/>
          <w:highlight w:val="none"/>
        </w:rPr>
      </w:pPr>
    </w:p>
    <w:p w14:paraId="4842118D">
      <w:pPr>
        <w:pStyle w:val="3"/>
        <w:spacing w:before="0" w:after="0" w:line="420" w:lineRule="exact"/>
        <w:jc w:val="center"/>
        <w:rPr>
          <w:rFonts w:ascii="宋体"/>
          <w:color w:val="auto"/>
          <w:sz w:val="32"/>
          <w:szCs w:val="32"/>
          <w:highlight w:val="none"/>
        </w:rPr>
      </w:pPr>
      <w:bookmarkStart w:id="14" w:name="_Toc68613971"/>
      <w:r>
        <w:rPr>
          <w:rFonts w:hint="eastAsia" w:ascii="宋体" w:hAnsi="宋体" w:cs="宋体"/>
          <w:color w:val="auto"/>
          <w:sz w:val="32"/>
          <w:szCs w:val="32"/>
          <w:highlight w:val="none"/>
        </w:rPr>
        <w:t>第一章供应商须知</w:t>
      </w:r>
      <w:bookmarkEnd w:id="14"/>
    </w:p>
    <w:p w14:paraId="47EFB7AE">
      <w:pPr>
        <w:pStyle w:val="4"/>
        <w:spacing w:before="0" w:after="0" w:line="420" w:lineRule="exact"/>
        <w:jc w:val="center"/>
        <w:rPr>
          <w:rFonts w:ascii="宋体" w:hAnsi="宋体" w:eastAsia="宋体" w:cs="Times New Roman"/>
          <w:color w:val="auto"/>
          <w:sz w:val="30"/>
          <w:szCs w:val="30"/>
          <w:highlight w:val="none"/>
        </w:rPr>
      </w:pPr>
      <w:bookmarkStart w:id="15" w:name="_Toc68613972"/>
      <w:r>
        <w:rPr>
          <w:rFonts w:hint="eastAsia" w:ascii="宋体" w:hAnsi="宋体" w:eastAsia="宋体" w:cs="宋体"/>
          <w:color w:val="auto"/>
          <w:sz w:val="30"/>
          <w:szCs w:val="30"/>
          <w:highlight w:val="none"/>
        </w:rPr>
        <w:t>前附表</w:t>
      </w:r>
      <w:bookmarkEnd w:id="15"/>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55"/>
        <w:gridCol w:w="7246"/>
      </w:tblGrid>
      <w:tr w14:paraId="0631E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1" w:type="dxa"/>
            <w:tcBorders>
              <w:top w:val="single" w:color="auto" w:sz="4" w:space="0"/>
              <w:bottom w:val="single" w:color="auto" w:sz="4" w:space="0"/>
              <w:right w:val="single" w:color="auto" w:sz="4" w:space="0"/>
            </w:tcBorders>
            <w:vAlign w:val="center"/>
          </w:tcPr>
          <w:p w14:paraId="038518CD">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6E0FAACC">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项目</w:t>
            </w:r>
          </w:p>
        </w:tc>
        <w:tc>
          <w:tcPr>
            <w:tcW w:w="7246" w:type="dxa"/>
            <w:tcBorders>
              <w:top w:val="single" w:color="auto" w:sz="4" w:space="0"/>
              <w:left w:val="single" w:color="auto" w:sz="4" w:space="0"/>
              <w:bottom w:val="single" w:color="auto" w:sz="4" w:space="0"/>
            </w:tcBorders>
            <w:vAlign w:val="center"/>
          </w:tcPr>
          <w:p w14:paraId="0AF126F9">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内容与要求</w:t>
            </w:r>
          </w:p>
        </w:tc>
      </w:tr>
      <w:tr w14:paraId="07C0B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831" w:type="dxa"/>
            <w:tcBorders>
              <w:top w:val="single" w:color="auto" w:sz="4" w:space="0"/>
              <w:bottom w:val="single" w:color="auto" w:sz="4" w:space="0"/>
              <w:right w:val="single" w:color="auto" w:sz="4" w:space="0"/>
            </w:tcBorders>
            <w:vAlign w:val="center"/>
          </w:tcPr>
          <w:p w14:paraId="5E827768">
            <w:pPr>
              <w:spacing w:line="420" w:lineRule="exact"/>
              <w:jc w:val="center"/>
              <w:rPr>
                <w:rFonts w:ascii="宋体" w:hAnsi="宋体" w:cs="宋体"/>
                <w:color w:val="auto"/>
                <w:sz w:val="24"/>
                <w:szCs w:val="24"/>
                <w:highlight w:val="none"/>
              </w:rPr>
            </w:pPr>
            <w:bookmarkStart w:id="16" w:name="_Hlk60736843"/>
            <w:r>
              <w:rPr>
                <w:rFonts w:ascii="宋体" w:hAnsi="宋体" w:cs="宋体"/>
                <w:color w:val="auto"/>
                <w:sz w:val="24"/>
                <w:szCs w:val="24"/>
                <w:highlight w:val="none"/>
              </w:rPr>
              <w:t>1</w:t>
            </w:r>
          </w:p>
        </w:tc>
        <w:tc>
          <w:tcPr>
            <w:tcW w:w="2055" w:type="dxa"/>
            <w:tcBorders>
              <w:top w:val="single" w:color="auto" w:sz="4" w:space="0"/>
              <w:left w:val="single" w:color="auto" w:sz="4" w:space="0"/>
              <w:bottom w:val="single" w:color="auto" w:sz="4" w:space="0"/>
              <w:right w:val="single" w:color="auto" w:sz="4" w:space="0"/>
            </w:tcBorders>
            <w:vAlign w:val="center"/>
          </w:tcPr>
          <w:p w14:paraId="7565B6EC">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项目名称</w:t>
            </w:r>
          </w:p>
        </w:tc>
        <w:tc>
          <w:tcPr>
            <w:tcW w:w="7246" w:type="dxa"/>
            <w:tcBorders>
              <w:top w:val="single" w:color="auto" w:sz="4" w:space="0"/>
              <w:left w:val="single" w:color="auto" w:sz="4" w:space="0"/>
              <w:bottom w:val="single" w:color="auto" w:sz="4" w:space="0"/>
            </w:tcBorders>
            <w:vAlign w:val="center"/>
          </w:tcPr>
          <w:p w14:paraId="5A5490EE">
            <w:pPr>
              <w:spacing w:line="420" w:lineRule="exact"/>
              <w:rPr>
                <w:rFonts w:ascii="宋体" w:cs="宋体"/>
                <w:color w:val="auto"/>
                <w:spacing w:val="-4"/>
                <w:sz w:val="24"/>
                <w:szCs w:val="24"/>
                <w:highlight w:val="none"/>
              </w:rPr>
            </w:pPr>
            <w:r>
              <w:rPr>
                <w:rFonts w:ascii="宋体" w:hAnsi="宋体" w:cs="宋体"/>
                <w:color w:val="auto"/>
                <w:sz w:val="24"/>
                <w:szCs w:val="24"/>
                <w:highlight w:val="none"/>
              </w:rPr>
              <w:t>湖州市长兴县交通运输行政执法队船舶自动核查抓拍系统维护保障项目</w:t>
            </w:r>
          </w:p>
        </w:tc>
      </w:tr>
      <w:bookmarkEnd w:id="16"/>
      <w:tr w14:paraId="0D64D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31" w:type="dxa"/>
            <w:tcBorders>
              <w:top w:val="single" w:color="auto" w:sz="4" w:space="0"/>
              <w:bottom w:val="single" w:color="auto" w:sz="4" w:space="0"/>
              <w:right w:val="single" w:color="auto" w:sz="4" w:space="0"/>
            </w:tcBorders>
            <w:vAlign w:val="center"/>
          </w:tcPr>
          <w:p w14:paraId="677A1330">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2055" w:type="dxa"/>
            <w:tcBorders>
              <w:top w:val="single" w:color="auto" w:sz="4" w:space="0"/>
              <w:left w:val="single" w:color="auto" w:sz="4" w:space="0"/>
              <w:bottom w:val="single" w:color="auto" w:sz="4" w:space="0"/>
              <w:right w:val="single" w:color="auto" w:sz="4" w:space="0"/>
            </w:tcBorders>
            <w:vAlign w:val="center"/>
          </w:tcPr>
          <w:p w14:paraId="3BDA9A3E">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编号</w:t>
            </w:r>
          </w:p>
        </w:tc>
        <w:tc>
          <w:tcPr>
            <w:tcW w:w="7246" w:type="dxa"/>
            <w:tcBorders>
              <w:top w:val="single" w:color="auto" w:sz="4" w:space="0"/>
              <w:left w:val="single" w:color="auto" w:sz="4" w:space="0"/>
              <w:bottom w:val="single" w:color="auto" w:sz="4" w:space="0"/>
            </w:tcBorders>
            <w:vAlign w:val="center"/>
          </w:tcPr>
          <w:p w14:paraId="1DBA9EB4">
            <w:pPr>
              <w:spacing w:line="420" w:lineRule="exact"/>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磋商文件编号：</w:t>
            </w:r>
            <w:r>
              <w:rPr>
                <w:rFonts w:ascii="宋体" w:hAnsi="宋体" w:cs="宋体"/>
                <w:color w:val="auto"/>
                <w:spacing w:val="-4"/>
                <w:sz w:val="24"/>
                <w:szCs w:val="24"/>
                <w:highlight w:val="none"/>
              </w:rPr>
              <w:t>HYHZ2025-44</w:t>
            </w:r>
          </w:p>
          <w:p w14:paraId="51478DAA">
            <w:pPr>
              <w:spacing w:line="420" w:lineRule="exact"/>
              <w:rPr>
                <w:rFonts w:ascii="宋体" w:cs="宋体"/>
                <w:b/>
                <w:bCs/>
                <w:color w:val="auto"/>
                <w:sz w:val="28"/>
                <w:szCs w:val="28"/>
                <w:highlight w:val="none"/>
                <w:u w:val="single"/>
              </w:rPr>
            </w:pPr>
            <w:r>
              <w:rPr>
                <w:rFonts w:hint="eastAsia" w:ascii="宋体" w:hAnsi="宋体" w:cs="宋体"/>
                <w:color w:val="auto"/>
                <w:spacing w:val="-4"/>
                <w:sz w:val="24"/>
                <w:szCs w:val="24"/>
                <w:highlight w:val="none"/>
              </w:rPr>
              <w:t>财政</w:t>
            </w:r>
            <w:r>
              <w:rPr>
                <w:rFonts w:hint="eastAsia" w:ascii="宋体" w:hAnsi="宋体" w:cs="宋体"/>
                <w:color w:val="auto"/>
                <w:sz w:val="24"/>
                <w:szCs w:val="24"/>
                <w:highlight w:val="none"/>
              </w:rPr>
              <w:t>审批编号：</w:t>
            </w:r>
            <w:r>
              <w:rPr>
                <w:rFonts w:ascii="宋体" w:hAnsi="宋体" w:eastAsia="宋体" w:cs="宋体"/>
                <w:color w:val="auto"/>
                <w:spacing w:val="-4"/>
                <w:sz w:val="24"/>
                <w:szCs w:val="24"/>
                <w:highlight w:val="none"/>
              </w:rPr>
              <w:t>临[2025]1148号</w:t>
            </w:r>
          </w:p>
        </w:tc>
      </w:tr>
      <w:tr w14:paraId="59D0E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831" w:type="dxa"/>
            <w:tcBorders>
              <w:top w:val="single" w:color="auto" w:sz="4" w:space="0"/>
              <w:bottom w:val="single" w:color="auto" w:sz="4" w:space="0"/>
              <w:right w:val="single" w:color="auto" w:sz="4" w:space="0"/>
            </w:tcBorders>
            <w:vAlign w:val="center"/>
          </w:tcPr>
          <w:p w14:paraId="218EA2E5">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2055" w:type="dxa"/>
            <w:tcBorders>
              <w:top w:val="single" w:color="auto" w:sz="4" w:space="0"/>
              <w:left w:val="single" w:color="auto" w:sz="4" w:space="0"/>
              <w:bottom w:val="single" w:color="auto" w:sz="4" w:space="0"/>
              <w:right w:val="single" w:color="auto" w:sz="4" w:space="0"/>
            </w:tcBorders>
            <w:vAlign w:val="center"/>
          </w:tcPr>
          <w:p w14:paraId="72E7B777">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磋商内容</w:t>
            </w:r>
          </w:p>
        </w:tc>
        <w:tc>
          <w:tcPr>
            <w:tcW w:w="7246" w:type="dxa"/>
            <w:tcBorders>
              <w:top w:val="single" w:color="auto" w:sz="4" w:space="0"/>
              <w:left w:val="single" w:color="auto" w:sz="4" w:space="0"/>
              <w:bottom w:val="single" w:color="auto" w:sz="4" w:space="0"/>
            </w:tcBorders>
            <w:vAlign w:val="center"/>
          </w:tcPr>
          <w:p w14:paraId="36683158">
            <w:pPr>
              <w:spacing w:line="420" w:lineRule="exact"/>
              <w:rPr>
                <w:rFonts w:ascii="宋体" w:cs="宋体"/>
                <w:color w:val="auto"/>
                <w:spacing w:val="-4"/>
                <w:sz w:val="24"/>
                <w:szCs w:val="24"/>
                <w:highlight w:val="none"/>
              </w:rPr>
            </w:pPr>
            <w:r>
              <w:rPr>
                <w:rFonts w:ascii="宋体" w:hAnsi="宋体" w:cs="宋体"/>
                <w:color w:val="auto"/>
                <w:kern w:val="0"/>
                <w:sz w:val="24"/>
                <w:szCs w:val="24"/>
                <w:highlight w:val="none"/>
              </w:rPr>
              <w:t>湖州市长兴县交通运输行政执法队船舶自动核查抓拍系统维护保障项目</w:t>
            </w:r>
          </w:p>
        </w:tc>
      </w:tr>
      <w:tr w14:paraId="2DA4D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831" w:type="dxa"/>
            <w:tcBorders>
              <w:top w:val="single" w:color="auto" w:sz="4" w:space="0"/>
              <w:bottom w:val="single" w:color="auto" w:sz="4" w:space="0"/>
              <w:right w:val="single" w:color="auto" w:sz="4" w:space="0"/>
            </w:tcBorders>
            <w:vAlign w:val="center"/>
          </w:tcPr>
          <w:p w14:paraId="2C770891">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4</w:t>
            </w:r>
          </w:p>
        </w:tc>
        <w:tc>
          <w:tcPr>
            <w:tcW w:w="2055" w:type="dxa"/>
            <w:tcBorders>
              <w:top w:val="single" w:color="auto" w:sz="4" w:space="0"/>
              <w:left w:val="single" w:color="auto" w:sz="4" w:space="0"/>
              <w:bottom w:val="single" w:color="auto" w:sz="4" w:space="0"/>
              <w:right w:val="single" w:color="auto" w:sz="4" w:space="0"/>
            </w:tcBorders>
            <w:vAlign w:val="center"/>
          </w:tcPr>
          <w:p w14:paraId="0868523E">
            <w:pPr>
              <w:jc w:val="center"/>
              <w:rPr>
                <w:rFonts w:ascii="宋体" w:cs="宋体"/>
                <w:color w:val="auto"/>
                <w:spacing w:val="-4"/>
                <w:sz w:val="24"/>
                <w:szCs w:val="24"/>
                <w:highlight w:val="none"/>
              </w:rPr>
            </w:pPr>
            <w:r>
              <w:rPr>
                <w:rFonts w:hint="eastAsia" w:ascii="宋体" w:hAnsi="宋体" w:cs="宋体"/>
                <w:color w:val="auto"/>
                <w:spacing w:val="-4"/>
                <w:sz w:val="24"/>
                <w:szCs w:val="24"/>
                <w:highlight w:val="none"/>
              </w:rPr>
              <w:t>项目实施地点</w:t>
            </w:r>
          </w:p>
        </w:tc>
        <w:tc>
          <w:tcPr>
            <w:tcW w:w="7246" w:type="dxa"/>
            <w:tcBorders>
              <w:top w:val="single" w:color="auto" w:sz="4" w:space="0"/>
              <w:left w:val="single" w:color="auto" w:sz="4" w:space="0"/>
              <w:bottom w:val="single" w:color="auto" w:sz="4" w:space="0"/>
            </w:tcBorders>
            <w:vAlign w:val="center"/>
          </w:tcPr>
          <w:p w14:paraId="5DF771F8">
            <w:pPr>
              <w:rPr>
                <w:rFonts w:ascii="宋体" w:cs="宋体"/>
                <w:color w:val="auto"/>
                <w:spacing w:val="-4"/>
                <w:sz w:val="24"/>
                <w:szCs w:val="24"/>
                <w:highlight w:val="none"/>
              </w:rPr>
            </w:pPr>
            <w:r>
              <w:rPr>
                <w:rFonts w:hint="eastAsia" w:ascii="宋体" w:hAnsi="宋体" w:cs="宋体"/>
                <w:color w:val="auto"/>
                <w:spacing w:val="-4"/>
                <w:sz w:val="24"/>
                <w:szCs w:val="24"/>
                <w:highlight w:val="none"/>
              </w:rPr>
              <w:t>由采购人指定</w:t>
            </w:r>
          </w:p>
        </w:tc>
      </w:tr>
      <w:tr w14:paraId="7F694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831" w:type="dxa"/>
            <w:tcBorders>
              <w:top w:val="single" w:color="auto" w:sz="4" w:space="0"/>
              <w:bottom w:val="single" w:color="auto" w:sz="4" w:space="0"/>
              <w:right w:val="single" w:color="auto" w:sz="4" w:space="0"/>
            </w:tcBorders>
            <w:vAlign w:val="center"/>
          </w:tcPr>
          <w:p w14:paraId="71C9B240">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5</w:t>
            </w:r>
          </w:p>
        </w:tc>
        <w:tc>
          <w:tcPr>
            <w:tcW w:w="2055" w:type="dxa"/>
            <w:tcBorders>
              <w:top w:val="single" w:color="auto" w:sz="4" w:space="0"/>
              <w:left w:val="single" w:color="auto" w:sz="4" w:space="0"/>
              <w:bottom w:val="single" w:color="auto" w:sz="4" w:space="0"/>
              <w:right w:val="single" w:color="auto" w:sz="4" w:space="0"/>
            </w:tcBorders>
            <w:vAlign w:val="center"/>
          </w:tcPr>
          <w:p w14:paraId="3EDF9809">
            <w:pPr>
              <w:jc w:val="center"/>
              <w:rPr>
                <w:rFonts w:ascii="宋体" w:cs="宋体"/>
                <w:color w:val="auto"/>
                <w:spacing w:val="-4"/>
                <w:sz w:val="24"/>
                <w:szCs w:val="24"/>
                <w:highlight w:val="none"/>
              </w:rPr>
            </w:pPr>
            <w:r>
              <w:rPr>
                <w:rFonts w:hint="eastAsia" w:ascii="宋体" w:hAnsi="宋体" w:cs="宋体"/>
                <w:color w:val="auto"/>
                <w:spacing w:val="-4"/>
                <w:sz w:val="24"/>
                <w:szCs w:val="24"/>
                <w:highlight w:val="none"/>
              </w:rPr>
              <w:t>磋商答疑时间</w:t>
            </w:r>
          </w:p>
        </w:tc>
        <w:tc>
          <w:tcPr>
            <w:tcW w:w="7246" w:type="dxa"/>
            <w:tcBorders>
              <w:top w:val="single" w:color="auto" w:sz="4" w:space="0"/>
              <w:left w:val="single" w:color="auto" w:sz="4" w:space="0"/>
              <w:bottom w:val="single" w:color="auto" w:sz="4" w:space="0"/>
            </w:tcBorders>
            <w:vAlign w:val="center"/>
          </w:tcPr>
          <w:p w14:paraId="3AD07C54">
            <w:pPr>
              <w:rPr>
                <w:rFonts w:ascii="宋体" w:cs="宋体"/>
                <w:color w:val="auto"/>
                <w:spacing w:val="-4"/>
                <w:sz w:val="24"/>
                <w:szCs w:val="24"/>
                <w:highlight w:val="none"/>
              </w:rPr>
            </w:pPr>
            <w:r>
              <w:rPr>
                <w:rFonts w:hint="eastAsia" w:ascii="宋体" w:hAnsi="宋体" w:cs="宋体"/>
                <w:color w:val="auto"/>
                <w:spacing w:val="-4"/>
                <w:sz w:val="24"/>
                <w:szCs w:val="24"/>
                <w:highlight w:val="none"/>
              </w:rPr>
              <w:t>供应商对磋商文件有异议的，应当在</w:t>
            </w:r>
            <w:r>
              <w:rPr>
                <w:rFonts w:ascii="宋体" w:hAnsi="宋体" w:cs="宋体"/>
                <w:color w:val="auto"/>
                <w:spacing w:val="-4"/>
                <w:sz w:val="24"/>
                <w:szCs w:val="24"/>
                <w:highlight w:val="none"/>
              </w:rPr>
              <w:t>2025年 月 日 17</w:t>
            </w:r>
            <w:r>
              <w:rPr>
                <w:rFonts w:hint="eastAsia" w:ascii="宋体" w:hAnsi="宋体" w:cs="宋体"/>
                <w:color w:val="auto"/>
                <w:spacing w:val="-4"/>
                <w:sz w:val="24"/>
                <w:szCs w:val="24"/>
                <w:highlight w:val="none"/>
              </w:rPr>
              <w:t>：</w:t>
            </w:r>
            <w:r>
              <w:rPr>
                <w:rFonts w:ascii="宋体" w:hAnsi="宋体" w:cs="宋体"/>
                <w:color w:val="auto"/>
                <w:spacing w:val="-4"/>
                <w:sz w:val="24"/>
                <w:szCs w:val="24"/>
                <w:highlight w:val="none"/>
              </w:rPr>
              <w:t xml:space="preserve">00 </w:t>
            </w:r>
            <w:r>
              <w:rPr>
                <w:rFonts w:hint="eastAsia" w:ascii="宋体" w:hAnsi="宋体" w:cs="宋体"/>
                <w:color w:val="auto"/>
                <w:spacing w:val="-4"/>
                <w:sz w:val="24"/>
                <w:szCs w:val="24"/>
                <w:highlight w:val="none"/>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3B81A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31" w:type="dxa"/>
            <w:tcBorders>
              <w:top w:val="single" w:color="auto" w:sz="4" w:space="0"/>
              <w:bottom w:val="single" w:color="auto" w:sz="4" w:space="0"/>
              <w:right w:val="single" w:color="auto" w:sz="4" w:space="0"/>
            </w:tcBorders>
            <w:vAlign w:val="center"/>
          </w:tcPr>
          <w:p w14:paraId="05A3615F">
            <w:pPr>
              <w:jc w:val="center"/>
              <w:rPr>
                <w:rFonts w:ascii="宋体" w:hAnsi="宋体" w:cs="宋体"/>
                <w:color w:val="auto"/>
                <w:sz w:val="24"/>
                <w:szCs w:val="24"/>
                <w:highlight w:val="none"/>
              </w:rPr>
            </w:pPr>
            <w:r>
              <w:rPr>
                <w:rFonts w:ascii="宋体" w:hAnsi="宋体" w:cs="宋体"/>
                <w:color w:val="auto"/>
                <w:sz w:val="24"/>
                <w:szCs w:val="24"/>
                <w:highlight w:val="none"/>
              </w:rPr>
              <w:t>6</w:t>
            </w:r>
          </w:p>
        </w:tc>
        <w:tc>
          <w:tcPr>
            <w:tcW w:w="2055" w:type="dxa"/>
            <w:tcBorders>
              <w:top w:val="single" w:color="auto" w:sz="4" w:space="0"/>
              <w:left w:val="single" w:color="auto" w:sz="4" w:space="0"/>
              <w:bottom w:val="single" w:color="auto" w:sz="4" w:space="0"/>
              <w:right w:val="single" w:color="auto" w:sz="4" w:space="0"/>
            </w:tcBorders>
            <w:vAlign w:val="center"/>
          </w:tcPr>
          <w:p w14:paraId="5E1FD3D7">
            <w:pPr>
              <w:jc w:val="center"/>
              <w:rPr>
                <w:rFonts w:ascii="宋体" w:cs="宋体"/>
                <w:color w:val="auto"/>
                <w:spacing w:val="-4"/>
                <w:sz w:val="24"/>
                <w:szCs w:val="24"/>
                <w:highlight w:val="none"/>
              </w:rPr>
            </w:pPr>
            <w:r>
              <w:rPr>
                <w:rFonts w:hint="eastAsia" w:ascii="宋体" w:hAnsi="宋体" w:cs="宋体"/>
                <w:color w:val="auto"/>
                <w:spacing w:val="-4"/>
                <w:sz w:val="24"/>
                <w:szCs w:val="24"/>
                <w:highlight w:val="none"/>
              </w:rPr>
              <w:t>磋商文件组成</w:t>
            </w:r>
          </w:p>
        </w:tc>
        <w:tc>
          <w:tcPr>
            <w:tcW w:w="7246" w:type="dxa"/>
            <w:tcBorders>
              <w:top w:val="single" w:color="auto" w:sz="4" w:space="0"/>
              <w:left w:val="single" w:color="auto" w:sz="4" w:space="0"/>
              <w:bottom w:val="single" w:color="auto" w:sz="4" w:space="0"/>
            </w:tcBorders>
            <w:vAlign w:val="center"/>
          </w:tcPr>
          <w:p w14:paraId="1AAA6A7F">
            <w:pPr>
              <w:rPr>
                <w:rFonts w:ascii="宋体" w:cs="宋体"/>
                <w:color w:val="auto"/>
                <w:spacing w:val="-4"/>
                <w:sz w:val="24"/>
                <w:szCs w:val="24"/>
                <w:highlight w:val="none"/>
              </w:rPr>
            </w:pPr>
            <w:r>
              <w:rPr>
                <w:rFonts w:ascii="宋体" w:hAnsi="宋体" w:cs="宋体"/>
                <w:color w:val="auto"/>
                <w:spacing w:val="-4"/>
                <w:sz w:val="24"/>
                <w:szCs w:val="24"/>
                <w:highlight w:val="none"/>
              </w:rPr>
              <w:t>1</w:t>
            </w:r>
            <w:r>
              <w:rPr>
                <w:rFonts w:hint="eastAsia" w:ascii="宋体" w:hAnsi="宋体" w:cs="宋体"/>
                <w:color w:val="auto"/>
                <w:spacing w:val="-4"/>
                <w:sz w:val="24"/>
                <w:szCs w:val="24"/>
                <w:highlight w:val="none"/>
              </w:rPr>
              <w:t>、电子响应文件（包括“电子加密响应文件”和“备份响应文件”，在响应文件编制完成后同时生成）；</w:t>
            </w:r>
          </w:p>
          <w:p w14:paraId="63420EB0">
            <w:pPr>
              <w:rPr>
                <w:rFonts w:ascii="宋体" w:cs="宋体"/>
                <w:color w:val="auto"/>
                <w:spacing w:val="-4"/>
                <w:sz w:val="24"/>
                <w:szCs w:val="24"/>
                <w:highlight w:val="none"/>
              </w:rPr>
            </w:pPr>
            <w:r>
              <w:rPr>
                <w:rFonts w:hint="eastAsia" w:ascii="宋体" w:hAnsi="宋体" w:cs="宋体"/>
                <w:color w:val="auto"/>
                <w:spacing w:val="-4"/>
                <w:sz w:val="24"/>
                <w:szCs w:val="24"/>
                <w:highlight w:val="none"/>
              </w:rPr>
              <w:t>（</w:t>
            </w:r>
            <w:r>
              <w:rPr>
                <w:rFonts w:ascii="宋体" w:hAnsi="宋体" w:cs="宋体"/>
                <w:color w:val="auto"/>
                <w:spacing w:val="-4"/>
                <w:sz w:val="24"/>
                <w:szCs w:val="24"/>
                <w:highlight w:val="none"/>
              </w:rPr>
              <w:t>1</w:t>
            </w:r>
            <w:r>
              <w:rPr>
                <w:rFonts w:hint="eastAsia" w:ascii="宋体" w:hAnsi="宋体" w:cs="宋体"/>
                <w:color w:val="auto"/>
                <w:spacing w:val="-4"/>
                <w:sz w:val="24"/>
                <w:szCs w:val="24"/>
                <w:highlight w:val="none"/>
              </w:rPr>
              <w:t>）“电子加密响应文件”是指通过“政采云电子交易客户端”完成响应文件编制后生成并加密的数据电文形式的响应文件。</w:t>
            </w:r>
          </w:p>
          <w:p w14:paraId="60531786">
            <w:pPr>
              <w:rPr>
                <w:rFonts w:ascii="宋体" w:cs="宋体"/>
                <w:color w:val="auto"/>
                <w:spacing w:val="-4"/>
                <w:sz w:val="24"/>
                <w:szCs w:val="24"/>
                <w:highlight w:val="none"/>
              </w:rPr>
            </w:pPr>
            <w:r>
              <w:rPr>
                <w:rFonts w:hint="eastAsia" w:ascii="宋体" w:hAnsi="宋体" w:cs="宋体"/>
                <w:color w:val="auto"/>
                <w:spacing w:val="-4"/>
                <w:sz w:val="24"/>
                <w:szCs w:val="24"/>
                <w:highlight w:val="none"/>
              </w:rPr>
              <w:t>（</w:t>
            </w:r>
            <w:r>
              <w:rPr>
                <w:rFonts w:ascii="宋体" w:hAnsi="宋体" w:cs="宋体"/>
                <w:color w:val="auto"/>
                <w:spacing w:val="-4"/>
                <w:sz w:val="24"/>
                <w:szCs w:val="24"/>
                <w:highlight w:val="none"/>
              </w:rPr>
              <w:t>2</w:t>
            </w:r>
            <w:r>
              <w:rPr>
                <w:rFonts w:hint="eastAsia" w:ascii="宋体" w:hAnsi="宋体" w:cs="宋体"/>
                <w:color w:val="auto"/>
                <w:spacing w:val="-4"/>
                <w:sz w:val="24"/>
                <w:szCs w:val="24"/>
                <w:highlight w:val="none"/>
              </w:rPr>
              <w:t>）“备份响应文件”是指与“电子加密响应文件”同时生成的数据电文形式的电子文件（备份标书），其他方式编制的备份响应文件视为无效备份响应文件。仅在出现解密异常情况下使用。</w:t>
            </w:r>
          </w:p>
          <w:p w14:paraId="24E540DF">
            <w:pPr>
              <w:rPr>
                <w:rFonts w:ascii="宋体" w:cs="宋体"/>
                <w:color w:val="auto"/>
                <w:spacing w:val="-4"/>
                <w:sz w:val="24"/>
                <w:szCs w:val="24"/>
                <w:highlight w:val="none"/>
              </w:rPr>
            </w:pPr>
            <w:r>
              <w:rPr>
                <w:rFonts w:ascii="宋体" w:hAnsi="宋体" w:cs="宋体"/>
                <w:color w:val="auto"/>
                <w:spacing w:val="-4"/>
                <w:sz w:val="24"/>
                <w:szCs w:val="24"/>
                <w:highlight w:val="none"/>
              </w:rPr>
              <w:t>2</w:t>
            </w:r>
            <w:r>
              <w:rPr>
                <w:rFonts w:hint="eastAsia" w:ascii="宋体" w:hAnsi="宋体" w:cs="宋体"/>
                <w:color w:val="auto"/>
                <w:spacing w:val="-4"/>
                <w:sz w:val="24"/>
                <w:szCs w:val="24"/>
                <w:highlight w:val="none"/>
              </w:rPr>
              <w:t>、是否需要提及纸质版响应文件：否，但中标后，中标单位需在领取中标通知书时，向招标代理机构提交与电子响应文件一致的纸质版本一式三份（按照磋商文件要求签字盖章）。</w:t>
            </w:r>
          </w:p>
        </w:tc>
      </w:tr>
      <w:tr w14:paraId="5E17B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831" w:type="dxa"/>
            <w:tcBorders>
              <w:top w:val="single" w:color="auto" w:sz="4" w:space="0"/>
              <w:bottom w:val="single" w:color="auto" w:sz="4" w:space="0"/>
              <w:right w:val="single" w:color="auto" w:sz="4" w:space="0"/>
            </w:tcBorders>
            <w:vAlign w:val="center"/>
          </w:tcPr>
          <w:p w14:paraId="6668E7E2">
            <w:pPr>
              <w:jc w:val="center"/>
              <w:rPr>
                <w:rFonts w:ascii="宋体" w:hAnsi="宋体" w:cs="宋体"/>
                <w:color w:val="auto"/>
                <w:sz w:val="24"/>
                <w:szCs w:val="24"/>
                <w:highlight w:val="none"/>
              </w:rPr>
            </w:pPr>
            <w:r>
              <w:rPr>
                <w:rFonts w:ascii="宋体" w:hAnsi="宋体" w:cs="宋体"/>
                <w:color w:val="auto"/>
                <w:sz w:val="24"/>
                <w:szCs w:val="24"/>
                <w:highlight w:val="none"/>
              </w:rPr>
              <w:t>7</w:t>
            </w:r>
          </w:p>
        </w:tc>
        <w:tc>
          <w:tcPr>
            <w:tcW w:w="2055" w:type="dxa"/>
            <w:tcBorders>
              <w:top w:val="single" w:color="auto" w:sz="4" w:space="0"/>
              <w:left w:val="single" w:color="auto" w:sz="4" w:space="0"/>
              <w:bottom w:val="single" w:color="auto" w:sz="4" w:space="0"/>
              <w:right w:val="single" w:color="auto" w:sz="4" w:space="0"/>
            </w:tcBorders>
            <w:vAlign w:val="center"/>
          </w:tcPr>
          <w:p w14:paraId="639523E7">
            <w:pPr>
              <w:jc w:val="center"/>
              <w:rPr>
                <w:rFonts w:ascii="宋体" w:cs="宋体"/>
                <w:color w:val="auto"/>
                <w:kern w:val="0"/>
                <w:sz w:val="24"/>
                <w:szCs w:val="24"/>
                <w:highlight w:val="none"/>
              </w:rPr>
            </w:pPr>
            <w:r>
              <w:rPr>
                <w:rFonts w:hint="eastAsia" w:ascii="宋体" w:hAnsi="宋体" w:cs="宋体"/>
                <w:color w:val="auto"/>
                <w:kern w:val="0"/>
                <w:sz w:val="24"/>
                <w:szCs w:val="24"/>
                <w:highlight w:val="none"/>
              </w:rPr>
              <w:t>响应文件份数</w:t>
            </w:r>
          </w:p>
        </w:tc>
        <w:tc>
          <w:tcPr>
            <w:tcW w:w="7246" w:type="dxa"/>
            <w:tcBorders>
              <w:top w:val="single" w:color="auto" w:sz="4" w:space="0"/>
              <w:left w:val="single" w:color="auto" w:sz="4" w:space="0"/>
              <w:bottom w:val="single" w:color="auto" w:sz="4" w:space="0"/>
            </w:tcBorders>
            <w:vAlign w:val="center"/>
          </w:tcPr>
          <w:p w14:paraId="29228EF4">
            <w:pPr>
              <w:rPr>
                <w:rFonts w:asci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、“电子加密响应文件”：在线上传递交、一份。</w:t>
            </w:r>
          </w:p>
          <w:p w14:paraId="1218C489">
            <w:pPr>
              <w:snapToGrid w:val="0"/>
              <w:rPr>
                <w:rFonts w:asci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备份响应文件”：一份。以介质存储的数据电文形式的备份响应文件（</w:t>
            </w:r>
            <w:r>
              <w:rPr>
                <w:rFonts w:ascii="宋体" w:hAnsi="宋体" w:cs="宋体"/>
                <w:color w:val="auto"/>
                <w:sz w:val="24"/>
                <w:szCs w:val="24"/>
                <w:highlight w:val="none"/>
              </w:rPr>
              <w:t>BFBS</w:t>
            </w:r>
            <w:r>
              <w:rPr>
                <w:rFonts w:hint="eastAsia" w:ascii="宋体" w:hAnsi="宋体" w:cs="宋体"/>
                <w:color w:val="auto"/>
                <w:sz w:val="24"/>
                <w:szCs w:val="24"/>
                <w:highlight w:val="none"/>
              </w:rPr>
              <w:t>格式</w:t>
            </w:r>
            <w:r>
              <w:rPr>
                <w:rFonts w:ascii="宋体" w:hAnsi="宋体" w:cs="宋体"/>
                <w:color w:val="auto"/>
                <w:sz w:val="24"/>
                <w:szCs w:val="24"/>
                <w:highlight w:val="none"/>
              </w:rPr>
              <w:t>)</w:t>
            </w:r>
            <w:r>
              <w:rPr>
                <w:rFonts w:hint="eastAsia" w:ascii="宋体" w:hAnsi="宋体" w:cs="宋体"/>
                <w:color w:val="auto"/>
                <w:sz w:val="24"/>
                <w:szCs w:val="24"/>
                <w:highlight w:val="none"/>
              </w:rPr>
              <w:t>，按政采云平台项目采购</w:t>
            </w:r>
            <w:r>
              <w:rPr>
                <w:rFonts w:ascii="宋体" w:hAnsi="宋体" w:cs="宋体"/>
                <w:color w:val="auto"/>
                <w:sz w:val="24"/>
                <w:szCs w:val="24"/>
                <w:highlight w:val="none"/>
              </w:rPr>
              <w:t>-</w:t>
            </w:r>
            <w:r>
              <w:rPr>
                <w:rFonts w:hint="eastAsia" w:ascii="宋体" w:hAnsi="宋体" w:cs="宋体"/>
                <w:color w:val="auto"/>
                <w:sz w:val="24"/>
                <w:szCs w:val="24"/>
                <w:highlight w:val="none"/>
              </w:rPr>
              <w:t>电子交易操作指南中上传的电子响应文件格式，以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盘形式存储提供</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U</w:t>
            </w:r>
            <w:r>
              <w:rPr>
                <w:rFonts w:hint="eastAsia" w:ascii="宋体" w:hAnsi="宋体" w:cs="宋体"/>
                <w:color w:val="auto"/>
                <w:sz w:val="24"/>
                <w:szCs w:val="24"/>
                <w:highlight w:val="none"/>
              </w:rPr>
              <w:t>盘盘面上粘贴标签，标注单位名称，装入一个外包封袋中进行邮寄。邮寄时，总的外包封袋上可不注明单位名称，但应注明单位的联系人、联系电话及项目名称。邮寄地址为：浙江华耀建设咨询有限公司（湖州市静江公寓</w:t>
            </w:r>
            <w:r>
              <w:rPr>
                <w:rFonts w:ascii="宋体" w:hAnsi="宋体" w:cs="宋体"/>
                <w:color w:val="auto"/>
                <w:sz w:val="24"/>
                <w:szCs w:val="24"/>
                <w:highlight w:val="none"/>
              </w:rPr>
              <w:t>1</w:t>
            </w:r>
            <w:r>
              <w:rPr>
                <w:rFonts w:hint="eastAsia" w:ascii="宋体" w:hAnsi="宋体" w:cs="宋体"/>
                <w:color w:val="auto"/>
                <w:sz w:val="24"/>
                <w:szCs w:val="24"/>
                <w:highlight w:val="none"/>
              </w:rPr>
              <w:t>单元</w:t>
            </w:r>
            <w:r>
              <w:rPr>
                <w:rFonts w:ascii="宋体" w:hAnsi="宋体" w:cs="宋体"/>
                <w:color w:val="auto"/>
                <w:sz w:val="24"/>
                <w:szCs w:val="24"/>
                <w:highlight w:val="none"/>
              </w:rPr>
              <w:t>1101</w:t>
            </w:r>
            <w:r>
              <w:rPr>
                <w:rFonts w:hint="eastAsia" w:ascii="宋体" w:hAnsi="宋体" w:cs="宋体"/>
                <w:color w:val="auto"/>
                <w:sz w:val="24"/>
                <w:szCs w:val="24"/>
                <w:highlight w:val="none"/>
              </w:rPr>
              <w:t>室），联系人：张治中，联系电话：</w:t>
            </w:r>
            <w:r>
              <w:rPr>
                <w:rFonts w:ascii="宋体" w:hAnsi="宋体" w:cs="宋体"/>
                <w:color w:val="auto"/>
                <w:sz w:val="24"/>
                <w:szCs w:val="24"/>
                <w:highlight w:val="none"/>
              </w:rPr>
              <w:t>0572-2198738</w:t>
            </w:r>
            <w:r>
              <w:rPr>
                <w:rFonts w:hint="eastAsia" w:ascii="宋体" w:hAnsi="宋体" w:cs="宋体"/>
                <w:color w:val="auto"/>
                <w:sz w:val="24"/>
                <w:szCs w:val="24"/>
                <w:highlight w:val="none"/>
              </w:rPr>
              <w:t>，供应商</w:t>
            </w:r>
            <w:r>
              <w:rPr>
                <w:rFonts w:ascii="宋体" w:hAnsi="宋体" w:cs="宋体"/>
                <w:color w:val="auto"/>
                <w:sz w:val="24"/>
                <w:szCs w:val="24"/>
                <w:highlight w:val="none"/>
              </w:rPr>
              <w:t>应于</w:t>
            </w:r>
            <w:r>
              <w:rPr>
                <w:rFonts w:hint="eastAsia" w:ascii="宋体" w:hAnsi="宋体" w:cs="宋体"/>
                <w:color w:val="auto"/>
                <w:sz w:val="24"/>
                <w:szCs w:val="24"/>
                <w:highlight w:val="none"/>
              </w:rPr>
              <w:t>2025年 月 日11</w:t>
            </w:r>
            <w:r>
              <w:rPr>
                <w:rFonts w:ascii="宋体" w:hAnsi="宋体" w:cs="宋体"/>
                <w:color w:val="auto"/>
                <w:sz w:val="24"/>
                <w:szCs w:val="24"/>
                <w:highlight w:val="none"/>
              </w:rPr>
              <w:t>:00</w:t>
            </w:r>
            <w:r>
              <w:rPr>
                <w:rFonts w:hint="eastAsia" w:ascii="宋体" w:hAnsi="宋体" w:cs="宋体"/>
                <w:color w:val="auto"/>
                <w:sz w:val="24"/>
                <w:szCs w:val="24"/>
                <w:highlight w:val="none"/>
              </w:rPr>
              <w:t>时前准时送达，拒绝到付，逾期送达的将拒绝接收。</w:t>
            </w:r>
          </w:p>
        </w:tc>
      </w:tr>
      <w:tr w14:paraId="44850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831" w:type="dxa"/>
            <w:tcBorders>
              <w:top w:val="single" w:color="auto" w:sz="4" w:space="0"/>
              <w:bottom w:val="single" w:color="auto" w:sz="4" w:space="0"/>
              <w:right w:val="single" w:color="auto" w:sz="4" w:space="0"/>
            </w:tcBorders>
            <w:vAlign w:val="center"/>
          </w:tcPr>
          <w:p w14:paraId="0D4D2DAC">
            <w:pPr>
              <w:jc w:val="center"/>
              <w:rPr>
                <w:rFonts w:ascii="宋体" w:hAnsi="宋体" w:cs="宋体"/>
                <w:color w:val="auto"/>
                <w:sz w:val="24"/>
                <w:szCs w:val="24"/>
                <w:highlight w:val="none"/>
              </w:rPr>
            </w:pPr>
            <w:r>
              <w:rPr>
                <w:rFonts w:ascii="宋体" w:hAnsi="宋体" w:cs="宋体"/>
                <w:color w:val="auto"/>
                <w:sz w:val="24"/>
                <w:szCs w:val="24"/>
                <w:highlight w:val="none"/>
              </w:rPr>
              <w:t>8</w:t>
            </w:r>
          </w:p>
        </w:tc>
        <w:tc>
          <w:tcPr>
            <w:tcW w:w="2055" w:type="dxa"/>
            <w:tcBorders>
              <w:top w:val="single" w:color="auto" w:sz="4" w:space="0"/>
              <w:left w:val="single" w:color="auto" w:sz="4" w:space="0"/>
              <w:bottom w:val="single" w:color="auto" w:sz="4" w:space="0"/>
              <w:right w:val="single" w:color="auto" w:sz="4" w:space="0"/>
            </w:tcBorders>
            <w:vAlign w:val="center"/>
          </w:tcPr>
          <w:p w14:paraId="16DD6AED">
            <w:pPr>
              <w:jc w:val="left"/>
              <w:rPr>
                <w:rFonts w:ascii="宋体" w:cs="宋体"/>
                <w:color w:val="auto"/>
                <w:sz w:val="24"/>
                <w:szCs w:val="24"/>
                <w:highlight w:val="none"/>
              </w:rPr>
            </w:pPr>
            <w:r>
              <w:rPr>
                <w:rFonts w:hint="eastAsia" w:ascii="宋体" w:hAnsi="宋体" w:cs="宋体"/>
                <w:color w:val="auto"/>
                <w:sz w:val="24"/>
                <w:szCs w:val="24"/>
                <w:highlight w:val="none"/>
              </w:rPr>
              <w:t>电子加密响应文件的解密和异常情况处理</w:t>
            </w:r>
          </w:p>
          <w:p w14:paraId="51276559">
            <w:pPr>
              <w:jc w:val="center"/>
              <w:rPr>
                <w:rFonts w:ascii="宋体" w:cs="宋体"/>
                <w:color w:val="auto"/>
                <w:sz w:val="24"/>
                <w:szCs w:val="24"/>
                <w:highlight w:val="none"/>
              </w:rPr>
            </w:pPr>
          </w:p>
        </w:tc>
        <w:tc>
          <w:tcPr>
            <w:tcW w:w="7246" w:type="dxa"/>
            <w:tcBorders>
              <w:top w:val="single" w:color="auto" w:sz="4" w:space="0"/>
              <w:left w:val="single" w:color="auto" w:sz="4" w:space="0"/>
              <w:bottom w:val="single" w:color="auto" w:sz="4" w:space="0"/>
            </w:tcBorders>
            <w:vAlign w:val="center"/>
          </w:tcPr>
          <w:p w14:paraId="77527BEB">
            <w:pPr>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）开标后，采购组织机构将向各供应商发出“电子加密响应文件”的解密通知，各供应商代表应当在接到解密通知后</w:t>
            </w:r>
            <w:r>
              <w:rPr>
                <w:rFonts w:ascii="宋体" w:hAnsi="宋体" w:cs="宋体"/>
                <w:color w:val="auto"/>
                <w:sz w:val="24"/>
                <w:szCs w:val="24"/>
                <w:highlight w:val="none"/>
              </w:rPr>
              <w:t>30</w:t>
            </w:r>
            <w:r>
              <w:rPr>
                <w:rFonts w:hint="eastAsia" w:ascii="宋体" w:hAnsi="宋体" w:cs="宋体"/>
                <w:color w:val="auto"/>
                <w:sz w:val="24"/>
                <w:szCs w:val="24"/>
                <w:highlight w:val="none"/>
              </w:rPr>
              <w:t>分钟内自行完成“电子加密响应文件”的在线解密。</w:t>
            </w:r>
          </w:p>
          <w:p w14:paraId="41273DF1">
            <w:pPr>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23059E6B">
            <w:pPr>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）磋商截止时间前，供应商仅递交了“备份响应文件”而未将电子加密响应文件上传至“政府采购云平台”的，磋商无效。</w:t>
            </w:r>
          </w:p>
        </w:tc>
      </w:tr>
      <w:tr w14:paraId="7FA02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831" w:type="dxa"/>
            <w:tcBorders>
              <w:top w:val="single" w:color="auto" w:sz="4" w:space="0"/>
              <w:bottom w:val="single" w:color="auto" w:sz="4" w:space="0"/>
              <w:right w:val="single" w:color="auto" w:sz="4" w:space="0"/>
            </w:tcBorders>
            <w:vAlign w:val="center"/>
          </w:tcPr>
          <w:p w14:paraId="1BDFB188">
            <w:pPr>
              <w:jc w:val="center"/>
              <w:rPr>
                <w:rFonts w:ascii="宋体" w:hAnsi="宋体" w:cs="宋体"/>
                <w:color w:val="auto"/>
                <w:sz w:val="24"/>
                <w:szCs w:val="24"/>
                <w:highlight w:val="none"/>
              </w:rPr>
            </w:pPr>
            <w:r>
              <w:rPr>
                <w:rFonts w:ascii="宋体" w:hAnsi="宋体" w:cs="宋体"/>
                <w:color w:val="auto"/>
                <w:sz w:val="24"/>
                <w:szCs w:val="24"/>
                <w:highlight w:val="none"/>
              </w:rPr>
              <w:t>9</w:t>
            </w:r>
          </w:p>
        </w:tc>
        <w:tc>
          <w:tcPr>
            <w:tcW w:w="2055" w:type="dxa"/>
            <w:tcBorders>
              <w:top w:val="single" w:color="auto" w:sz="4" w:space="0"/>
              <w:left w:val="single" w:color="auto" w:sz="4" w:space="0"/>
              <w:bottom w:val="single" w:color="auto" w:sz="4" w:space="0"/>
              <w:right w:val="single" w:color="auto" w:sz="4" w:space="0"/>
            </w:tcBorders>
            <w:vAlign w:val="center"/>
          </w:tcPr>
          <w:p w14:paraId="40249665">
            <w:pPr>
              <w:jc w:val="center"/>
              <w:rPr>
                <w:rFonts w:ascii="宋体" w:cs="宋体"/>
                <w:color w:val="auto"/>
                <w:sz w:val="24"/>
                <w:szCs w:val="24"/>
                <w:highlight w:val="none"/>
              </w:rPr>
            </w:pPr>
            <w:r>
              <w:rPr>
                <w:rFonts w:hint="eastAsia" w:ascii="宋体" w:hAnsi="宋体" w:cs="宋体"/>
                <w:color w:val="auto"/>
                <w:sz w:val="24"/>
                <w:szCs w:val="24"/>
                <w:highlight w:val="none"/>
              </w:rPr>
              <w:t>磋商时间（磋商截止时间）</w:t>
            </w:r>
          </w:p>
        </w:tc>
        <w:tc>
          <w:tcPr>
            <w:tcW w:w="7246" w:type="dxa"/>
            <w:tcBorders>
              <w:top w:val="single" w:color="auto" w:sz="4" w:space="0"/>
              <w:left w:val="single" w:color="auto" w:sz="4" w:space="0"/>
              <w:bottom w:val="single" w:color="auto" w:sz="4" w:space="0"/>
            </w:tcBorders>
            <w:vAlign w:val="center"/>
          </w:tcPr>
          <w:p w14:paraId="2D0ACCA7">
            <w:pPr>
              <w:shd w:val="clear" w:color="auto" w:fill="FFFFFF"/>
              <w:spacing w:line="400" w:lineRule="atLeast"/>
              <w:rPr>
                <w:rFonts w:ascii="宋体" w:cs="宋体"/>
                <w:color w:val="auto"/>
                <w:sz w:val="24"/>
                <w:szCs w:val="24"/>
                <w:highlight w:val="none"/>
              </w:rPr>
            </w:pPr>
            <w:r>
              <w:rPr>
                <w:rFonts w:ascii="宋体" w:hAnsi="宋体" w:cs="宋体"/>
                <w:color w:val="auto"/>
                <w:sz w:val="24"/>
                <w:szCs w:val="24"/>
                <w:highlight w:val="none"/>
              </w:rPr>
              <w:t>2025年 月 日14:</w:t>
            </w:r>
            <w:r>
              <w:rPr>
                <w:rFonts w:hint="eastAsia" w:ascii="宋体" w:hAnsi="宋体" w:cs="宋体"/>
                <w:color w:val="auto"/>
                <w:sz w:val="24"/>
                <w:szCs w:val="24"/>
                <w:highlight w:val="none"/>
              </w:rPr>
              <w:t>3</w:t>
            </w:r>
            <w:r>
              <w:rPr>
                <w:rFonts w:ascii="宋体" w:hAnsi="宋体" w:cs="宋体"/>
                <w:color w:val="auto"/>
                <w:sz w:val="24"/>
                <w:szCs w:val="24"/>
                <w:highlight w:val="none"/>
              </w:rPr>
              <w:t>0</w:t>
            </w:r>
            <w:r>
              <w:rPr>
                <w:rFonts w:hint="eastAsia" w:ascii="宋体" w:hAnsi="宋体" w:cs="宋体"/>
                <w:color w:val="auto"/>
                <w:sz w:val="24"/>
                <w:szCs w:val="24"/>
                <w:highlight w:val="none"/>
              </w:rPr>
              <w:t>时（北京时间）</w:t>
            </w:r>
          </w:p>
        </w:tc>
      </w:tr>
      <w:tr w14:paraId="5477A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831" w:type="dxa"/>
            <w:tcBorders>
              <w:top w:val="single" w:color="auto" w:sz="4" w:space="0"/>
              <w:bottom w:val="single" w:color="auto" w:sz="4" w:space="0"/>
              <w:right w:val="single" w:color="auto" w:sz="4" w:space="0"/>
            </w:tcBorders>
            <w:vAlign w:val="center"/>
          </w:tcPr>
          <w:p w14:paraId="1F1C16E9">
            <w:pPr>
              <w:jc w:val="center"/>
              <w:rPr>
                <w:rFonts w:ascii="宋体" w:hAnsi="宋体" w:cs="宋体"/>
                <w:color w:val="auto"/>
                <w:sz w:val="24"/>
                <w:szCs w:val="24"/>
                <w:highlight w:val="none"/>
              </w:rPr>
            </w:pPr>
            <w:r>
              <w:rPr>
                <w:rFonts w:ascii="宋体" w:hAnsi="宋体" w:cs="宋体"/>
                <w:color w:val="auto"/>
                <w:sz w:val="24"/>
                <w:szCs w:val="24"/>
                <w:highlight w:val="none"/>
              </w:rPr>
              <w:t>10</w:t>
            </w:r>
          </w:p>
        </w:tc>
        <w:tc>
          <w:tcPr>
            <w:tcW w:w="2055" w:type="dxa"/>
            <w:tcBorders>
              <w:top w:val="single" w:color="auto" w:sz="4" w:space="0"/>
              <w:left w:val="single" w:color="auto" w:sz="4" w:space="0"/>
              <w:bottom w:val="single" w:color="auto" w:sz="4" w:space="0"/>
              <w:right w:val="single" w:color="auto" w:sz="4" w:space="0"/>
            </w:tcBorders>
            <w:vAlign w:val="center"/>
          </w:tcPr>
          <w:p w14:paraId="0E5ABE89">
            <w:pPr>
              <w:jc w:val="center"/>
              <w:rPr>
                <w:rFonts w:ascii="宋体" w:cs="宋体"/>
                <w:color w:val="auto"/>
                <w:sz w:val="24"/>
                <w:szCs w:val="24"/>
                <w:highlight w:val="none"/>
              </w:rPr>
            </w:pPr>
            <w:r>
              <w:rPr>
                <w:rFonts w:hint="eastAsia" w:ascii="宋体" w:hAnsi="宋体" w:cs="宋体"/>
                <w:color w:val="auto"/>
                <w:sz w:val="24"/>
                <w:szCs w:val="24"/>
                <w:highlight w:val="none"/>
              </w:rPr>
              <w:t>磋商地点</w:t>
            </w:r>
          </w:p>
        </w:tc>
        <w:tc>
          <w:tcPr>
            <w:tcW w:w="7246" w:type="dxa"/>
            <w:tcBorders>
              <w:top w:val="single" w:color="auto" w:sz="4" w:space="0"/>
              <w:left w:val="single" w:color="auto" w:sz="4" w:space="0"/>
              <w:bottom w:val="single" w:color="auto" w:sz="4" w:space="0"/>
            </w:tcBorders>
            <w:vAlign w:val="center"/>
          </w:tcPr>
          <w:p w14:paraId="7D741454">
            <w:pPr>
              <w:pStyle w:val="288"/>
              <w:jc w:val="both"/>
              <w:rPr>
                <w:rFonts w:hAnsi="宋体" w:cs="Times New Roman"/>
                <w:color w:val="auto"/>
                <w:kern w:val="2"/>
                <w:highlight w:val="none"/>
              </w:rPr>
            </w:pPr>
            <w:r>
              <w:rPr>
                <w:rFonts w:hint="eastAsia" w:hAnsi="宋体"/>
                <w:color w:val="auto"/>
                <w:kern w:val="2"/>
                <w:highlight w:val="none"/>
              </w:rPr>
              <w:t>磋商地点：</w:t>
            </w:r>
            <w:r>
              <w:rPr>
                <w:rFonts w:hint="eastAsia" w:hAnsi="宋体"/>
                <w:color w:val="auto"/>
                <w:szCs w:val="21"/>
                <w:highlight w:val="none"/>
                <w:lang w:val="zh-CN"/>
              </w:rPr>
              <w:t>长兴县市民服务中心四楼（长兴县锦绣路8号）公共资源交易中心开标室（届时详见四楼大屏公告栏）。</w:t>
            </w:r>
            <w:r>
              <w:rPr>
                <w:rFonts w:hint="eastAsia" w:hAnsi="宋体"/>
                <w:color w:val="auto"/>
                <w:kern w:val="2"/>
                <w:highlight w:val="none"/>
              </w:rPr>
              <w:t>供应商应在响应截止时间前登入“政府采购云平台（</w:t>
            </w:r>
            <w:r>
              <w:rPr>
                <w:rFonts w:hAnsi="宋体"/>
                <w:color w:val="auto"/>
                <w:kern w:val="2"/>
                <w:highlight w:val="none"/>
              </w:rPr>
              <w:t>www.zcygov.cn</w:t>
            </w:r>
            <w:r>
              <w:rPr>
                <w:rFonts w:hint="eastAsia" w:hAnsi="宋体"/>
                <w:color w:val="auto"/>
                <w:kern w:val="2"/>
                <w:highlight w:val="none"/>
              </w:rPr>
              <w:t>）”在线参与开标，并完成</w:t>
            </w:r>
            <w:r>
              <w:rPr>
                <w:rFonts w:hAnsi="宋体"/>
                <w:color w:val="auto"/>
                <w:kern w:val="2"/>
                <w:highlight w:val="none"/>
              </w:rPr>
              <w:t>CA</w:t>
            </w:r>
            <w:r>
              <w:rPr>
                <w:rFonts w:hint="eastAsia" w:hAnsi="宋体"/>
                <w:color w:val="auto"/>
                <w:kern w:val="2"/>
                <w:highlight w:val="none"/>
              </w:rPr>
              <w:t>锁在线解密响应文件等相关工作。</w:t>
            </w:r>
          </w:p>
        </w:tc>
      </w:tr>
      <w:tr w14:paraId="344A1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831" w:type="dxa"/>
            <w:tcBorders>
              <w:top w:val="single" w:color="auto" w:sz="4" w:space="0"/>
              <w:bottom w:val="single" w:color="auto" w:sz="4" w:space="0"/>
              <w:right w:val="single" w:color="auto" w:sz="4" w:space="0"/>
            </w:tcBorders>
            <w:vAlign w:val="center"/>
          </w:tcPr>
          <w:p w14:paraId="55CFCFA4">
            <w:pPr>
              <w:jc w:val="center"/>
              <w:rPr>
                <w:rFonts w:ascii="宋体" w:hAnsi="宋体" w:cs="宋体"/>
                <w:color w:val="auto"/>
                <w:sz w:val="24"/>
                <w:szCs w:val="24"/>
                <w:highlight w:val="none"/>
              </w:rPr>
            </w:pPr>
            <w:r>
              <w:rPr>
                <w:rFonts w:ascii="宋体" w:hAnsi="宋体" w:cs="宋体"/>
                <w:color w:val="auto"/>
                <w:sz w:val="24"/>
                <w:szCs w:val="24"/>
                <w:highlight w:val="none"/>
              </w:rPr>
              <w:t>11</w:t>
            </w:r>
          </w:p>
        </w:tc>
        <w:tc>
          <w:tcPr>
            <w:tcW w:w="2055" w:type="dxa"/>
            <w:tcBorders>
              <w:top w:val="single" w:color="auto" w:sz="4" w:space="0"/>
              <w:left w:val="single" w:color="auto" w:sz="4" w:space="0"/>
              <w:bottom w:val="single" w:color="auto" w:sz="4" w:space="0"/>
              <w:right w:val="single" w:color="auto" w:sz="4" w:space="0"/>
            </w:tcBorders>
            <w:vAlign w:val="center"/>
          </w:tcPr>
          <w:p w14:paraId="094B7767">
            <w:pPr>
              <w:jc w:val="center"/>
              <w:rPr>
                <w:rFonts w:ascii="宋体" w:cs="宋体"/>
                <w:color w:val="auto"/>
                <w:sz w:val="24"/>
                <w:szCs w:val="24"/>
                <w:highlight w:val="none"/>
              </w:rPr>
            </w:pPr>
            <w:r>
              <w:rPr>
                <w:rFonts w:hint="eastAsia" w:ascii="宋体" w:hAnsi="宋体" w:cs="宋体"/>
                <w:color w:val="auto"/>
                <w:sz w:val="24"/>
                <w:szCs w:val="24"/>
                <w:highlight w:val="none"/>
              </w:rPr>
              <w:t>磋商有效期</w:t>
            </w:r>
          </w:p>
        </w:tc>
        <w:tc>
          <w:tcPr>
            <w:tcW w:w="7246" w:type="dxa"/>
            <w:tcBorders>
              <w:top w:val="single" w:color="auto" w:sz="4" w:space="0"/>
              <w:left w:val="single" w:color="auto" w:sz="4" w:space="0"/>
              <w:bottom w:val="single" w:color="auto" w:sz="4" w:space="0"/>
            </w:tcBorders>
            <w:vAlign w:val="center"/>
          </w:tcPr>
          <w:p w14:paraId="74F36EDA">
            <w:pPr>
              <w:rPr>
                <w:rFonts w:ascii="宋体" w:cs="宋体"/>
                <w:color w:val="auto"/>
                <w:sz w:val="24"/>
                <w:szCs w:val="24"/>
                <w:highlight w:val="none"/>
              </w:rPr>
            </w:pPr>
            <w:r>
              <w:rPr>
                <w:rFonts w:ascii="宋体" w:hAnsi="宋体" w:cs="宋体"/>
                <w:color w:val="auto"/>
                <w:sz w:val="24"/>
                <w:szCs w:val="24"/>
                <w:highlight w:val="none"/>
              </w:rPr>
              <w:t>60</w:t>
            </w:r>
            <w:r>
              <w:rPr>
                <w:rFonts w:hint="eastAsia" w:ascii="宋体" w:hAnsi="宋体" w:cs="宋体"/>
                <w:color w:val="auto"/>
                <w:sz w:val="24"/>
                <w:szCs w:val="24"/>
                <w:highlight w:val="none"/>
              </w:rPr>
              <w:t>天（日历天）</w:t>
            </w:r>
          </w:p>
        </w:tc>
      </w:tr>
      <w:tr w14:paraId="70005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31" w:type="dxa"/>
            <w:tcBorders>
              <w:top w:val="single" w:color="auto" w:sz="4" w:space="0"/>
              <w:bottom w:val="single" w:color="auto" w:sz="4" w:space="0"/>
              <w:right w:val="single" w:color="auto" w:sz="4" w:space="0"/>
            </w:tcBorders>
            <w:vAlign w:val="center"/>
          </w:tcPr>
          <w:p w14:paraId="35B35FF4">
            <w:pPr>
              <w:jc w:val="center"/>
              <w:rPr>
                <w:rFonts w:ascii="宋体" w:hAnsi="宋体" w:cs="宋体"/>
                <w:color w:val="auto"/>
                <w:sz w:val="24"/>
                <w:szCs w:val="24"/>
                <w:highlight w:val="none"/>
              </w:rPr>
            </w:pPr>
            <w:r>
              <w:rPr>
                <w:rFonts w:ascii="宋体" w:hAnsi="宋体" w:cs="宋体"/>
                <w:color w:val="auto"/>
                <w:sz w:val="24"/>
                <w:szCs w:val="24"/>
                <w:highlight w:val="none"/>
              </w:rPr>
              <w:t>12</w:t>
            </w:r>
          </w:p>
        </w:tc>
        <w:tc>
          <w:tcPr>
            <w:tcW w:w="2055" w:type="dxa"/>
            <w:tcBorders>
              <w:top w:val="single" w:color="auto" w:sz="4" w:space="0"/>
              <w:left w:val="single" w:color="auto" w:sz="4" w:space="0"/>
              <w:bottom w:val="single" w:color="auto" w:sz="4" w:space="0"/>
              <w:right w:val="single" w:color="auto" w:sz="4" w:space="0"/>
            </w:tcBorders>
            <w:vAlign w:val="center"/>
          </w:tcPr>
          <w:p w14:paraId="01710DBD">
            <w:pPr>
              <w:jc w:val="center"/>
              <w:rPr>
                <w:rFonts w:ascii="宋体" w:cs="宋体"/>
                <w:color w:val="auto"/>
                <w:sz w:val="24"/>
                <w:szCs w:val="24"/>
                <w:highlight w:val="none"/>
              </w:rPr>
            </w:pPr>
            <w:r>
              <w:rPr>
                <w:rFonts w:hint="eastAsia" w:ascii="宋体" w:hAnsi="宋体" w:cs="宋体"/>
                <w:color w:val="auto"/>
                <w:sz w:val="24"/>
                <w:szCs w:val="24"/>
                <w:highlight w:val="none"/>
              </w:rPr>
              <w:t>履约保证金</w:t>
            </w:r>
          </w:p>
        </w:tc>
        <w:tc>
          <w:tcPr>
            <w:tcW w:w="7246" w:type="dxa"/>
            <w:tcBorders>
              <w:top w:val="single" w:color="auto" w:sz="4" w:space="0"/>
              <w:left w:val="single" w:color="auto" w:sz="4" w:space="0"/>
              <w:bottom w:val="single" w:color="auto" w:sz="4" w:space="0"/>
            </w:tcBorders>
            <w:vAlign w:val="center"/>
          </w:tcPr>
          <w:p w14:paraId="27D5C61C">
            <w:pPr>
              <w:rPr>
                <w:rFonts w:ascii="宋体" w:cs="宋体"/>
                <w:color w:val="auto"/>
                <w:sz w:val="24"/>
                <w:szCs w:val="24"/>
                <w:highlight w:val="none"/>
              </w:rPr>
            </w:pPr>
            <w:r>
              <w:rPr>
                <w:rFonts w:hint="eastAsia" w:asciiTheme="majorEastAsia" w:hAnsiTheme="majorEastAsia" w:eastAsiaTheme="majorEastAsia"/>
                <w:color w:val="auto"/>
                <w:sz w:val="24"/>
                <w:szCs w:val="24"/>
                <w:highlight w:val="none"/>
              </w:rPr>
              <w:t>合同签订前成交供应商向采购人交纳1%合同价款的履约保证金。项目验收结束后无息退还（违约部分除外）。合同履行完毕后如无质量索赔或扣款事件无息退还，如有，则扣除上述款项后无息退还。</w:t>
            </w:r>
          </w:p>
        </w:tc>
      </w:tr>
      <w:tr w14:paraId="251E2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77742D5F">
            <w:pPr>
              <w:jc w:val="center"/>
              <w:rPr>
                <w:rFonts w:ascii="宋体" w:hAnsi="宋体" w:cs="宋体"/>
                <w:color w:val="auto"/>
                <w:sz w:val="24"/>
                <w:szCs w:val="24"/>
                <w:highlight w:val="none"/>
              </w:rPr>
            </w:pPr>
            <w:r>
              <w:rPr>
                <w:rFonts w:ascii="宋体" w:hAnsi="宋体" w:cs="宋体"/>
                <w:color w:val="auto"/>
                <w:sz w:val="24"/>
                <w:szCs w:val="24"/>
                <w:highlight w:val="none"/>
              </w:rPr>
              <w:t>13</w:t>
            </w:r>
          </w:p>
        </w:tc>
        <w:tc>
          <w:tcPr>
            <w:tcW w:w="2055" w:type="dxa"/>
            <w:tcBorders>
              <w:top w:val="single" w:color="auto" w:sz="4" w:space="0"/>
              <w:left w:val="single" w:color="auto" w:sz="4" w:space="0"/>
              <w:bottom w:val="single" w:color="auto" w:sz="4" w:space="0"/>
              <w:right w:val="single" w:color="auto" w:sz="4" w:space="0"/>
            </w:tcBorders>
            <w:vAlign w:val="center"/>
          </w:tcPr>
          <w:p w14:paraId="1AACF079">
            <w:pPr>
              <w:jc w:val="center"/>
              <w:rPr>
                <w:rFonts w:ascii="宋体" w:cs="宋体"/>
                <w:color w:val="auto"/>
                <w:sz w:val="24"/>
                <w:szCs w:val="24"/>
                <w:highlight w:val="none"/>
              </w:rPr>
            </w:pPr>
            <w:r>
              <w:rPr>
                <w:rFonts w:hint="eastAsia" w:ascii="宋体" w:hAnsi="宋体" w:cs="宋体"/>
                <w:color w:val="auto"/>
                <w:sz w:val="24"/>
                <w:szCs w:val="24"/>
                <w:highlight w:val="none"/>
              </w:rPr>
              <w:t>磋商办法及评分标准</w:t>
            </w:r>
          </w:p>
        </w:tc>
        <w:tc>
          <w:tcPr>
            <w:tcW w:w="7246" w:type="dxa"/>
            <w:tcBorders>
              <w:top w:val="single" w:color="auto" w:sz="4" w:space="0"/>
              <w:left w:val="single" w:color="auto" w:sz="4" w:space="0"/>
              <w:bottom w:val="single" w:color="auto" w:sz="4" w:space="0"/>
            </w:tcBorders>
            <w:vAlign w:val="center"/>
          </w:tcPr>
          <w:p w14:paraId="5A2232F4">
            <w:pPr>
              <w:rPr>
                <w:rFonts w:ascii="宋体" w:cs="宋体"/>
                <w:color w:val="auto"/>
                <w:sz w:val="24"/>
                <w:szCs w:val="24"/>
                <w:highlight w:val="none"/>
              </w:rPr>
            </w:pPr>
            <w:r>
              <w:rPr>
                <w:rFonts w:hint="eastAsia" w:ascii="宋体" w:hAnsi="宋体" w:cs="宋体"/>
                <w:color w:val="auto"/>
                <w:sz w:val="24"/>
                <w:szCs w:val="24"/>
                <w:highlight w:val="none"/>
              </w:rPr>
              <w:t>详见磋商文件第五章</w:t>
            </w:r>
          </w:p>
        </w:tc>
      </w:tr>
      <w:tr w14:paraId="69B80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6851EA91">
            <w:pPr>
              <w:jc w:val="center"/>
              <w:rPr>
                <w:rFonts w:ascii="宋体" w:hAnsi="宋体" w:cs="宋体"/>
                <w:color w:val="auto"/>
                <w:sz w:val="24"/>
                <w:szCs w:val="24"/>
                <w:highlight w:val="none"/>
              </w:rPr>
            </w:pPr>
            <w:r>
              <w:rPr>
                <w:rFonts w:ascii="宋体" w:hAnsi="宋体" w:cs="宋体"/>
                <w:color w:val="auto"/>
                <w:sz w:val="24"/>
                <w:szCs w:val="24"/>
                <w:highlight w:val="none"/>
              </w:rPr>
              <w:t>14</w:t>
            </w:r>
          </w:p>
        </w:tc>
        <w:tc>
          <w:tcPr>
            <w:tcW w:w="2055" w:type="dxa"/>
            <w:tcBorders>
              <w:top w:val="single" w:color="auto" w:sz="4" w:space="0"/>
              <w:left w:val="single" w:color="auto" w:sz="4" w:space="0"/>
              <w:bottom w:val="single" w:color="auto" w:sz="4" w:space="0"/>
              <w:right w:val="single" w:color="auto" w:sz="4" w:space="0"/>
            </w:tcBorders>
            <w:vAlign w:val="center"/>
          </w:tcPr>
          <w:p w14:paraId="66F1DDB7">
            <w:pPr>
              <w:jc w:val="center"/>
              <w:rPr>
                <w:rFonts w:ascii="宋体" w:cs="宋体"/>
                <w:color w:val="auto"/>
                <w:sz w:val="24"/>
                <w:szCs w:val="24"/>
                <w:highlight w:val="none"/>
              </w:rPr>
            </w:pPr>
            <w:r>
              <w:rPr>
                <w:rFonts w:hint="eastAsia" w:ascii="宋体" w:hAnsi="宋体" w:cs="宋体"/>
                <w:color w:val="auto"/>
                <w:sz w:val="24"/>
                <w:szCs w:val="24"/>
                <w:highlight w:val="none"/>
              </w:rPr>
              <w:t>采购人</w:t>
            </w:r>
          </w:p>
        </w:tc>
        <w:tc>
          <w:tcPr>
            <w:tcW w:w="7246" w:type="dxa"/>
            <w:tcBorders>
              <w:top w:val="single" w:color="auto" w:sz="4" w:space="0"/>
              <w:left w:val="single" w:color="auto" w:sz="4" w:space="0"/>
              <w:bottom w:val="single" w:color="auto" w:sz="4" w:space="0"/>
            </w:tcBorders>
            <w:vAlign w:val="center"/>
          </w:tcPr>
          <w:p w14:paraId="3953B28F">
            <w:pPr>
              <w:rPr>
                <w:rFonts w:ascii="宋体" w:cs="宋体"/>
                <w:color w:val="auto"/>
                <w:sz w:val="24"/>
                <w:szCs w:val="24"/>
                <w:highlight w:val="none"/>
              </w:rPr>
            </w:pPr>
            <w:r>
              <w:rPr>
                <w:rFonts w:hint="eastAsia" w:ascii="宋体" w:hAnsi="宋体" w:cs="宋体"/>
                <w:color w:val="auto"/>
                <w:sz w:val="24"/>
                <w:szCs w:val="24"/>
                <w:highlight w:val="none"/>
              </w:rPr>
              <w:t>详见磋商公告</w:t>
            </w:r>
          </w:p>
        </w:tc>
      </w:tr>
      <w:tr w14:paraId="2FB80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1E0BFCC0">
            <w:pPr>
              <w:jc w:val="center"/>
              <w:rPr>
                <w:rFonts w:ascii="宋体" w:hAnsi="宋体" w:cs="宋体"/>
                <w:color w:val="auto"/>
                <w:sz w:val="24"/>
                <w:szCs w:val="24"/>
                <w:highlight w:val="none"/>
              </w:rPr>
            </w:pPr>
            <w:r>
              <w:rPr>
                <w:rFonts w:ascii="宋体" w:hAnsi="宋体" w:cs="宋体"/>
                <w:color w:val="auto"/>
                <w:sz w:val="24"/>
                <w:szCs w:val="24"/>
                <w:highlight w:val="none"/>
              </w:rPr>
              <w:t>15</w:t>
            </w:r>
          </w:p>
        </w:tc>
        <w:tc>
          <w:tcPr>
            <w:tcW w:w="2055" w:type="dxa"/>
            <w:tcBorders>
              <w:top w:val="single" w:color="auto" w:sz="4" w:space="0"/>
              <w:left w:val="single" w:color="auto" w:sz="4" w:space="0"/>
              <w:bottom w:val="single" w:color="auto" w:sz="4" w:space="0"/>
              <w:right w:val="single" w:color="auto" w:sz="4" w:space="0"/>
            </w:tcBorders>
            <w:vAlign w:val="center"/>
          </w:tcPr>
          <w:p w14:paraId="299D6CFC">
            <w:pPr>
              <w:jc w:val="center"/>
              <w:rPr>
                <w:rFonts w:ascii="宋体" w:cs="宋体"/>
                <w:color w:val="auto"/>
                <w:sz w:val="24"/>
                <w:szCs w:val="24"/>
                <w:highlight w:val="none"/>
              </w:rPr>
            </w:pPr>
            <w:r>
              <w:rPr>
                <w:rFonts w:hint="eastAsia" w:ascii="宋体" w:hAnsi="宋体" w:cs="宋体"/>
                <w:color w:val="auto"/>
                <w:sz w:val="24"/>
                <w:szCs w:val="24"/>
                <w:highlight w:val="none"/>
              </w:rPr>
              <w:t>采购代理机构</w:t>
            </w:r>
          </w:p>
        </w:tc>
        <w:tc>
          <w:tcPr>
            <w:tcW w:w="7246" w:type="dxa"/>
            <w:tcBorders>
              <w:top w:val="single" w:color="auto" w:sz="4" w:space="0"/>
              <w:left w:val="single" w:color="auto" w:sz="4" w:space="0"/>
              <w:bottom w:val="single" w:color="auto" w:sz="4" w:space="0"/>
            </w:tcBorders>
            <w:vAlign w:val="center"/>
          </w:tcPr>
          <w:p w14:paraId="3CC15A60">
            <w:pPr>
              <w:rPr>
                <w:rFonts w:ascii="宋体" w:cs="宋体"/>
                <w:color w:val="auto"/>
                <w:sz w:val="24"/>
                <w:szCs w:val="24"/>
                <w:highlight w:val="none"/>
              </w:rPr>
            </w:pPr>
            <w:r>
              <w:rPr>
                <w:rFonts w:hint="eastAsia" w:ascii="宋体" w:hAnsi="宋体" w:cs="宋体"/>
                <w:color w:val="auto"/>
                <w:sz w:val="24"/>
                <w:szCs w:val="24"/>
                <w:highlight w:val="none"/>
              </w:rPr>
              <w:t>浙江华耀建设咨询有限公司</w:t>
            </w:r>
          </w:p>
        </w:tc>
      </w:tr>
      <w:tr w14:paraId="56CAB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696608B9">
            <w:pPr>
              <w:jc w:val="center"/>
              <w:rPr>
                <w:rFonts w:ascii="宋体" w:hAnsi="宋体" w:cs="宋体"/>
                <w:color w:val="auto"/>
                <w:sz w:val="24"/>
                <w:szCs w:val="24"/>
                <w:highlight w:val="none"/>
              </w:rPr>
            </w:pPr>
            <w:r>
              <w:rPr>
                <w:rFonts w:ascii="宋体" w:hAnsi="宋体" w:cs="宋体"/>
                <w:color w:val="auto"/>
                <w:sz w:val="24"/>
                <w:szCs w:val="24"/>
                <w:highlight w:val="none"/>
              </w:rPr>
              <w:t>16</w:t>
            </w:r>
          </w:p>
        </w:tc>
        <w:tc>
          <w:tcPr>
            <w:tcW w:w="2055" w:type="dxa"/>
            <w:tcBorders>
              <w:top w:val="single" w:color="auto" w:sz="4" w:space="0"/>
              <w:left w:val="single" w:color="auto" w:sz="4" w:space="0"/>
              <w:bottom w:val="single" w:color="auto" w:sz="4" w:space="0"/>
              <w:right w:val="single" w:color="auto" w:sz="4" w:space="0"/>
            </w:tcBorders>
            <w:vAlign w:val="center"/>
          </w:tcPr>
          <w:p w14:paraId="2E2AE2A8">
            <w:pPr>
              <w:jc w:val="center"/>
              <w:rPr>
                <w:rFonts w:ascii="宋体" w:cs="宋体"/>
                <w:color w:val="auto"/>
                <w:sz w:val="24"/>
                <w:szCs w:val="24"/>
                <w:highlight w:val="none"/>
              </w:rPr>
            </w:pPr>
            <w:r>
              <w:rPr>
                <w:rFonts w:hint="eastAsia" w:ascii="宋体" w:hAnsi="宋体" w:cs="宋体"/>
                <w:color w:val="auto"/>
                <w:sz w:val="24"/>
                <w:szCs w:val="24"/>
                <w:highlight w:val="none"/>
              </w:rPr>
              <w:t>磋商采购单位</w:t>
            </w:r>
          </w:p>
        </w:tc>
        <w:tc>
          <w:tcPr>
            <w:tcW w:w="7246" w:type="dxa"/>
            <w:tcBorders>
              <w:top w:val="single" w:color="auto" w:sz="4" w:space="0"/>
              <w:left w:val="single" w:color="auto" w:sz="4" w:space="0"/>
              <w:bottom w:val="single" w:color="auto" w:sz="4" w:space="0"/>
            </w:tcBorders>
            <w:vAlign w:val="center"/>
          </w:tcPr>
          <w:p w14:paraId="03EE5062">
            <w:pPr>
              <w:rPr>
                <w:rFonts w:ascii="宋体" w:cs="宋体"/>
                <w:color w:val="auto"/>
                <w:sz w:val="24"/>
                <w:szCs w:val="24"/>
                <w:highlight w:val="none"/>
              </w:rPr>
            </w:pPr>
            <w:r>
              <w:rPr>
                <w:rFonts w:hint="eastAsia" w:ascii="宋体" w:hAnsi="宋体" w:cs="宋体"/>
                <w:color w:val="auto"/>
                <w:sz w:val="24"/>
                <w:szCs w:val="24"/>
                <w:highlight w:val="none"/>
              </w:rPr>
              <w:t>采购人与采购代理机构的统称</w:t>
            </w:r>
          </w:p>
        </w:tc>
      </w:tr>
      <w:tr w14:paraId="2661C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0132" w:type="dxa"/>
            <w:gridSpan w:val="3"/>
            <w:tcBorders>
              <w:top w:val="single" w:color="auto" w:sz="4" w:space="0"/>
              <w:bottom w:val="single" w:color="auto" w:sz="4" w:space="0"/>
            </w:tcBorders>
            <w:vAlign w:val="center"/>
          </w:tcPr>
          <w:p w14:paraId="62B93F1B">
            <w:pPr>
              <w:jc w:val="center"/>
              <w:rPr>
                <w:rFonts w:ascii="宋体" w:cs="宋体"/>
                <w:color w:val="auto"/>
                <w:sz w:val="24"/>
                <w:szCs w:val="24"/>
                <w:highlight w:val="none"/>
              </w:rPr>
            </w:pPr>
            <w:r>
              <w:rPr>
                <w:rFonts w:hint="eastAsia" w:ascii="宋体" w:hAnsi="宋体" w:cs="宋体"/>
                <w:color w:val="auto"/>
                <w:sz w:val="24"/>
                <w:szCs w:val="24"/>
                <w:highlight w:val="none"/>
              </w:rPr>
              <w:t>本磋商文件的解释权属磋商采购单位</w:t>
            </w:r>
          </w:p>
        </w:tc>
      </w:tr>
    </w:tbl>
    <w:p w14:paraId="313A54B7">
      <w:pPr>
        <w:pStyle w:val="4"/>
        <w:spacing w:line="440" w:lineRule="exact"/>
        <w:jc w:val="center"/>
        <w:rPr>
          <w:rFonts w:ascii="宋体" w:hAnsi="宋体" w:eastAsia="宋体" w:cs="Times New Roman"/>
          <w:color w:val="auto"/>
          <w:sz w:val="28"/>
          <w:szCs w:val="28"/>
          <w:highlight w:val="none"/>
        </w:rPr>
      </w:pPr>
      <w:bookmarkStart w:id="17" w:name="_Toc113441587"/>
      <w:bookmarkStart w:id="18" w:name="_Toc68613973"/>
      <w:r>
        <w:rPr>
          <w:rFonts w:hint="eastAsia" w:ascii="宋体" w:hAnsi="宋体" w:eastAsia="宋体" w:cs="宋体"/>
          <w:color w:val="auto"/>
          <w:sz w:val="28"/>
          <w:szCs w:val="28"/>
          <w:highlight w:val="none"/>
        </w:rPr>
        <w:t>一、</w:t>
      </w:r>
      <w:bookmarkEnd w:id="17"/>
      <w:r>
        <w:rPr>
          <w:rFonts w:hint="eastAsia" w:ascii="宋体" w:hAnsi="宋体" w:eastAsia="宋体" w:cs="宋体"/>
          <w:color w:val="auto"/>
          <w:sz w:val="28"/>
          <w:szCs w:val="28"/>
          <w:highlight w:val="none"/>
        </w:rPr>
        <w:t>总则</w:t>
      </w:r>
      <w:bookmarkEnd w:id="18"/>
    </w:p>
    <w:p w14:paraId="2B9FE8A0">
      <w:pPr>
        <w:spacing w:line="460" w:lineRule="exact"/>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．概况</w:t>
      </w:r>
    </w:p>
    <w:p w14:paraId="68D74E90">
      <w:pPr>
        <w:spacing w:line="42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磋商采购项目名称：</w:t>
      </w:r>
      <w:r>
        <w:rPr>
          <w:rFonts w:ascii="宋体" w:hAnsi="宋体" w:cs="宋体"/>
          <w:color w:val="auto"/>
          <w:sz w:val="24"/>
          <w:szCs w:val="24"/>
          <w:highlight w:val="none"/>
        </w:rPr>
        <w:t>湖州市长兴县交通运输行政执法队船舶自动核查抓拍系统维护保障项目</w:t>
      </w:r>
      <w:r>
        <w:rPr>
          <w:rFonts w:hint="eastAsia" w:ascii="宋体" w:hAnsi="宋体" w:cs="宋体"/>
          <w:color w:val="auto"/>
          <w:sz w:val="24"/>
          <w:szCs w:val="24"/>
          <w:highlight w:val="none"/>
        </w:rPr>
        <w:t>；</w:t>
      </w:r>
    </w:p>
    <w:p w14:paraId="693EC2BD">
      <w:pPr>
        <w:spacing w:line="42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采购人：湖州市长兴县交通运输行政执法队；</w:t>
      </w:r>
    </w:p>
    <w:p w14:paraId="76A3006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监管部门：长兴县财政局；</w:t>
      </w:r>
    </w:p>
    <w:p w14:paraId="70CFB51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1.4</w:t>
      </w:r>
      <w:r>
        <w:rPr>
          <w:rFonts w:hint="eastAsia" w:ascii="宋体" w:hAnsi="宋体" w:cs="宋体"/>
          <w:color w:val="auto"/>
          <w:sz w:val="24"/>
          <w:szCs w:val="24"/>
          <w:highlight w:val="none"/>
        </w:rPr>
        <w:t>项目资金来源：已得到政府有关部门的批准，其资金来源已落实；</w:t>
      </w:r>
    </w:p>
    <w:p w14:paraId="5C09A29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1.5</w:t>
      </w:r>
      <w:r>
        <w:rPr>
          <w:rFonts w:hint="eastAsia" w:ascii="宋体" w:hAnsi="宋体" w:cs="宋体"/>
          <w:color w:val="auto"/>
          <w:sz w:val="24"/>
          <w:szCs w:val="24"/>
          <w:highlight w:val="none"/>
        </w:rPr>
        <w:t>采购方式：竞争性磋商；</w:t>
      </w:r>
    </w:p>
    <w:p w14:paraId="648F3116">
      <w:pPr>
        <w:spacing w:line="460" w:lineRule="exact"/>
        <w:ind w:firstLine="480" w:firstLineChars="200"/>
        <w:rPr>
          <w:rFonts w:ascii="宋体" w:cs="Times New Roman"/>
          <w:b/>
          <w:bCs/>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采购项目服务地点：由采购人指定；</w:t>
      </w:r>
    </w:p>
    <w:p w14:paraId="37CBB08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采购代理机构：浙江华耀建设咨询有限公司；</w:t>
      </w:r>
    </w:p>
    <w:p w14:paraId="26C16C44">
      <w:pPr>
        <w:tabs>
          <w:tab w:val="left" w:pos="90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1.8</w:t>
      </w:r>
      <w:r>
        <w:rPr>
          <w:rFonts w:hint="eastAsia" w:ascii="宋体" w:hAnsi="宋体" w:cs="宋体"/>
          <w:color w:val="auto"/>
          <w:sz w:val="24"/>
          <w:szCs w:val="24"/>
          <w:highlight w:val="none"/>
        </w:rPr>
        <w:t>采购人及采购代理机构统称“磋商采购单位”。</w:t>
      </w:r>
    </w:p>
    <w:p w14:paraId="4B6A5287">
      <w:pPr>
        <w:snapToGrid w:val="0"/>
        <w:spacing w:before="156" w:beforeLines="50"/>
        <w:ind w:firstLine="470" w:firstLineChars="196"/>
        <w:jc w:val="left"/>
        <w:outlineLvl w:val="1"/>
        <w:rPr>
          <w:rFonts w:ascii="宋体" w:cs="Times New Roman"/>
          <w:color w:val="auto"/>
          <w:sz w:val="24"/>
          <w:szCs w:val="24"/>
          <w:highlight w:val="none"/>
        </w:rPr>
      </w:pPr>
      <w:bookmarkStart w:id="19" w:name="_Toc68613974"/>
      <w:r>
        <w:rPr>
          <w:rFonts w:ascii="宋体" w:hAnsi="宋体" w:cs="宋体"/>
          <w:color w:val="auto"/>
          <w:sz w:val="24"/>
          <w:szCs w:val="24"/>
          <w:highlight w:val="none"/>
        </w:rPr>
        <w:t>1.9</w:t>
      </w:r>
      <w:r>
        <w:rPr>
          <w:rFonts w:hint="eastAsia" w:ascii="宋体" w:hAnsi="宋体" w:cs="宋体"/>
          <w:color w:val="auto"/>
          <w:sz w:val="24"/>
          <w:szCs w:val="24"/>
          <w:highlight w:val="none"/>
        </w:rPr>
        <w:t>本磋商文件适用于本项目的磋商、成交、验收、合同履约、付款等（如法律、法规或省级以上规范性文件另有规定的，从其规定）。</w:t>
      </w:r>
      <w:bookmarkEnd w:id="19"/>
    </w:p>
    <w:p w14:paraId="6E149F70">
      <w:pPr>
        <w:tabs>
          <w:tab w:val="left" w:pos="90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1.10</w:t>
      </w:r>
      <w:r>
        <w:rPr>
          <w:rFonts w:hint="eastAsia" w:ascii="宋体" w:cs="宋体"/>
          <w:color w:val="auto"/>
          <w:sz w:val="24"/>
          <w:szCs w:val="24"/>
          <w:highlight w:val="none"/>
        </w:rPr>
        <w:t>“▲”</w:t>
      </w:r>
      <w:r>
        <w:rPr>
          <w:rFonts w:hint="eastAsia" w:ascii="宋体" w:hAnsi="宋体" w:cs="宋体"/>
          <w:color w:val="auto"/>
          <w:sz w:val="24"/>
          <w:szCs w:val="24"/>
          <w:highlight w:val="none"/>
        </w:rPr>
        <w:t>系指实质性要求条款。</w:t>
      </w:r>
    </w:p>
    <w:p w14:paraId="2088A6F7">
      <w:pPr>
        <w:pStyle w:val="35"/>
        <w:spacing w:before="156" w:after="156"/>
        <w:ind w:firstLine="480" w:firstLineChars="200"/>
        <w:outlineLvl w:val="1"/>
        <w:rPr>
          <w:rFonts w:hAnsi="宋体" w:cs="Times New Roman"/>
          <w:b/>
          <w:bCs/>
          <w:color w:val="auto"/>
          <w:highlight w:val="none"/>
        </w:rPr>
      </w:pPr>
      <w:bookmarkStart w:id="20" w:name="_Toc68613975"/>
      <w:r>
        <w:rPr>
          <w:rFonts w:hAnsi="宋体"/>
          <w:color w:val="auto"/>
          <w:highlight w:val="none"/>
        </w:rPr>
        <w:t>1.11</w:t>
      </w:r>
      <w:r>
        <w:rPr>
          <w:rFonts w:hint="eastAsia" w:hAnsi="宋体"/>
          <w:b/>
          <w:bCs/>
          <w:color w:val="auto"/>
          <w:highlight w:val="none"/>
        </w:rPr>
        <w:t>质疑和投诉</w:t>
      </w:r>
      <w:bookmarkEnd w:id="20"/>
    </w:p>
    <w:p w14:paraId="596F9930">
      <w:pPr>
        <w:pStyle w:val="35"/>
        <w:spacing w:before="156" w:after="156"/>
        <w:ind w:firstLine="480" w:firstLineChars="200"/>
        <w:outlineLvl w:val="1"/>
        <w:rPr>
          <w:rFonts w:hAnsi="宋体" w:cs="Times New Roman"/>
          <w:color w:val="auto"/>
          <w:highlight w:val="none"/>
        </w:rPr>
      </w:pPr>
      <w:bookmarkStart w:id="21" w:name="_Toc68613976"/>
      <w:r>
        <w:rPr>
          <w:rFonts w:hAnsi="宋体"/>
          <w:color w:val="auto"/>
          <w:highlight w:val="none"/>
        </w:rPr>
        <w:t>1.11.1</w:t>
      </w:r>
      <w:r>
        <w:rPr>
          <w:rFonts w:hint="eastAsia" w:hAnsi="宋体"/>
          <w:color w:val="auto"/>
          <w:highlight w:val="none"/>
        </w:rPr>
        <w:t>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21"/>
    </w:p>
    <w:p w14:paraId="1298E8AA">
      <w:pPr>
        <w:pStyle w:val="35"/>
        <w:spacing w:before="156" w:after="156"/>
        <w:ind w:firstLine="480" w:firstLineChars="200"/>
        <w:outlineLvl w:val="1"/>
        <w:rPr>
          <w:rFonts w:hAnsi="宋体" w:cs="Times New Roman"/>
          <w:color w:val="auto"/>
          <w:highlight w:val="none"/>
        </w:rPr>
      </w:pPr>
      <w:bookmarkStart w:id="22" w:name="_Toc68613977"/>
      <w:r>
        <w:rPr>
          <w:rFonts w:hAnsi="宋体"/>
          <w:color w:val="auto"/>
          <w:highlight w:val="none"/>
        </w:rPr>
        <w:t>1.11.2</w:t>
      </w:r>
      <w:r>
        <w:rPr>
          <w:rFonts w:hint="eastAsia" w:hAnsi="宋体"/>
          <w:color w:val="auto"/>
          <w:highlight w:val="none"/>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bookmarkEnd w:id="22"/>
    </w:p>
    <w:p w14:paraId="34B5509C">
      <w:pPr>
        <w:pStyle w:val="35"/>
        <w:spacing w:before="156" w:after="156"/>
        <w:ind w:firstLine="480" w:firstLineChars="200"/>
        <w:outlineLvl w:val="1"/>
        <w:rPr>
          <w:rFonts w:hAnsi="宋体" w:cs="Times New Roman"/>
          <w:color w:val="auto"/>
          <w:highlight w:val="none"/>
        </w:rPr>
      </w:pPr>
      <w:bookmarkStart w:id="23" w:name="_Toc68613978"/>
      <w:r>
        <w:rPr>
          <w:rFonts w:hAnsi="宋体"/>
          <w:color w:val="auto"/>
          <w:highlight w:val="none"/>
        </w:rPr>
        <w:t>1.11.3</w:t>
      </w:r>
      <w:r>
        <w:rPr>
          <w:rFonts w:hint="eastAsia" w:hAnsi="宋体"/>
          <w:color w:val="auto"/>
          <w:highlight w:val="none"/>
        </w:rPr>
        <w:t>供应商须在法定质疑期内一次性提出针对同一采购程序环节的质疑，否则采购代理机构有权拒绝第一次质疑以外其他所有质疑。</w:t>
      </w:r>
      <w:bookmarkEnd w:id="23"/>
    </w:p>
    <w:p w14:paraId="4B7FC9BA">
      <w:pPr>
        <w:pStyle w:val="35"/>
        <w:spacing w:before="156" w:after="156"/>
        <w:ind w:firstLine="480" w:firstLineChars="200"/>
        <w:outlineLvl w:val="1"/>
        <w:rPr>
          <w:rFonts w:hAnsi="宋体" w:cs="Times New Roman"/>
          <w:color w:val="auto"/>
          <w:highlight w:val="none"/>
        </w:rPr>
      </w:pPr>
      <w:bookmarkStart w:id="24" w:name="_Toc68613979"/>
      <w:r>
        <w:rPr>
          <w:rFonts w:hAnsi="宋体"/>
          <w:color w:val="auto"/>
          <w:highlight w:val="none"/>
        </w:rPr>
        <w:t>1.11.4</w:t>
      </w:r>
      <w:r>
        <w:rPr>
          <w:rFonts w:hint="eastAsia" w:hAnsi="宋体"/>
          <w:color w:val="auto"/>
          <w:highlight w:val="none"/>
        </w:rPr>
        <w:t>质疑函须采用财政部发布的政府采购供应商质疑函范本（参考样式可从</w:t>
      </w:r>
      <w:r>
        <w:rPr>
          <w:rFonts w:hint="eastAsia" w:hAnsi="宋体"/>
          <w:color w:val="auto"/>
          <w:kern w:val="0"/>
          <w:highlight w:val="none"/>
        </w:rPr>
        <w:t>浙江政府采购网下载专区下载</w:t>
      </w:r>
      <w:r>
        <w:rPr>
          <w:rFonts w:hint="eastAsia" w:hAnsi="宋体"/>
          <w:color w:val="auto"/>
          <w:highlight w:val="none"/>
        </w:rPr>
        <w:t>），否则采购代理机构有权要求质疑供应商改正后重新提出。</w:t>
      </w:r>
      <w:bookmarkEnd w:id="24"/>
    </w:p>
    <w:p w14:paraId="4D3928A9">
      <w:pPr>
        <w:pStyle w:val="35"/>
        <w:spacing w:before="156" w:after="156"/>
        <w:ind w:firstLine="480" w:firstLineChars="200"/>
        <w:outlineLvl w:val="1"/>
        <w:rPr>
          <w:rFonts w:hAnsi="宋体" w:cs="Times New Roman"/>
          <w:color w:val="auto"/>
          <w:highlight w:val="none"/>
        </w:rPr>
      </w:pPr>
      <w:bookmarkStart w:id="25" w:name="_Toc68613980"/>
      <w:r>
        <w:rPr>
          <w:rFonts w:hint="eastAsia" w:hAnsi="宋体"/>
          <w:color w:val="auto"/>
          <w:highlight w:val="none"/>
        </w:rPr>
        <w:t>政府采购投诉材料当日</w:t>
      </w:r>
      <w:r>
        <w:rPr>
          <w:rFonts w:hAnsi="宋体"/>
          <w:color w:val="auto"/>
          <w:highlight w:val="none"/>
        </w:rPr>
        <w:t>17:00</w:t>
      </w:r>
      <w:r>
        <w:rPr>
          <w:rFonts w:hint="eastAsia" w:hAnsi="宋体"/>
          <w:color w:val="auto"/>
          <w:highlight w:val="none"/>
        </w:rPr>
        <w:t>后收到的视为下一个工作日收到。</w:t>
      </w:r>
      <w:bookmarkEnd w:id="25"/>
    </w:p>
    <w:p w14:paraId="68DE441D">
      <w:pPr>
        <w:snapToGrid w:val="0"/>
        <w:spacing w:before="156" w:beforeLines="50"/>
        <w:ind w:firstLine="470" w:firstLineChars="196"/>
        <w:jc w:val="left"/>
        <w:outlineLvl w:val="1"/>
        <w:rPr>
          <w:rFonts w:ascii="宋体" w:hAnsi="宋体" w:cs="宋体"/>
          <w:b/>
          <w:bCs/>
          <w:color w:val="auto"/>
          <w:sz w:val="24"/>
          <w:szCs w:val="24"/>
          <w:highlight w:val="none"/>
        </w:rPr>
      </w:pPr>
      <w:bookmarkStart w:id="26" w:name="_Toc68613981"/>
      <w:r>
        <w:rPr>
          <w:rFonts w:ascii="宋体" w:hAnsi="宋体" w:cs="宋体"/>
          <w:color w:val="auto"/>
          <w:sz w:val="24"/>
          <w:szCs w:val="24"/>
          <w:highlight w:val="none"/>
        </w:rPr>
        <w:t>1.12</w:t>
      </w:r>
      <w:r>
        <w:rPr>
          <w:rFonts w:hint="eastAsia" w:ascii="宋体" w:hAnsi="宋体" w:cs="宋体"/>
          <w:b/>
          <w:bCs/>
          <w:color w:val="auto"/>
          <w:sz w:val="24"/>
          <w:szCs w:val="24"/>
          <w:highlight w:val="none"/>
        </w:rPr>
        <w:t>特别说明：</w:t>
      </w:r>
      <w:bookmarkEnd w:id="26"/>
    </w:p>
    <w:p w14:paraId="0194C238">
      <w:pPr>
        <w:snapToGrid w:val="0"/>
        <w:spacing w:before="156" w:beforeLines="50"/>
        <w:ind w:firstLine="413" w:firstLineChars="196"/>
        <w:jc w:val="left"/>
        <w:outlineLvl w:val="1"/>
        <w:rPr>
          <w:rFonts w:ascii="宋体" w:cs="Times New Roman"/>
          <w:b/>
          <w:bCs/>
          <w:color w:val="auto"/>
          <w:kern w:val="0"/>
          <w:sz w:val="24"/>
          <w:szCs w:val="24"/>
          <w:highlight w:val="none"/>
        </w:rPr>
      </w:pPr>
      <w:bookmarkStart w:id="27" w:name="_Toc68613982"/>
      <w:r>
        <w:rPr>
          <w:rFonts w:hint="eastAsia" w:ascii="宋体" w:cs="宋体"/>
          <w:b/>
          <w:bCs/>
          <w:color w:val="auto"/>
          <w:highlight w:val="none"/>
        </w:rPr>
        <w:t>▲</w:t>
      </w:r>
      <w:r>
        <w:rPr>
          <w:rFonts w:hint="eastAsia" w:ascii="宋体" w:hAnsi="宋体" w:cs="宋体"/>
          <w:b/>
          <w:bCs/>
          <w:color w:val="auto"/>
          <w:kern w:val="0"/>
          <w:sz w:val="24"/>
          <w:szCs w:val="24"/>
          <w:highlight w:val="none"/>
        </w:rPr>
        <w:t>提供相同品牌产品且通过资格审查、符合性审查的不同供应商参加本项目磋商的，按一家供应商计算，评审后得分最高的同品牌供应商获得成交人推荐资格；评审得分相同的，由采购人或者采购人委托评标委员会确定报价最低的供应商获得成交人资格；当报价相同时，采取随机抽取方式确定，其他同品牌供应商不作为成交人。</w:t>
      </w:r>
      <w:bookmarkEnd w:id="27"/>
    </w:p>
    <w:p w14:paraId="7ED0E091">
      <w:pPr>
        <w:spacing w:line="460" w:lineRule="exact"/>
        <w:ind w:firstLine="354" w:firstLineChars="147"/>
        <w:rPr>
          <w:rFonts w:ascii="宋体" w:hAnsi="宋体" w:cs="宋体"/>
          <w:b/>
          <w:bCs/>
          <w:color w:val="auto"/>
          <w:kern w:val="0"/>
          <w:sz w:val="24"/>
          <w:szCs w:val="24"/>
          <w:highlight w:val="none"/>
        </w:rPr>
      </w:pPr>
      <w:r>
        <w:rPr>
          <w:rFonts w:ascii="宋体" w:hAnsi="宋体" w:cs="宋体"/>
          <w:b/>
          <w:bCs/>
          <w:color w:val="auto"/>
          <w:kern w:val="0"/>
          <w:sz w:val="24"/>
          <w:szCs w:val="24"/>
          <w:highlight w:val="none"/>
        </w:rPr>
        <w:t>2</w:t>
      </w:r>
      <w:r>
        <w:rPr>
          <w:rFonts w:hint="eastAsia" w:ascii="宋体" w:hAnsi="宋体" w:cs="宋体"/>
          <w:b/>
          <w:bCs/>
          <w:color w:val="auto"/>
          <w:kern w:val="0"/>
          <w:sz w:val="24"/>
          <w:szCs w:val="24"/>
          <w:highlight w:val="none"/>
        </w:rPr>
        <w:t>．供应商的资格条件</w:t>
      </w:r>
    </w:p>
    <w:p w14:paraId="68801E36">
      <w:pPr>
        <w:spacing w:line="460" w:lineRule="exact"/>
        <w:ind w:firstLine="352" w:firstLineChars="147"/>
        <w:rPr>
          <w:rFonts w:ascii="宋体" w:hAnsi="宋体" w:cs="宋体"/>
          <w:color w:val="auto"/>
          <w:sz w:val="24"/>
          <w:szCs w:val="24"/>
          <w:highlight w:val="none"/>
        </w:rPr>
      </w:pPr>
      <w:r>
        <w:rPr>
          <w:rFonts w:hint="eastAsia" w:ascii="宋体" w:hAnsi="宋体" w:cs="宋体"/>
          <w:color w:val="auto"/>
          <w:sz w:val="24"/>
          <w:szCs w:val="24"/>
          <w:highlight w:val="none"/>
        </w:rPr>
        <w:t>2.1符合《政府采购法》第二十二条规定，具有独立法人资格且未被“信用中国”（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14:paraId="58F3913A">
      <w:pPr>
        <w:spacing w:line="460" w:lineRule="exact"/>
        <w:ind w:firstLine="352" w:firstLineChars="147"/>
        <w:rPr>
          <w:rFonts w:ascii="宋体" w:hAnsi="宋体"/>
          <w:color w:val="auto"/>
          <w:sz w:val="24"/>
          <w:highlight w:val="none"/>
          <w:lang w:val="zh-CN"/>
        </w:rPr>
      </w:pPr>
      <w:r>
        <w:rPr>
          <w:rFonts w:hint="eastAsia" w:ascii="宋体" w:hAnsi="宋体" w:cs="仿宋"/>
          <w:color w:val="auto"/>
          <w:sz w:val="24"/>
          <w:highlight w:val="none"/>
        </w:rPr>
        <w:t>2.2落实政府采购政策需满足的资格要求：</w:t>
      </w:r>
      <w:r>
        <w:rPr>
          <w:rFonts w:hint="eastAsia" w:ascii="宋体" w:hAnsi="宋体"/>
          <w:color w:val="auto"/>
          <w:sz w:val="24"/>
          <w:highlight w:val="none"/>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6087CE5F">
      <w:pPr>
        <w:spacing w:line="460" w:lineRule="exact"/>
        <w:ind w:firstLine="352" w:firstLineChars="147"/>
        <w:rPr>
          <w:rFonts w:ascii="宋体" w:hAnsi="宋体" w:cs="宋体"/>
          <w:b/>
          <w:bCs/>
          <w:color w:val="auto"/>
          <w:kern w:val="0"/>
          <w:sz w:val="24"/>
          <w:szCs w:val="24"/>
          <w:highlight w:val="none"/>
        </w:rPr>
      </w:pPr>
      <w:r>
        <w:rPr>
          <w:rFonts w:hint="eastAsia" w:ascii="宋体" w:hAnsi="宋体" w:cs="宋体"/>
          <w:color w:val="auto"/>
          <w:sz w:val="24"/>
          <w:szCs w:val="24"/>
          <w:highlight w:val="none"/>
        </w:rPr>
        <w:t>2.3▲</w:t>
      </w:r>
      <w:r>
        <w:rPr>
          <w:rFonts w:hint="eastAsia" w:ascii="宋体" w:hAnsi="宋体" w:cs="宋体"/>
          <w:b/>
          <w:bCs/>
          <w:color w:val="auto"/>
          <w:kern w:val="0"/>
          <w:sz w:val="24"/>
          <w:szCs w:val="24"/>
          <w:highlight w:val="none"/>
        </w:rPr>
        <w:t>供应商的特定条件：无</w:t>
      </w:r>
    </w:p>
    <w:p w14:paraId="43578687">
      <w:pPr>
        <w:spacing w:line="460" w:lineRule="exact"/>
        <w:ind w:firstLine="352" w:firstLineChars="147"/>
        <w:rPr>
          <w:rFonts w:ascii="宋体" w:hAnsi="宋体" w:cs="宋体"/>
          <w:color w:val="auto"/>
          <w:sz w:val="24"/>
          <w:szCs w:val="24"/>
          <w:highlight w:val="none"/>
        </w:rPr>
      </w:pPr>
      <w:r>
        <w:rPr>
          <w:rFonts w:hint="eastAsia" w:ascii="宋体" w:hAnsi="宋体" w:cs="宋体"/>
          <w:color w:val="auto"/>
          <w:sz w:val="24"/>
          <w:szCs w:val="24"/>
          <w:highlight w:val="none"/>
        </w:rPr>
        <w:t>2.4本项目不接受联合体磋商。</w:t>
      </w:r>
    </w:p>
    <w:p w14:paraId="6AD19082">
      <w:pPr>
        <w:spacing w:line="460" w:lineRule="exact"/>
        <w:ind w:firstLine="352" w:firstLineChars="147"/>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．磋商费用</w:t>
      </w:r>
    </w:p>
    <w:p w14:paraId="4C7E4E96">
      <w:pPr>
        <w:spacing w:line="460" w:lineRule="exact"/>
        <w:ind w:firstLine="352" w:firstLineChars="147"/>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无论磋商采购结果如何，供应商均应自行承担所有与参加本次磋商采购有关的全部费用。不论磋商结果如何，采购代理机构对上述费用不负任何责任。</w:t>
      </w:r>
    </w:p>
    <w:p w14:paraId="3434C304">
      <w:pPr>
        <w:spacing w:line="460" w:lineRule="exact"/>
        <w:ind w:firstLine="352" w:firstLineChars="147"/>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本项目采购代理服务费：人民币</w:t>
      </w:r>
      <w:r>
        <w:rPr>
          <w:rFonts w:hint="eastAsia" w:ascii="宋体" w:hAnsi="宋体" w:cs="宋体"/>
          <w:color w:val="auto"/>
          <w:sz w:val="24"/>
          <w:szCs w:val="24"/>
          <w:highlight w:val="none"/>
          <w:lang w:eastAsia="zh-CN"/>
        </w:rPr>
        <w:t>壹万零捌佰</w:t>
      </w:r>
      <w:r>
        <w:rPr>
          <w:rFonts w:hint="eastAsia" w:ascii="宋体" w:hAnsi="宋体" w:cs="宋体"/>
          <w:color w:val="auto"/>
          <w:sz w:val="24"/>
          <w:szCs w:val="24"/>
          <w:highlight w:val="none"/>
        </w:rPr>
        <w:t>元整（￥</w:t>
      </w:r>
      <w:r>
        <w:rPr>
          <w:rFonts w:hint="eastAsia" w:ascii="宋体" w:hAnsi="宋体" w:cs="宋体"/>
          <w:color w:val="auto"/>
          <w:sz w:val="24"/>
          <w:szCs w:val="24"/>
          <w:highlight w:val="none"/>
          <w:lang w:val="en-US" w:eastAsia="zh-CN"/>
        </w:rPr>
        <w:t>10800</w:t>
      </w:r>
      <w:r>
        <w:rPr>
          <w:rFonts w:hint="eastAsia" w:ascii="宋体" w:hAnsi="宋体" w:cs="宋体"/>
          <w:color w:val="auto"/>
          <w:sz w:val="24"/>
          <w:szCs w:val="24"/>
          <w:highlight w:val="none"/>
        </w:rPr>
        <w:t>.00)，由中标人全额支付，在成交通知书发出当天一次性结清。</w:t>
      </w:r>
    </w:p>
    <w:p w14:paraId="50B6D5F0">
      <w:pPr>
        <w:pStyle w:val="4"/>
        <w:spacing w:line="440" w:lineRule="exact"/>
        <w:jc w:val="center"/>
        <w:rPr>
          <w:rFonts w:ascii="宋体" w:hAnsi="宋体" w:eastAsia="宋体" w:cs="Times New Roman"/>
          <w:color w:val="auto"/>
          <w:kern w:val="44"/>
          <w:sz w:val="28"/>
          <w:szCs w:val="28"/>
          <w:highlight w:val="none"/>
        </w:rPr>
      </w:pPr>
      <w:bookmarkStart w:id="28" w:name="_Toc68613983"/>
      <w:r>
        <w:rPr>
          <w:rFonts w:hint="eastAsia" w:ascii="宋体" w:hAnsi="宋体" w:eastAsia="宋体" w:cs="宋体"/>
          <w:color w:val="auto"/>
          <w:kern w:val="44"/>
          <w:sz w:val="28"/>
          <w:szCs w:val="28"/>
          <w:highlight w:val="none"/>
        </w:rPr>
        <w:t>二、磋商文件的说明</w:t>
      </w:r>
      <w:bookmarkEnd w:id="28"/>
    </w:p>
    <w:p w14:paraId="6FDE7514">
      <w:pPr>
        <w:spacing w:line="460" w:lineRule="exact"/>
        <w:rPr>
          <w:rFonts w:ascii="宋体" w:cs="Times New Roman"/>
          <w:color w:val="auto"/>
          <w:kern w:val="44"/>
          <w:sz w:val="24"/>
          <w:szCs w:val="24"/>
          <w:highlight w:val="none"/>
        </w:rPr>
      </w:pPr>
      <w:bookmarkStart w:id="29" w:name="_Toc113441589"/>
      <w:r>
        <w:rPr>
          <w:rFonts w:ascii="宋体" w:hAnsi="宋体" w:cs="宋体"/>
          <w:color w:val="auto"/>
          <w:kern w:val="44"/>
          <w:sz w:val="24"/>
          <w:szCs w:val="24"/>
          <w:highlight w:val="none"/>
        </w:rPr>
        <w:t>4</w:t>
      </w:r>
      <w:r>
        <w:rPr>
          <w:rFonts w:hint="eastAsia" w:ascii="宋体" w:hAnsi="宋体" w:cs="宋体"/>
          <w:color w:val="auto"/>
          <w:kern w:val="44"/>
          <w:sz w:val="24"/>
          <w:szCs w:val="24"/>
          <w:highlight w:val="none"/>
        </w:rPr>
        <w:t>．磋商文件</w:t>
      </w:r>
      <w:bookmarkEnd w:id="29"/>
      <w:r>
        <w:rPr>
          <w:rFonts w:hint="eastAsia" w:ascii="宋体" w:hAnsi="宋体" w:cs="宋体"/>
          <w:color w:val="auto"/>
          <w:kern w:val="44"/>
          <w:sz w:val="24"/>
          <w:szCs w:val="24"/>
          <w:highlight w:val="none"/>
        </w:rPr>
        <w:t>的组成</w:t>
      </w:r>
    </w:p>
    <w:p w14:paraId="1B2B647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磋商文件为本次磋商采购单位发出的竞争性磋商文件；</w:t>
      </w:r>
    </w:p>
    <w:p w14:paraId="369E49E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磋商文件包括以下内容：</w:t>
      </w:r>
    </w:p>
    <w:p w14:paraId="6BB83FF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4.2.1</w:t>
      </w:r>
      <w:r>
        <w:rPr>
          <w:rFonts w:hint="eastAsia" w:ascii="宋体" w:hAnsi="宋体" w:cs="宋体"/>
          <w:color w:val="auto"/>
          <w:sz w:val="24"/>
          <w:szCs w:val="24"/>
          <w:highlight w:val="none"/>
        </w:rPr>
        <w:t>第一章供应商须知</w:t>
      </w:r>
    </w:p>
    <w:p w14:paraId="2F79CC84">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4.2.2</w:t>
      </w:r>
      <w:r>
        <w:rPr>
          <w:rFonts w:hint="eastAsia" w:ascii="宋体" w:hAnsi="宋体" w:cs="宋体"/>
          <w:color w:val="auto"/>
          <w:sz w:val="24"/>
          <w:szCs w:val="24"/>
          <w:highlight w:val="none"/>
        </w:rPr>
        <w:t>第二章磋商项目服务范围及要求</w:t>
      </w:r>
    </w:p>
    <w:p w14:paraId="1668333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4.2.3</w:t>
      </w:r>
      <w:r>
        <w:rPr>
          <w:rFonts w:hint="eastAsia" w:ascii="宋体" w:hAnsi="宋体" w:cs="宋体"/>
          <w:color w:val="auto"/>
          <w:sz w:val="24"/>
          <w:szCs w:val="24"/>
          <w:highlight w:val="none"/>
        </w:rPr>
        <w:t>第三章合同主要条款</w:t>
      </w:r>
    </w:p>
    <w:p w14:paraId="137DCD9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4.2.4</w:t>
      </w:r>
      <w:r>
        <w:rPr>
          <w:rFonts w:hint="eastAsia" w:ascii="宋体" w:hAnsi="宋体" w:cs="宋体"/>
          <w:color w:val="auto"/>
          <w:sz w:val="24"/>
          <w:szCs w:val="24"/>
          <w:highlight w:val="none"/>
        </w:rPr>
        <w:t>第四章响应文件格式</w:t>
      </w:r>
    </w:p>
    <w:p w14:paraId="30219F7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4.2.5</w:t>
      </w:r>
      <w:r>
        <w:rPr>
          <w:rFonts w:hint="eastAsia" w:ascii="宋体" w:hAnsi="宋体" w:cs="宋体"/>
          <w:color w:val="auto"/>
          <w:sz w:val="24"/>
          <w:szCs w:val="24"/>
          <w:highlight w:val="none"/>
        </w:rPr>
        <w:t>第五章磋商办法及评分标准</w:t>
      </w:r>
    </w:p>
    <w:p w14:paraId="0E98A6A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4.3 </w:t>
      </w:r>
      <w:r>
        <w:rPr>
          <w:rFonts w:hint="eastAsia" w:ascii="宋体" w:hAnsi="宋体" w:cs="宋体"/>
          <w:color w:val="auto"/>
          <w:sz w:val="24"/>
          <w:szCs w:val="24"/>
          <w:highlight w:val="none"/>
        </w:rPr>
        <w:t>采购代理机构在磋商截止时间前，以书面形式发出的对磋商文件的澄清或修改内容，均为磋商文件的组成部分，对磋商采购单位和供应商起约束作用。</w:t>
      </w:r>
    </w:p>
    <w:p w14:paraId="4362C7A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供应商获取磋商文件后，应仔细检查磋商文件的所有内容，如有残缺等问题，均应在获得磋商文件后</w:t>
      </w:r>
      <w:r>
        <w:rPr>
          <w:rFonts w:hint="eastAsia" w:ascii="宋体" w:hAnsi="宋体" w:cs="宋体"/>
          <w:b/>
          <w:bCs/>
          <w:color w:val="auto"/>
          <w:sz w:val="24"/>
          <w:szCs w:val="24"/>
          <w:highlight w:val="none"/>
        </w:rPr>
        <w:t>在</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个工作日</w:t>
      </w:r>
      <w:r>
        <w:rPr>
          <w:rFonts w:hint="eastAsia" w:ascii="宋体" w:hAnsi="宋体" w:cs="宋体"/>
          <w:color w:val="auto"/>
          <w:sz w:val="24"/>
          <w:szCs w:val="24"/>
          <w:highlight w:val="none"/>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2A68534C">
      <w:pPr>
        <w:spacing w:line="460" w:lineRule="exact"/>
        <w:rPr>
          <w:rFonts w:ascii="宋体" w:cs="Times New Roman"/>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磋商文件的答疑</w:t>
      </w:r>
    </w:p>
    <w:p w14:paraId="5CE743BB">
      <w:pPr>
        <w:spacing w:line="460" w:lineRule="exact"/>
        <w:ind w:left="115" w:leftChars="55" w:firstLine="464" w:firstLineChars="200"/>
        <w:rPr>
          <w:rFonts w:ascii="宋体" w:cs="Times New Roman"/>
          <w:color w:val="auto"/>
          <w:sz w:val="24"/>
          <w:szCs w:val="24"/>
          <w:highlight w:val="none"/>
        </w:rPr>
      </w:pPr>
      <w:r>
        <w:rPr>
          <w:rFonts w:hint="eastAsia" w:ascii="宋体" w:hAnsi="宋体" w:cs="宋体"/>
          <w:color w:val="auto"/>
          <w:spacing w:val="-4"/>
          <w:sz w:val="24"/>
          <w:szCs w:val="24"/>
          <w:highlight w:val="none"/>
        </w:rPr>
        <w:t>供应商如认为磋商文件表述不清晰、存在歧视性或者其他违法内容的，应当在</w:t>
      </w:r>
      <w:r>
        <w:rPr>
          <w:rFonts w:ascii="宋体" w:hAnsi="宋体" w:cs="宋体"/>
          <w:color w:val="auto"/>
          <w:spacing w:val="-4"/>
          <w:sz w:val="24"/>
          <w:szCs w:val="24"/>
          <w:highlight w:val="none"/>
        </w:rPr>
        <w:t>2025年 月 日17</w:t>
      </w:r>
      <w:r>
        <w:rPr>
          <w:rFonts w:hint="eastAsia" w:ascii="宋体" w:hAnsi="宋体" w:cs="宋体"/>
          <w:color w:val="auto"/>
          <w:spacing w:val="-4"/>
          <w:sz w:val="24"/>
          <w:szCs w:val="24"/>
          <w:highlight w:val="none"/>
        </w:rPr>
        <w:t>：</w:t>
      </w:r>
      <w:r>
        <w:rPr>
          <w:rFonts w:ascii="宋体" w:cs="宋体"/>
          <w:color w:val="auto"/>
          <w:spacing w:val="-4"/>
          <w:sz w:val="24"/>
          <w:szCs w:val="24"/>
          <w:highlight w:val="none"/>
        </w:rPr>
        <w:t>00</w:t>
      </w:r>
      <w:r>
        <w:rPr>
          <w:rFonts w:hint="eastAsia" w:ascii="宋体" w:hAnsi="宋体" w:cs="宋体"/>
          <w:color w:val="auto"/>
          <w:spacing w:val="-4"/>
          <w:sz w:val="24"/>
          <w:szCs w:val="24"/>
          <w:highlight w:val="none"/>
        </w:rPr>
        <w:t>前以书面（含传真）形式向采购代理机构一次性提出，磋商采购单位将在规</w:t>
      </w:r>
      <w:r>
        <w:rPr>
          <w:rFonts w:hint="eastAsia" w:ascii="宋体" w:hAnsi="宋体" w:cs="宋体"/>
          <w:color w:val="auto"/>
          <w:sz w:val="24"/>
          <w:szCs w:val="24"/>
          <w:highlight w:val="none"/>
        </w:rPr>
        <w:t>定的时间内统一进行澄清和修改，并书面（含传真）通知所有认购磋商文件的供应商。供应商未按规定要求提出的，则视同认可竞争性磋商文件，但法律法规及规范性文件有明确规定的除外。</w:t>
      </w:r>
      <w:r>
        <w:rPr>
          <w:rFonts w:hint="eastAsia" w:ascii="宋体" w:hAnsi="宋体" w:cs="宋体"/>
          <w:color w:val="auto"/>
          <w:spacing w:val="-4"/>
          <w:sz w:val="24"/>
          <w:szCs w:val="24"/>
          <w:highlight w:val="none"/>
        </w:rPr>
        <w:t>答疑内容是磋商文件的组成部分，并将在网上发布补充（答疑、澄清）文件，潜在供应商应自行关注网站公告，采购人不再一一通知，供应商因自身贻误行为导致磋商失效的，责任自负。</w:t>
      </w:r>
    </w:p>
    <w:p w14:paraId="0BBF0D06">
      <w:pPr>
        <w:spacing w:line="460" w:lineRule="exact"/>
        <w:rPr>
          <w:rFonts w:ascii="宋体" w:cs="Times New Roman"/>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磋商文件的澄清、修改</w:t>
      </w:r>
    </w:p>
    <w:p w14:paraId="3A8CF4D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在磋商截止时间前，磋商采购单位无论出于自己的考虑，还是出于对供应商提问的澄清，均可对磋商文件用补充文件的方式进行修改。</w:t>
      </w:r>
    </w:p>
    <w:p w14:paraId="2894FDA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对磋商文件的修改，将以书面或传真的形式通知已报名同一磋商文件的每一供应商。补充文件将作为磋商文件的组成部分，对所有供应商有约束力。供应商在收到该补充文件后，应以书面方式予以确认。</w:t>
      </w:r>
    </w:p>
    <w:p w14:paraId="37F1760F">
      <w:pPr>
        <w:spacing w:line="460" w:lineRule="exact"/>
        <w:rPr>
          <w:rFonts w:ascii="宋体" w:cs="Times New Roman"/>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供应商应当按照磋商文件的要求编制响应文件。响应文件应对磋商文件提出的要求和条件作出实质性响应（如对供货期限、售后服务、合同主要条款及其它要求等内容作出满足或者优于磋商文件要求和条件的承诺）。</w:t>
      </w:r>
    </w:p>
    <w:p w14:paraId="1F5A3D6B">
      <w:pPr>
        <w:spacing w:line="460" w:lineRule="exact"/>
        <w:rPr>
          <w:rFonts w:ascii="宋体" w:cs="Times New Roman"/>
          <w:b/>
          <w:bCs/>
          <w:color w:val="auto"/>
          <w:sz w:val="24"/>
          <w:szCs w:val="24"/>
          <w:highlight w:val="none"/>
        </w:rPr>
      </w:pPr>
      <w:r>
        <w:rPr>
          <w:rFonts w:ascii="宋体" w:hAnsi="宋体" w:cs="宋体"/>
          <w:b/>
          <w:bCs/>
          <w:color w:val="auto"/>
          <w:sz w:val="24"/>
          <w:szCs w:val="24"/>
          <w:highlight w:val="none"/>
        </w:rPr>
        <w:t>8.</w:t>
      </w:r>
      <w:r>
        <w:rPr>
          <w:rFonts w:hint="eastAsia" w:ascii="宋体" w:hAnsi="宋体" w:cs="宋体"/>
          <w:b/>
          <w:bCs/>
          <w:color w:val="auto"/>
          <w:sz w:val="24"/>
          <w:szCs w:val="24"/>
          <w:highlight w:val="none"/>
        </w:rPr>
        <w:t>电子响应文件组成</w:t>
      </w:r>
    </w:p>
    <w:p w14:paraId="6E5EFD9E">
      <w:pPr>
        <w:spacing w:line="460" w:lineRule="exact"/>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电子响应文件由《资格文件》、</w:t>
      </w:r>
      <w:r>
        <w:rPr>
          <w:rFonts w:hint="eastAsia" w:ascii="宋体" w:hAnsi="宋体" w:cs="宋体"/>
          <w:color w:val="auto"/>
          <w:sz w:val="22"/>
          <w:szCs w:val="22"/>
          <w:highlight w:val="none"/>
        </w:rPr>
        <w:t>《技术</w:t>
      </w:r>
      <w:r>
        <w:rPr>
          <w:rFonts w:ascii="宋体" w:hAnsi="宋体" w:cs="宋体"/>
          <w:color w:val="auto"/>
          <w:sz w:val="22"/>
          <w:szCs w:val="22"/>
          <w:highlight w:val="none"/>
        </w:rPr>
        <w:t>/</w:t>
      </w:r>
      <w:r>
        <w:rPr>
          <w:rFonts w:hint="eastAsia" w:ascii="宋体" w:hAnsi="宋体" w:cs="宋体"/>
          <w:color w:val="auto"/>
          <w:sz w:val="22"/>
          <w:szCs w:val="22"/>
          <w:highlight w:val="none"/>
        </w:rPr>
        <w:t>资信</w:t>
      </w:r>
      <w:r>
        <w:rPr>
          <w:rFonts w:ascii="宋体" w:hAnsi="宋体" w:cs="宋体"/>
          <w:color w:val="auto"/>
          <w:sz w:val="22"/>
          <w:szCs w:val="22"/>
          <w:highlight w:val="none"/>
        </w:rPr>
        <w:t>/</w:t>
      </w:r>
      <w:r>
        <w:rPr>
          <w:rFonts w:hint="eastAsia" w:ascii="宋体" w:hAnsi="宋体" w:cs="宋体"/>
          <w:color w:val="auto"/>
          <w:sz w:val="22"/>
          <w:szCs w:val="22"/>
          <w:highlight w:val="none"/>
        </w:rPr>
        <w:t>商务文件》</w:t>
      </w:r>
      <w:r>
        <w:rPr>
          <w:rFonts w:hint="eastAsia" w:ascii="宋体" w:hAnsi="宋体" w:cs="宋体"/>
          <w:color w:val="auto"/>
          <w:sz w:val="24"/>
          <w:szCs w:val="24"/>
          <w:highlight w:val="none"/>
        </w:rPr>
        <w:t>和《价格部分》组成。供应商应根据“政采云供应商项目采购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电子交易操作指南”及本磋商文件规定的格式和顺序编制电子响应文件并进行关联定位。</w:t>
      </w:r>
    </w:p>
    <w:p w14:paraId="78A050F0">
      <w:pPr>
        <w:spacing w:line="460" w:lineRule="exact"/>
        <w:ind w:firstLine="472" w:firstLineChars="196"/>
        <w:jc w:val="left"/>
        <w:rPr>
          <w:rFonts w:ascii="宋体" w:cs="Times New Roman"/>
          <w:b/>
          <w:bCs/>
          <w:color w:val="auto"/>
          <w:sz w:val="24"/>
          <w:szCs w:val="24"/>
          <w:highlight w:val="none"/>
        </w:rPr>
      </w:pPr>
      <w:r>
        <w:rPr>
          <w:rFonts w:ascii="宋体" w:hAnsi="宋体" w:cs="宋体"/>
          <w:b/>
          <w:bCs/>
          <w:color w:val="auto"/>
          <w:sz w:val="24"/>
          <w:szCs w:val="24"/>
          <w:highlight w:val="none"/>
        </w:rPr>
        <w:t>8.1.</w:t>
      </w:r>
      <w:r>
        <w:rPr>
          <w:rFonts w:hint="eastAsia" w:ascii="宋体" w:hAnsi="宋体" w:cs="宋体"/>
          <w:b/>
          <w:bCs/>
          <w:color w:val="auto"/>
          <w:sz w:val="24"/>
          <w:szCs w:val="24"/>
          <w:highlight w:val="none"/>
        </w:rPr>
        <w:t>资格文件：</w:t>
      </w:r>
    </w:p>
    <w:p w14:paraId="2C26823A">
      <w:pPr>
        <w:spacing w:line="460" w:lineRule="exact"/>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8.1.1</w:t>
      </w:r>
      <w:r>
        <w:rPr>
          <w:rFonts w:hint="eastAsia" w:ascii="宋体" w:hAnsi="宋体" w:cs="宋体"/>
          <w:color w:val="auto"/>
          <w:sz w:val="24"/>
          <w:szCs w:val="24"/>
          <w:highlight w:val="none"/>
        </w:rPr>
        <w:t>磋商声明书</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7EB43418">
      <w:pPr>
        <w:spacing w:line="460" w:lineRule="exact"/>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8.1.2</w:t>
      </w:r>
      <w:bookmarkStart w:id="30" w:name="OLE_LINK5"/>
      <w:bookmarkStart w:id="31" w:name="OLE_LINK6"/>
      <w:bookmarkStart w:id="32" w:name="OLE_LINK19"/>
      <w:bookmarkStart w:id="33" w:name="OLE_LINK18"/>
      <w:r>
        <w:rPr>
          <w:rFonts w:hint="eastAsia" w:ascii="宋体" w:hAnsi="宋体"/>
          <w:color w:val="auto"/>
          <w:sz w:val="24"/>
          <w:highlight w:val="none"/>
        </w:rPr>
        <w:t>法定代表人有效身份证明书或法定代表人授权书及授权代理人社保证明复印件（社保机构出具的由本单位或分公司为其缴纳的</w:t>
      </w:r>
      <w:r>
        <w:rPr>
          <w:rFonts w:hint="eastAsia" w:ascii="宋体" w:hAnsi="宋体" w:cs="宋体"/>
          <w:color w:val="auto"/>
          <w:kern w:val="0"/>
          <w:sz w:val="24"/>
          <w:highlight w:val="none"/>
        </w:rPr>
        <w:t>近一个月</w:t>
      </w:r>
      <w:r>
        <w:rPr>
          <w:rFonts w:hint="eastAsia" w:ascii="宋体" w:hAnsi="宋体"/>
          <w:color w:val="auto"/>
          <w:sz w:val="24"/>
          <w:highlight w:val="none"/>
        </w:rPr>
        <w:t>的社保证明）</w:t>
      </w:r>
      <w:bookmarkEnd w:id="30"/>
      <w:bookmarkEnd w:id="31"/>
      <w:r>
        <w:rPr>
          <w:rFonts w:hint="eastAsia" w:ascii="宋体" w:hAnsi="宋体"/>
          <w:color w:val="auto"/>
          <w:sz w:val="24"/>
          <w:highlight w:val="none"/>
        </w:rPr>
        <w:t>（如</w:t>
      </w:r>
      <w:r>
        <w:rPr>
          <w:rFonts w:hint="eastAsia"/>
          <w:snapToGrid w:val="0"/>
          <w:color w:val="auto"/>
          <w:sz w:val="24"/>
          <w:highlight w:val="none"/>
        </w:rPr>
        <w:t>组成联合体措施的，</w:t>
      </w:r>
      <w:r>
        <w:rPr>
          <w:rFonts w:hint="eastAsia" w:ascii="宋体" w:hAnsi="宋体"/>
          <w:color w:val="auto"/>
          <w:sz w:val="24"/>
          <w:highlight w:val="none"/>
        </w:rPr>
        <w:t>联合体各方各提交一份联合体主办人授权书）</w:t>
      </w:r>
      <w:bookmarkEnd w:id="32"/>
      <w:bookmarkEnd w:id="33"/>
      <w:r>
        <w:rPr>
          <w:rFonts w:hint="eastAsia" w:ascii="宋体" w:hAnsi="宋体" w:cs="宋体"/>
          <w:color w:val="auto"/>
          <w:sz w:val="24"/>
          <w:szCs w:val="24"/>
          <w:highlight w:val="none"/>
        </w:rPr>
        <w:t>；</w:t>
      </w:r>
    </w:p>
    <w:p w14:paraId="542E667C">
      <w:pPr>
        <w:spacing w:line="360" w:lineRule="auto"/>
        <w:ind w:firstLine="470" w:firstLineChars="196"/>
        <w:jc w:val="left"/>
        <w:rPr>
          <w:rFonts w:ascii="宋体" w:cs="Times New Roman"/>
          <w:color w:val="auto"/>
          <w:sz w:val="24"/>
          <w:szCs w:val="24"/>
          <w:highlight w:val="none"/>
        </w:rPr>
      </w:pPr>
      <w:r>
        <w:rPr>
          <w:rFonts w:hint="eastAsia" w:ascii="宋体" w:hAnsi="宋体" w:cs="宋体"/>
          <w:color w:val="auto"/>
          <w:sz w:val="24"/>
          <w:szCs w:val="24"/>
          <w:highlight w:val="none"/>
        </w:rPr>
        <w:t>8.1.3</w:t>
      </w:r>
      <w:r>
        <w:rPr>
          <w:rFonts w:hint="eastAsia" w:ascii="宋体" w:hAnsi="宋体"/>
          <w:color w:val="auto"/>
          <w:sz w:val="24"/>
          <w:highlight w:val="none"/>
        </w:rPr>
        <w:t>有效的营业执照、税务登记证、组织机构代码证或“三证合一”的营业执照或“五证合一”的营业执照</w:t>
      </w:r>
      <w:r>
        <w:rPr>
          <w:rFonts w:hint="eastAsia" w:ascii="宋体" w:hAnsi="宋体" w:cs="宋体"/>
          <w:color w:val="auto"/>
          <w:sz w:val="24"/>
          <w:szCs w:val="24"/>
          <w:highlight w:val="none"/>
        </w:rPr>
        <w:t>；</w:t>
      </w:r>
    </w:p>
    <w:p w14:paraId="0C08360D">
      <w:pPr>
        <w:spacing w:line="360" w:lineRule="auto"/>
        <w:ind w:firstLine="470" w:firstLineChars="196"/>
        <w:jc w:val="left"/>
        <w:rPr>
          <w:rFonts w:ascii="宋体" w:cs="Times New Roman"/>
          <w:color w:val="auto"/>
          <w:sz w:val="24"/>
          <w:szCs w:val="24"/>
          <w:highlight w:val="none"/>
        </w:rPr>
      </w:pPr>
      <w:r>
        <w:rPr>
          <w:rFonts w:hint="eastAsia" w:ascii="宋体" w:hAnsi="宋体" w:cs="宋体"/>
          <w:color w:val="auto"/>
          <w:sz w:val="24"/>
          <w:szCs w:val="24"/>
          <w:highlight w:val="none"/>
        </w:rPr>
        <w:t>8.1.4</w:t>
      </w:r>
      <w:r>
        <w:rPr>
          <w:rFonts w:hint="eastAsia" w:ascii="宋体" w:hAnsi="宋体"/>
          <w:color w:val="auto"/>
          <w:sz w:val="24"/>
          <w:highlight w:val="none"/>
        </w:rPr>
        <w:t>投标承诺书；</w:t>
      </w:r>
    </w:p>
    <w:p w14:paraId="0DC279A0">
      <w:pPr>
        <w:spacing w:line="460" w:lineRule="exact"/>
        <w:ind w:firstLine="470" w:firstLineChars="196"/>
        <w:jc w:val="left"/>
        <w:rPr>
          <w:rFonts w:ascii="宋体" w:hAnsi="宋体" w:cstheme="minorBidi"/>
          <w:color w:val="auto"/>
          <w:sz w:val="24"/>
          <w:szCs w:val="22"/>
          <w:highlight w:val="none"/>
        </w:rPr>
      </w:pPr>
      <w:r>
        <w:rPr>
          <w:rFonts w:hint="eastAsia" w:ascii="宋体" w:hAnsi="宋体" w:cs="宋体"/>
          <w:color w:val="auto"/>
          <w:sz w:val="24"/>
          <w:szCs w:val="24"/>
          <w:highlight w:val="none"/>
        </w:rPr>
        <w:t>8.1.5</w:t>
      </w:r>
      <w:r>
        <w:rPr>
          <w:rFonts w:hint="eastAsia" w:ascii="宋体" w:hAnsi="宋体" w:cs="宋体"/>
          <w:color w:val="auto"/>
          <w:sz w:val="24"/>
          <w:highlight w:val="none"/>
        </w:rPr>
        <w:t>信用承诺书；</w:t>
      </w:r>
    </w:p>
    <w:p w14:paraId="3851FE9F">
      <w:pPr>
        <w:spacing w:line="460" w:lineRule="exact"/>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6提供自磋商公告发布之日起至任意时间的“信用中国”网站（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）供应商信用查询网页截图（以开标当日采购人或由采购代理机构核实的查询结果为准）；</w:t>
      </w:r>
    </w:p>
    <w:p w14:paraId="1E48017C">
      <w:pPr>
        <w:spacing w:line="460" w:lineRule="exact"/>
        <w:ind w:firstLine="470" w:firstLineChars="196"/>
        <w:jc w:val="left"/>
        <w:rPr>
          <w:rFonts w:ascii="宋体" w:hAnsi="宋体" w:cs="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7</w:t>
      </w:r>
      <w:r>
        <w:rPr>
          <w:rFonts w:hint="eastAsia" w:ascii="宋体" w:hAnsi="宋体"/>
          <w:color w:val="auto"/>
          <w:sz w:val="24"/>
          <w:highlight w:val="none"/>
        </w:rPr>
        <w:t>《中小企业声明函》（格式见</w:t>
      </w:r>
      <w:r>
        <w:rPr>
          <w:rFonts w:hint="eastAsia" w:ascii="宋体" w:hAnsi="宋体" w:cs="宋体"/>
          <w:color w:val="auto"/>
          <w:sz w:val="24"/>
          <w:szCs w:val="24"/>
          <w:highlight w:val="none"/>
        </w:rPr>
        <w:t>附件），残疾人福利性单位需提供《残疾人福利性单位声明函》，监狱企业需提供省级以上监狱管理局、戒毒管理局（含新疆生产建设兵团）出具的属于监狱企业的证明文件</w:t>
      </w:r>
      <w:r>
        <w:rPr>
          <w:rFonts w:hint="eastAsia" w:ascii="宋体" w:hAnsi="宋体"/>
          <w:color w:val="auto"/>
          <w:sz w:val="24"/>
          <w:highlight w:val="none"/>
        </w:rPr>
        <w:t>。</w:t>
      </w:r>
    </w:p>
    <w:p w14:paraId="4409A0EB">
      <w:pPr>
        <w:spacing w:line="460" w:lineRule="exact"/>
        <w:ind w:firstLine="470" w:firstLineChars="196"/>
        <w:jc w:val="left"/>
        <w:rPr>
          <w:rFonts w:ascii="宋体" w:cs="Times New Roman"/>
          <w:color w:val="auto"/>
          <w:sz w:val="24"/>
          <w:szCs w:val="24"/>
          <w:highlight w:val="none"/>
        </w:rPr>
      </w:pPr>
      <w:r>
        <w:rPr>
          <w:rFonts w:hint="eastAsia" w:ascii="宋体" w:hAnsi="宋体" w:cs="宋体"/>
          <w:color w:val="auto"/>
          <w:sz w:val="24"/>
          <w:szCs w:val="24"/>
          <w:highlight w:val="none"/>
        </w:rPr>
        <w:t>注：▲法定代表人授权委托书、磋商声明书必须由法定代表人签名或盖章并加盖单位公章。</w:t>
      </w:r>
    </w:p>
    <w:p w14:paraId="2CEFF122">
      <w:pPr>
        <w:spacing w:line="360" w:lineRule="auto"/>
        <w:ind w:firstLine="472" w:firstLineChars="196"/>
        <w:jc w:val="left"/>
        <w:rPr>
          <w:rFonts w:ascii="宋体" w:hAnsi="宋体" w:cs="宋体"/>
          <w:b/>
          <w:bCs/>
          <w:color w:val="auto"/>
          <w:sz w:val="24"/>
          <w:szCs w:val="24"/>
          <w:highlight w:val="none"/>
        </w:rPr>
      </w:pPr>
      <w:r>
        <w:rPr>
          <w:rFonts w:ascii="宋体" w:hAnsi="宋体" w:cs="宋体"/>
          <w:b/>
          <w:bCs/>
          <w:color w:val="auto"/>
          <w:sz w:val="24"/>
          <w:szCs w:val="24"/>
          <w:highlight w:val="none"/>
        </w:rPr>
        <w:t xml:space="preserve">8.2 </w:t>
      </w:r>
      <w:r>
        <w:rPr>
          <w:rFonts w:hint="eastAsia" w:ascii="宋体" w:hAnsi="宋体" w:cs="宋体"/>
          <w:b/>
          <w:bCs/>
          <w:color w:val="auto"/>
          <w:sz w:val="24"/>
          <w:szCs w:val="24"/>
          <w:highlight w:val="none"/>
        </w:rPr>
        <w:t>技术文件</w:t>
      </w:r>
    </w:p>
    <w:p w14:paraId="717979C4">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8.2.1</w:t>
      </w:r>
      <w:r>
        <w:rPr>
          <w:rFonts w:hint="eastAsia" w:ascii="宋体" w:hAnsi="宋体"/>
          <w:color w:val="auto"/>
          <w:highlight w:val="none"/>
        </w:rPr>
        <w:t>项目理解</w:t>
      </w:r>
      <w:r>
        <w:rPr>
          <w:rFonts w:hint="eastAsia" w:ascii="宋体" w:hAnsi="宋体"/>
          <w:color w:val="auto"/>
          <w:sz w:val="24"/>
          <w:highlight w:val="none"/>
        </w:rPr>
        <w:t>；</w:t>
      </w:r>
    </w:p>
    <w:p w14:paraId="073D376D">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8.2.2</w:t>
      </w:r>
      <w:r>
        <w:rPr>
          <w:rFonts w:hint="eastAsia" w:hAnsi="宋体"/>
          <w:bCs/>
          <w:color w:val="auto"/>
          <w:sz w:val="24"/>
          <w:highlight w:val="none"/>
        </w:rPr>
        <w:t>实施方案</w:t>
      </w:r>
      <w:r>
        <w:rPr>
          <w:rFonts w:hint="eastAsia" w:ascii="宋体" w:hAnsi="宋体"/>
          <w:color w:val="auto"/>
          <w:sz w:val="24"/>
          <w:highlight w:val="none"/>
        </w:rPr>
        <w:t>；</w:t>
      </w:r>
    </w:p>
    <w:p w14:paraId="5F001816">
      <w:pPr>
        <w:spacing w:line="360" w:lineRule="auto"/>
        <w:ind w:firstLine="470" w:firstLineChars="196"/>
        <w:jc w:val="left"/>
        <w:rPr>
          <w:rFonts w:hAnsi="宋体"/>
          <w:bCs/>
          <w:color w:val="auto"/>
          <w:sz w:val="24"/>
          <w:highlight w:val="none"/>
        </w:rPr>
      </w:pPr>
      <w:r>
        <w:rPr>
          <w:rFonts w:ascii="宋体" w:hAnsi="宋体"/>
          <w:color w:val="auto"/>
          <w:sz w:val="24"/>
          <w:highlight w:val="none"/>
        </w:rPr>
        <w:t>8.2.</w:t>
      </w:r>
      <w:r>
        <w:rPr>
          <w:rFonts w:hint="eastAsia" w:ascii="宋体" w:hAnsi="宋体"/>
          <w:color w:val="auto"/>
          <w:sz w:val="24"/>
          <w:highlight w:val="none"/>
        </w:rPr>
        <w:t>3</w:t>
      </w:r>
      <w:bookmarkStart w:id="34" w:name="OLE_LINK17"/>
      <w:r>
        <w:rPr>
          <w:rFonts w:hint="eastAsia" w:hAnsi="宋体"/>
          <w:bCs/>
          <w:color w:val="auto"/>
          <w:sz w:val="24"/>
          <w:highlight w:val="none"/>
        </w:rPr>
        <w:t>质量保证措施</w:t>
      </w:r>
      <w:bookmarkEnd w:id="34"/>
      <w:r>
        <w:rPr>
          <w:rFonts w:hint="eastAsia" w:hAnsi="宋体"/>
          <w:bCs/>
          <w:color w:val="auto"/>
          <w:sz w:val="24"/>
          <w:highlight w:val="none"/>
        </w:rPr>
        <w:t>项目；</w:t>
      </w:r>
    </w:p>
    <w:p w14:paraId="2FB7B119">
      <w:pPr>
        <w:spacing w:line="360" w:lineRule="auto"/>
        <w:ind w:firstLine="470" w:firstLineChars="196"/>
        <w:jc w:val="left"/>
        <w:rPr>
          <w:rFonts w:hAnsi="宋体"/>
          <w:bCs/>
          <w:color w:val="auto"/>
          <w:sz w:val="24"/>
          <w:highlight w:val="none"/>
        </w:rPr>
      </w:pPr>
      <w:r>
        <w:rPr>
          <w:rFonts w:ascii="宋体" w:hAnsi="宋体"/>
          <w:color w:val="auto"/>
          <w:sz w:val="24"/>
          <w:highlight w:val="none"/>
        </w:rPr>
        <w:t>8.2.</w:t>
      </w:r>
      <w:r>
        <w:rPr>
          <w:rFonts w:hint="eastAsia" w:ascii="宋体" w:hAnsi="宋体"/>
          <w:color w:val="auto"/>
          <w:sz w:val="24"/>
          <w:highlight w:val="none"/>
        </w:rPr>
        <w:t>4</w:t>
      </w:r>
      <w:r>
        <w:rPr>
          <w:rFonts w:hint="eastAsia" w:hAnsi="宋体"/>
          <w:bCs/>
          <w:color w:val="auto"/>
          <w:sz w:val="24"/>
          <w:highlight w:val="none"/>
        </w:rPr>
        <w:t>进度方案；</w:t>
      </w:r>
    </w:p>
    <w:p w14:paraId="05F74FC2">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5</w:t>
      </w:r>
      <w:r>
        <w:rPr>
          <w:rFonts w:hint="eastAsia" w:hAnsi="宋体"/>
          <w:bCs/>
          <w:color w:val="auto"/>
          <w:sz w:val="24"/>
          <w:highlight w:val="none"/>
        </w:rPr>
        <w:t>应急方案</w:t>
      </w:r>
      <w:r>
        <w:rPr>
          <w:rFonts w:hint="eastAsia" w:ascii="宋体" w:hAnsi="宋体"/>
          <w:color w:val="auto"/>
          <w:sz w:val="24"/>
          <w:highlight w:val="none"/>
        </w:rPr>
        <w:t>；</w:t>
      </w:r>
    </w:p>
    <w:p w14:paraId="709204ED">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6磋商项目实施人员一览表；</w:t>
      </w:r>
    </w:p>
    <w:p w14:paraId="2440CF8C">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7本项目有效的改进措施和合理化建议；</w:t>
      </w:r>
    </w:p>
    <w:p w14:paraId="26553ED8">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8供应商需要说明的其他文件和说明（格式略）。</w:t>
      </w:r>
    </w:p>
    <w:p w14:paraId="7735E870">
      <w:pPr>
        <w:spacing w:line="360" w:lineRule="auto"/>
        <w:ind w:firstLine="472" w:firstLineChars="196"/>
        <w:jc w:val="left"/>
        <w:rPr>
          <w:rFonts w:ascii="宋体" w:cs="Times New Roman"/>
          <w:b/>
          <w:bCs/>
          <w:color w:val="auto"/>
          <w:sz w:val="24"/>
          <w:szCs w:val="24"/>
          <w:highlight w:val="none"/>
        </w:rPr>
      </w:pPr>
      <w:r>
        <w:rPr>
          <w:rFonts w:hint="eastAsia" w:ascii="宋体" w:hAnsi="宋体" w:cs="宋体"/>
          <w:b/>
          <w:bCs/>
          <w:color w:val="auto"/>
          <w:sz w:val="24"/>
          <w:szCs w:val="24"/>
          <w:highlight w:val="none"/>
        </w:rPr>
        <w:t>资信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商务文件：</w:t>
      </w:r>
    </w:p>
    <w:p w14:paraId="648D509F">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9类似案例成功的业绩（供应商同类项目实施情况一览表、合同复印件）；</w:t>
      </w:r>
    </w:p>
    <w:p w14:paraId="1FD9718D">
      <w:pPr>
        <w:spacing w:line="360" w:lineRule="auto"/>
        <w:ind w:firstLine="480" w:firstLineChars="200"/>
        <w:rPr>
          <w:rFonts w:ascii="宋体" w:hAnsi="宋体"/>
          <w:color w:val="auto"/>
          <w:sz w:val="24"/>
          <w:highlight w:val="none"/>
        </w:rPr>
      </w:pPr>
      <w:r>
        <w:rPr>
          <w:rFonts w:ascii="宋体" w:hAnsi="宋体"/>
          <w:color w:val="auto"/>
          <w:sz w:val="24"/>
          <w:highlight w:val="none"/>
        </w:rPr>
        <w:t>8.2.1</w:t>
      </w:r>
      <w:r>
        <w:rPr>
          <w:rFonts w:hint="eastAsia" w:ascii="宋体" w:hAnsi="宋体"/>
          <w:color w:val="auto"/>
          <w:sz w:val="24"/>
          <w:highlight w:val="none"/>
        </w:rPr>
        <w:t>0供应商质量管理体系等方面的认证证书；</w:t>
      </w:r>
    </w:p>
    <w:p w14:paraId="3684DD3D">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11供应商认为可以证明其能力或业绩的其他材料；</w:t>
      </w:r>
    </w:p>
    <w:p w14:paraId="64EFF4A5">
      <w:pPr>
        <w:spacing w:line="360" w:lineRule="auto"/>
        <w:ind w:firstLine="480" w:firstLineChars="200"/>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12商务响应表（格式见附件）；</w:t>
      </w:r>
    </w:p>
    <w:p w14:paraId="1E83E0E0">
      <w:pPr>
        <w:spacing w:line="360" w:lineRule="auto"/>
        <w:ind w:firstLine="480" w:firstLineChars="200"/>
        <w:rPr>
          <w:rFonts w:ascii="宋体" w:hAnsi="宋体"/>
          <w:color w:val="auto"/>
          <w:sz w:val="24"/>
          <w:highlight w:val="none"/>
        </w:rPr>
      </w:pPr>
      <w:bookmarkStart w:id="35" w:name="OLE_LINK25"/>
      <w:r>
        <w:rPr>
          <w:rFonts w:ascii="宋体" w:hAnsi="宋体"/>
          <w:color w:val="auto"/>
          <w:sz w:val="24"/>
          <w:highlight w:val="none"/>
        </w:rPr>
        <w:t>8.2.1</w:t>
      </w:r>
      <w:r>
        <w:rPr>
          <w:rFonts w:hint="eastAsia" w:ascii="宋体" w:hAnsi="宋体"/>
          <w:color w:val="auto"/>
          <w:sz w:val="24"/>
          <w:highlight w:val="none"/>
        </w:rPr>
        <w:t>3</w:t>
      </w:r>
      <w:bookmarkEnd w:id="35"/>
      <w:r>
        <w:rPr>
          <w:rFonts w:hint="eastAsia" w:ascii="宋体" w:hAnsi="宋体"/>
          <w:color w:val="auto"/>
          <w:sz w:val="24"/>
          <w:highlight w:val="none"/>
        </w:rPr>
        <w:t>培训计划及方案；</w:t>
      </w:r>
    </w:p>
    <w:p w14:paraId="3DB05F51">
      <w:pPr>
        <w:spacing w:line="360" w:lineRule="auto"/>
        <w:ind w:firstLine="480" w:firstLineChars="200"/>
        <w:rPr>
          <w:rFonts w:ascii="宋体" w:hAnsi="宋体"/>
          <w:color w:val="auto"/>
          <w:sz w:val="24"/>
          <w:highlight w:val="none"/>
        </w:rPr>
      </w:pPr>
      <w:r>
        <w:rPr>
          <w:rFonts w:ascii="宋体" w:hAnsi="宋体"/>
          <w:color w:val="auto"/>
          <w:sz w:val="24"/>
          <w:highlight w:val="none"/>
        </w:rPr>
        <w:t>8.2.1</w:t>
      </w:r>
      <w:r>
        <w:rPr>
          <w:rFonts w:hint="eastAsia" w:ascii="宋体" w:hAnsi="宋体"/>
          <w:color w:val="auto"/>
          <w:sz w:val="24"/>
          <w:highlight w:val="none"/>
        </w:rPr>
        <w:t>4售后服务承诺；</w:t>
      </w:r>
    </w:p>
    <w:p w14:paraId="2377EC30">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8.2.1</w:t>
      </w:r>
      <w:r>
        <w:rPr>
          <w:rFonts w:hint="eastAsia" w:ascii="宋体" w:hAnsi="宋体"/>
          <w:color w:val="auto"/>
          <w:sz w:val="24"/>
          <w:highlight w:val="none"/>
        </w:rPr>
        <w:t>5技术、商务、资信及其他分自评表。</w:t>
      </w:r>
    </w:p>
    <w:p w14:paraId="2F11E975">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8.3</w:t>
      </w:r>
      <w:r>
        <w:rPr>
          <w:rFonts w:hint="eastAsia" w:ascii="宋体" w:hAnsi="宋体" w:cs="宋体"/>
          <w:b/>
          <w:bCs/>
          <w:color w:val="auto"/>
          <w:sz w:val="24"/>
          <w:szCs w:val="24"/>
          <w:highlight w:val="none"/>
        </w:rPr>
        <w:t>价格部分</w:t>
      </w:r>
    </w:p>
    <w:p w14:paraId="2906E0A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8.3.1</w:t>
      </w:r>
      <w:r>
        <w:rPr>
          <w:rFonts w:hint="eastAsia" w:ascii="宋体" w:hAnsi="宋体" w:cs="宋体"/>
          <w:color w:val="auto"/>
          <w:sz w:val="24"/>
          <w:szCs w:val="24"/>
          <w:highlight w:val="none"/>
        </w:rPr>
        <w:t>磋商报价一览表（首次报价）；</w:t>
      </w:r>
    </w:p>
    <w:p w14:paraId="77B960DA">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8.3.2 </w:t>
      </w:r>
      <w:r>
        <w:rPr>
          <w:rFonts w:hint="eastAsia" w:ascii="宋体" w:hAnsi="宋体" w:cs="宋体"/>
          <w:color w:val="auto"/>
          <w:sz w:val="24"/>
          <w:szCs w:val="24"/>
          <w:highlight w:val="none"/>
        </w:rPr>
        <w:t>磋商报价明细表：</w:t>
      </w:r>
    </w:p>
    <w:p w14:paraId="4E11A1DA">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8.3.3</w:t>
      </w:r>
      <w:r>
        <w:rPr>
          <w:rFonts w:hint="eastAsia" w:ascii="宋体" w:hAnsi="宋体" w:cs="宋体"/>
          <w:color w:val="auto"/>
          <w:sz w:val="24"/>
          <w:szCs w:val="24"/>
          <w:highlight w:val="none"/>
        </w:rPr>
        <w:t>采购</w:t>
      </w:r>
      <w:bookmarkStart w:id="112" w:name="_GoBack"/>
      <w:r>
        <w:rPr>
          <w:rFonts w:hint="eastAsia" w:ascii="宋体" w:hAnsi="宋体" w:cs="宋体"/>
          <w:color w:val="auto"/>
          <w:sz w:val="24"/>
          <w:szCs w:val="24"/>
          <w:highlight w:val="none"/>
        </w:rPr>
        <w:t>代理服务</w:t>
      </w:r>
      <w:bookmarkEnd w:id="112"/>
      <w:r>
        <w:rPr>
          <w:rFonts w:hint="eastAsia" w:ascii="宋体" w:hAnsi="宋体" w:cs="宋体"/>
          <w:color w:val="auto"/>
          <w:sz w:val="24"/>
          <w:szCs w:val="24"/>
          <w:highlight w:val="none"/>
        </w:rPr>
        <w:t>费承诺函；</w:t>
      </w:r>
    </w:p>
    <w:p w14:paraId="285FEA5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8.3.</w:t>
      </w:r>
      <w:r>
        <w:rPr>
          <w:rFonts w:hint="eastAsia" w:ascii="宋体" w:hAnsi="宋体" w:cs="宋体"/>
          <w:color w:val="auto"/>
          <w:sz w:val="24"/>
          <w:szCs w:val="24"/>
          <w:highlight w:val="none"/>
        </w:rPr>
        <w:t>4供应商针对报价需要说明的其他材料（格式自拟）。</w:t>
      </w:r>
    </w:p>
    <w:p w14:paraId="6207D1A7">
      <w:pPr>
        <w:snapToGrid w:val="0"/>
        <w:spacing w:line="400" w:lineRule="exact"/>
        <w:ind w:firstLine="482" w:firstLineChars="200"/>
        <w:jc w:val="left"/>
        <w:rPr>
          <w:rFonts w:ascii="宋体" w:cs="Times New Roman"/>
          <w:b/>
          <w:bCs/>
          <w:color w:val="auto"/>
          <w:sz w:val="24"/>
          <w:szCs w:val="24"/>
          <w:highlight w:val="none"/>
        </w:rPr>
      </w:pPr>
      <w:r>
        <w:rPr>
          <w:rFonts w:hint="eastAsia" w:ascii="宋体" w:hAnsi="宋体" w:cs="宋体"/>
          <w:b/>
          <w:bCs/>
          <w:color w:val="auto"/>
          <w:sz w:val="24"/>
          <w:szCs w:val="24"/>
          <w:highlight w:val="none"/>
        </w:rPr>
        <w:t>《响应文件》应由供应商法定代表人或其授权代表签字（或盖章），并加盖供应商公章。</w:t>
      </w:r>
    </w:p>
    <w:p w14:paraId="48DF15E4">
      <w:pPr>
        <w:spacing w:line="460" w:lineRule="exact"/>
        <w:rPr>
          <w:rFonts w:ascii="宋体" w:cs="Times New Roman"/>
          <w:b/>
          <w:bCs/>
          <w:color w:val="auto"/>
          <w:sz w:val="24"/>
          <w:szCs w:val="24"/>
          <w:highlight w:val="none"/>
        </w:rPr>
      </w:pPr>
      <w:r>
        <w:rPr>
          <w:rFonts w:ascii="宋体" w:hAnsi="宋体" w:cs="宋体"/>
          <w:b/>
          <w:bCs/>
          <w:color w:val="auto"/>
          <w:sz w:val="24"/>
          <w:szCs w:val="24"/>
          <w:highlight w:val="none"/>
        </w:rPr>
        <w:t>9.</w:t>
      </w:r>
      <w:r>
        <w:rPr>
          <w:rFonts w:hint="eastAsia" w:ascii="宋体" w:hAnsi="宋体" w:cs="宋体"/>
          <w:b/>
          <w:bCs/>
          <w:color w:val="auto"/>
          <w:sz w:val="24"/>
          <w:szCs w:val="24"/>
          <w:highlight w:val="none"/>
        </w:rPr>
        <w:t>磋商报价说明</w:t>
      </w:r>
    </w:p>
    <w:p w14:paraId="15A0D8AF">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磋商采购单位不接受任何选择性的方案；</w:t>
      </w:r>
    </w:p>
    <w:p w14:paraId="24B51645">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9.2磋商报价指是履行合同的最终价格，应包含全部货物供货到采购人指定地点并 全部安装完成验收合格正式交付使用，完成约定保修期所有约定保修工作所发生的一切费用（拟采购产品的备品、备件和专用工具费用、税金、包装及运输、保险、检测验收、 调试及交付使用后维保等工作所发生的费用及供应商认为完成本磋商文件规定内容所 需发生的其它费用，凡未列入的，将被视为均已包含在磋商总报价中）。只允许有一个报价，任何有选择的或有条件的报价将不予接受。</w:t>
      </w:r>
    </w:p>
    <w:p w14:paraId="2273739F">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9.3</w:t>
      </w:r>
      <w:r>
        <w:rPr>
          <w:rFonts w:hint="eastAsia" w:ascii="宋体" w:hAnsi="宋体" w:cs="宋体"/>
          <w:color w:val="auto"/>
          <w:sz w:val="24"/>
          <w:szCs w:val="24"/>
          <w:highlight w:val="none"/>
        </w:rPr>
        <w:t>磋商分二轮或多轮（最多不超过三轮）进行，首次报价在响应文件中体现；最后报价应通过政采云系统进行在线磋商、报价，若因系统原因无法在线磋商、报价时，可通过如下方式：代理机构通过电子邮箱（</w:t>
      </w:r>
      <w:r>
        <w:rPr>
          <w:rFonts w:ascii="宋体" w:hAnsi="宋体" w:cs="宋体"/>
          <w:color w:val="auto"/>
          <w:sz w:val="24"/>
          <w:szCs w:val="24"/>
          <w:highlight w:val="none"/>
        </w:rPr>
        <w:t>huayaohz@163.com</w:t>
      </w:r>
      <w:r>
        <w:rPr>
          <w:rFonts w:hint="eastAsia" w:ascii="宋体" w:hAnsi="宋体" w:cs="宋体"/>
          <w:color w:val="auto"/>
          <w:sz w:val="24"/>
          <w:szCs w:val="24"/>
          <w:highlight w:val="none"/>
        </w:rPr>
        <w:t>）向各供应商指定的电子邮箱发送最终报价的通知函，供应商在收到此函后</w:t>
      </w:r>
      <w:r>
        <w:rPr>
          <w:rFonts w:ascii="宋体" w:hAnsi="宋体" w:cs="宋体"/>
          <w:color w:val="auto"/>
          <w:sz w:val="24"/>
          <w:szCs w:val="24"/>
          <w:highlight w:val="none"/>
        </w:rPr>
        <w:t>30</w:t>
      </w:r>
      <w:r>
        <w:rPr>
          <w:rFonts w:hint="eastAsia" w:ascii="宋体" w:hAnsi="宋体" w:cs="宋体"/>
          <w:color w:val="auto"/>
          <w:sz w:val="24"/>
          <w:szCs w:val="24"/>
          <w:highlight w:val="none"/>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7A45B758">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4响应文件中的所有报价均以人民币（元）为单位；</w:t>
      </w:r>
    </w:p>
    <w:p w14:paraId="79FD74EA">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5磋商采购单位不接受备选方案。</w:t>
      </w:r>
    </w:p>
    <w:p w14:paraId="2217A320">
      <w:pPr>
        <w:spacing w:line="460" w:lineRule="exact"/>
        <w:rPr>
          <w:rFonts w:ascii="宋体" w:cs="Times New Roman"/>
          <w:b/>
          <w:bCs/>
          <w:color w:val="auto"/>
          <w:sz w:val="24"/>
          <w:szCs w:val="24"/>
          <w:highlight w:val="none"/>
        </w:rPr>
      </w:pPr>
      <w:r>
        <w:rPr>
          <w:rFonts w:ascii="宋体" w:hAnsi="宋体" w:cs="宋体"/>
          <w:b/>
          <w:bCs/>
          <w:color w:val="auto"/>
          <w:sz w:val="24"/>
          <w:szCs w:val="24"/>
          <w:highlight w:val="none"/>
        </w:rPr>
        <w:t>10.</w:t>
      </w:r>
      <w:r>
        <w:rPr>
          <w:rFonts w:hint="eastAsia" w:ascii="宋体" w:hAnsi="宋体" w:cs="宋体"/>
          <w:b/>
          <w:bCs/>
          <w:color w:val="auto"/>
          <w:sz w:val="24"/>
          <w:szCs w:val="24"/>
          <w:highlight w:val="none"/>
        </w:rPr>
        <w:t>磋商有效期</w:t>
      </w:r>
    </w:p>
    <w:p w14:paraId="2EE57205">
      <w:pPr>
        <w:tabs>
          <w:tab w:val="left" w:pos="1440"/>
          <w:tab w:val="left" w:pos="16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自磋商开始之日起</w:t>
      </w:r>
      <w:r>
        <w:rPr>
          <w:rFonts w:ascii="宋体" w:hAnsi="宋体" w:cs="宋体"/>
          <w:color w:val="auto"/>
          <w:sz w:val="24"/>
          <w:szCs w:val="24"/>
          <w:highlight w:val="none"/>
        </w:rPr>
        <w:t>60</w:t>
      </w:r>
      <w:r>
        <w:rPr>
          <w:rFonts w:hint="eastAsia" w:ascii="宋体" w:hAnsi="宋体" w:cs="宋体"/>
          <w:color w:val="auto"/>
          <w:sz w:val="24"/>
          <w:szCs w:val="24"/>
          <w:highlight w:val="none"/>
        </w:rPr>
        <w:t>天内。有效期短于这个规定期限的响应文件，将被拒绝。</w:t>
      </w:r>
    </w:p>
    <w:p w14:paraId="036CF308">
      <w:pPr>
        <w:tabs>
          <w:tab w:val="left" w:pos="1440"/>
          <w:tab w:val="left" w:pos="16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10.2</w:t>
      </w:r>
      <w:r>
        <w:rPr>
          <w:rFonts w:hint="eastAsia" w:ascii="宋体" w:hAnsi="宋体" w:cs="宋体"/>
          <w:color w:val="auto"/>
          <w:sz w:val="24"/>
          <w:szCs w:val="24"/>
          <w:highlight w:val="none"/>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14:paraId="6AB4DA21">
      <w:pPr>
        <w:pStyle w:val="4"/>
        <w:spacing w:line="440" w:lineRule="exact"/>
        <w:jc w:val="center"/>
        <w:rPr>
          <w:rFonts w:ascii="宋体" w:hAnsi="宋体" w:eastAsia="宋体" w:cs="Times New Roman"/>
          <w:color w:val="auto"/>
          <w:kern w:val="44"/>
          <w:sz w:val="28"/>
          <w:szCs w:val="28"/>
          <w:highlight w:val="none"/>
        </w:rPr>
      </w:pPr>
      <w:bookmarkStart w:id="36" w:name="_Toc68613984"/>
      <w:r>
        <w:rPr>
          <w:rFonts w:hint="eastAsia" w:ascii="宋体" w:hAnsi="宋体" w:eastAsia="宋体" w:cs="宋体"/>
          <w:color w:val="auto"/>
          <w:kern w:val="44"/>
          <w:sz w:val="28"/>
          <w:szCs w:val="28"/>
          <w:highlight w:val="none"/>
        </w:rPr>
        <w:t>三、响应文件的编制和提交</w:t>
      </w:r>
      <w:bookmarkEnd w:id="36"/>
    </w:p>
    <w:p w14:paraId="7625CC08">
      <w:pPr>
        <w:tabs>
          <w:tab w:val="left" w:pos="1440"/>
          <w:tab w:val="left" w:pos="1620"/>
        </w:tabs>
        <w:spacing w:line="460" w:lineRule="exact"/>
        <w:rPr>
          <w:rFonts w:ascii="宋体" w:cs="Times New Roman"/>
          <w:b/>
          <w:bCs/>
          <w:color w:val="auto"/>
          <w:sz w:val="24"/>
          <w:szCs w:val="24"/>
          <w:highlight w:val="none"/>
        </w:rPr>
      </w:pPr>
      <w:r>
        <w:rPr>
          <w:rFonts w:ascii="宋体" w:hAnsi="宋体" w:cs="宋体"/>
          <w:b/>
          <w:bCs/>
          <w:color w:val="auto"/>
          <w:sz w:val="24"/>
          <w:szCs w:val="24"/>
          <w:highlight w:val="none"/>
        </w:rPr>
        <w:t>11.</w:t>
      </w:r>
      <w:r>
        <w:rPr>
          <w:rFonts w:hint="eastAsia" w:ascii="宋体" w:hAnsi="宋体" w:cs="宋体"/>
          <w:b/>
          <w:bCs/>
          <w:color w:val="auto"/>
          <w:sz w:val="24"/>
          <w:szCs w:val="24"/>
          <w:highlight w:val="none"/>
        </w:rPr>
        <w:t>响应文件的编制</w:t>
      </w:r>
    </w:p>
    <w:p w14:paraId="752A2C0E">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本项目通过“政府采购云平台（</w:t>
      </w:r>
      <w:r>
        <w:rPr>
          <w:rFonts w:ascii="宋体" w:hAnsi="宋体" w:cs="宋体"/>
          <w:color w:val="auto"/>
          <w:sz w:val="24"/>
          <w:szCs w:val="24"/>
          <w:highlight w:val="none"/>
        </w:rPr>
        <w:t>www.zcygov.cn</w:t>
      </w:r>
      <w:r>
        <w:rPr>
          <w:rFonts w:hint="eastAsia" w:ascii="宋体" w:hAnsi="宋体" w:cs="宋体"/>
          <w:color w:val="auto"/>
          <w:sz w:val="24"/>
          <w:szCs w:val="24"/>
          <w:highlight w:val="none"/>
        </w:rPr>
        <w:t>）”实行在线磋商响应（电子磋商）。供应商应通过“政采云电子交易客户端”，并按照本磋商文件和“政府采购云平台”的要求编制并加密响应文件。</w:t>
      </w:r>
    </w:p>
    <w:p w14:paraId="629C4AF7">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表签署（签字或盖章），否则视为未提供。</w:t>
      </w:r>
    </w:p>
    <w:p w14:paraId="08F42BBF">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响应文件内容不完整、编排混乱导致响应文件被误读、漏读或者查找不到相关内容的，是供应商的责任。</w:t>
      </w:r>
    </w:p>
    <w:p w14:paraId="1B08167C">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11.4</w:t>
      </w:r>
      <w:r>
        <w:rPr>
          <w:rFonts w:hint="eastAsia" w:ascii="宋体" w:hAnsi="宋体" w:cs="宋体"/>
          <w:color w:val="auto"/>
          <w:sz w:val="24"/>
          <w:szCs w:val="24"/>
          <w:highlight w:val="none"/>
        </w:rPr>
        <w:t>响应文件因字迹潦草或表达不清所引起的后果由供应商负责。</w:t>
      </w:r>
    </w:p>
    <w:p w14:paraId="6C933A71">
      <w:pPr>
        <w:tabs>
          <w:tab w:val="left" w:pos="1440"/>
          <w:tab w:val="left" w:pos="1620"/>
        </w:tabs>
        <w:spacing w:line="460" w:lineRule="exact"/>
        <w:ind w:firstLine="470" w:firstLineChars="196"/>
        <w:rPr>
          <w:rFonts w:cs="Times New Roman"/>
          <w:color w:val="auto"/>
          <w:sz w:val="24"/>
          <w:szCs w:val="24"/>
          <w:highlight w:val="none"/>
        </w:rPr>
      </w:pPr>
      <w:r>
        <w:rPr>
          <w:rFonts w:ascii="宋体" w:hAnsi="宋体" w:cs="宋体"/>
          <w:color w:val="auto"/>
          <w:sz w:val="24"/>
          <w:szCs w:val="24"/>
          <w:highlight w:val="none"/>
        </w:rPr>
        <w:t>11.5</w:t>
      </w:r>
      <w:r>
        <w:rPr>
          <w:rFonts w:hint="eastAsia" w:ascii="宋体" w:hAnsi="宋体" w:cs="宋体"/>
          <w:color w:val="auto"/>
          <w:sz w:val="24"/>
          <w:szCs w:val="24"/>
          <w:highlight w:val="none"/>
        </w:rPr>
        <w:t>供应商没有按照“响应文件组成”要求提供全部资料，或者没有仔细阅读磋商文件，或者没有对磋商文件在各方面的要求作出实质性响应是供应商的风险，由此造成的一切后果由供应商自行承担。</w:t>
      </w:r>
    </w:p>
    <w:p w14:paraId="2E180504">
      <w:pPr>
        <w:spacing w:line="460" w:lineRule="exact"/>
        <w:rPr>
          <w:rFonts w:ascii="宋体" w:cs="Times New Roman"/>
          <w:b/>
          <w:bCs/>
          <w:color w:val="auto"/>
          <w:sz w:val="24"/>
          <w:szCs w:val="24"/>
          <w:highlight w:val="none"/>
        </w:rPr>
      </w:pPr>
      <w:r>
        <w:rPr>
          <w:rFonts w:ascii="宋体" w:hAnsi="宋体" w:cs="宋体"/>
          <w:b/>
          <w:bCs/>
          <w:color w:val="auto"/>
          <w:sz w:val="24"/>
          <w:szCs w:val="24"/>
          <w:highlight w:val="none"/>
        </w:rPr>
        <w:t>12.</w:t>
      </w:r>
      <w:r>
        <w:rPr>
          <w:rFonts w:hint="eastAsia" w:ascii="宋体" w:hAnsi="宋体" w:cs="宋体"/>
          <w:b/>
          <w:bCs/>
          <w:color w:val="auto"/>
          <w:sz w:val="24"/>
          <w:szCs w:val="24"/>
          <w:highlight w:val="none"/>
        </w:rPr>
        <w:t>响应文件的形式</w:t>
      </w:r>
    </w:p>
    <w:p w14:paraId="75EB0B5D">
      <w:pPr>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12.1</w:t>
      </w:r>
      <w:r>
        <w:rPr>
          <w:rFonts w:hint="eastAsia" w:ascii="宋体" w:hAnsi="宋体" w:cs="宋体"/>
          <w:color w:val="auto"/>
          <w:sz w:val="24"/>
          <w:szCs w:val="24"/>
          <w:highlight w:val="none"/>
        </w:rPr>
        <w:t>“电子加密响应文件”：“电子加密响应文件”是指通过“政采云电子交易客户端”完成响应文件编制后生成并加密的数据电文形式的响应文件。</w:t>
      </w:r>
    </w:p>
    <w:p w14:paraId="06C38DE7">
      <w:pPr>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12.2</w:t>
      </w:r>
      <w:r>
        <w:rPr>
          <w:rFonts w:hint="eastAsia" w:ascii="宋体" w:hAnsi="宋体" w:cs="宋体"/>
          <w:color w:val="auto"/>
          <w:sz w:val="24"/>
          <w:szCs w:val="24"/>
          <w:highlight w:val="none"/>
        </w:rPr>
        <w:t>“备份响应文件”：“备份响应文件”是指与“电子加密响应文件”同时生成的数据电文形式的电子文件（备份标书），其他方式编制的“备份响应文件”视为无效的“备份响应文件”。</w:t>
      </w:r>
    </w:p>
    <w:p w14:paraId="486E0FBE">
      <w:pPr>
        <w:tabs>
          <w:tab w:val="left" w:pos="720"/>
        </w:tabs>
        <w:spacing w:line="460" w:lineRule="exact"/>
        <w:rPr>
          <w:rFonts w:ascii="宋体" w:cs="Times New Roman"/>
          <w:color w:val="auto"/>
          <w:sz w:val="24"/>
          <w:szCs w:val="24"/>
          <w:highlight w:val="none"/>
        </w:rPr>
      </w:pPr>
      <w:r>
        <w:rPr>
          <w:rFonts w:ascii="宋体" w:hAnsi="宋体" w:cs="宋体"/>
          <w:b/>
          <w:bCs/>
          <w:color w:val="auto"/>
          <w:sz w:val="24"/>
          <w:szCs w:val="24"/>
          <w:highlight w:val="none"/>
        </w:rPr>
        <w:t>13.</w:t>
      </w:r>
      <w:r>
        <w:rPr>
          <w:rFonts w:hint="eastAsia" w:ascii="宋体" w:hAnsi="宋体" w:cs="宋体"/>
          <w:b/>
          <w:bCs/>
          <w:color w:val="auto"/>
          <w:sz w:val="24"/>
          <w:szCs w:val="24"/>
          <w:highlight w:val="none"/>
        </w:rPr>
        <w:t>响应文件的提交及磋商截止时间：</w:t>
      </w:r>
    </w:p>
    <w:p w14:paraId="59DCA330">
      <w:pPr>
        <w:tabs>
          <w:tab w:val="left" w:pos="7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13.1</w:t>
      </w:r>
      <w:r>
        <w:rPr>
          <w:rFonts w:hint="eastAsia" w:ascii="宋体" w:hAnsi="宋体" w:cs="宋体"/>
          <w:color w:val="auto"/>
          <w:sz w:val="24"/>
          <w:szCs w:val="24"/>
          <w:highlight w:val="none"/>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F219C6E">
      <w:pPr>
        <w:tabs>
          <w:tab w:val="left" w:pos="720"/>
        </w:tabs>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rPr>
        <w:t>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w:t>
      </w:r>
      <w:r>
        <w:rPr>
          <w:rFonts w:hint="eastAsia" w:ascii="宋体" w:hAnsi="宋体" w:cs="宋体"/>
          <w:color w:val="auto"/>
          <w:kern w:val="0"/>
          <w:sz w:val="24"/>
          <w:szCs w:val="24"/>
          <w:highlight w:val="none"/>
        </w:rPr>
        <w:t>一份。</w:t>
      </w:r>
      <w:r>
        <w:rPr>
          <w:rFonts w:hint="eastAsia" w:ascii="宋体" w:hAnsi="宋体" w:cs="宋体"/>
          <w:color w:val="auto"/>
          <w:sz w:val="24"/>
          <w:szCs w:val="24"/>
          <w:highlight w:val="none"/>
        </w:rPr>
        <w:t>以介质存储的数据电文形式的备份响应文件（</w:t>
      </w:r>
      <w:r>
        <w:rPr>
          <w:rFonts w:ascii="宋体" w:hAnsi="宋体" w:cs="宋体"/>
          <w:color w:val="auto"/>
          <w:sz w:val="24"/>
          <w:szCs w:val="24"/>
          <w:highlight w:val="none"/>
        </w:rPr>
        <w:t>BFBS</w:t>
      </w:r>
      <w:r>
        <w:rPr>
          <w:rFonts w:hint="eastAsia" w:ascii="宋体" w:hAnsi="宋体" w:cs="宋体"/>
          <w:color w:val="auto"/>
          <w:sz w:val="24"/>
          <w:szCs w:val="24"/>
          <w:highlight w:val="none"/>
        </w:rPr>
        <w:t>格式</w:t>
      </w:r>
      <w:r>
        <w:rPr>
          <w:rFonts w:ascii="宋体" w:hAnsi="宋体" w:cs="宋体"/>
          <w:color w:val="auto"/>
          <w:sz w:val="24"/>
          <w:szCs w:val="24"/>
          <w:highlight w:val="none"/>
        </w:rPr>
        <w:t>)</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电子交易操作指南中上传的电子响应文件格式，以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盘形式存储提供</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U</w:t>
      </w:r>
      <w:r>
        <w:rPr>
          <w:rFonts w:hint="eastAsia" w:ascii="宋体" w:hAnsi="宋体" w:cs="宋体"/>
          <w:color w:val="auto"/>
          <w:sz w:val="24"/>
          <w:szCs w:val="24"/>
          <w:highlight w:val="none"/>
        </w:rPr>
        <w:t>盘盘面上粘贴标签，标注单位名称，装入一个外包封袋中进行邮寄。邮寄时，总的外包封袋上可不注明单位名称，但应注明单位的联系人、联系电话及项目名称。邮寄地址为：浙江华耀建设咨询有限公司（湖州市静江公寓</w:t>
      </w:r>
      <w:r>
        <w:rPr>
          <w:rFonts w:ascii="宋体" w:hAnsi="宋体" w:cs="宋体"/>
          <w:color w:val="auto"/>
          <w:sz w:val="24"/>
          <w:szCs w:val="24"/>
          <w:highlight w:val="none"/>
        </w:rPr>
        <w:t>1</w:t>
      </w:r>
      <w:r>
        <w:rPr>
          <w:rFonts w:hint="eastAsia" w:ascii="宋体" w:hAnsi="宋体" w:cs="宋体"/>
          <w:color w:val="auto"/>
          <w:sz w:val="24"/>
          <w:szCs w:val="24"/>
          <w:highlight w:val="none"/>
        </w:rPr>
        <w:t>单元</w:t>
      </w:r>
      <w:r>
        <w:rPr>
          <w:rFonts w:ascii="宋体" w:hAnsi="宋体" w:cs="宋体"/>
          <w:color w:val="auto"/>
          <w:sz w:val="24"/>
          <w:szCs w:val="24"/>
          <w:highlight w:val="none"/>
        </w:rPr>
        <w:t>1101</w:t>
      </w:r>
      <w:r>
        <w:rPr>
          <w:rFonts w:hint="eastAsia" w:ascii="宋体" w:hAnsi="宋体" w:cs="宋体"/>
          <w:color w:val="auto"/>
          <w:sz w:val="24"/>
          <w:szCs w:val="24"/>
          <w:highlight w:val="none"/>
        </w:rPr>
        <w:t>室），联系人：张治中，联系电话：</w:t>
      </w:r>
      <w:r>
        <w:rPr>
          <w:rFonts w:ascii="宋体" w:hAnsi="宋体" w:cs="宋体"/>
          <w:color w:val="auto"/>
          <w:sz w:val="24"/>
          <w:szCs w:val="24"/>
          <w:highlight w:val="none"/>
        </w:rPr>
        <w:t>0572-2198738</w:t>
      </w:r>
      <w:r>
        <w:rPr>
          <w:rFonts w:hint="eastAsia" w:ascii="宋体" w:hAnsi="宋体" w:cs="宋体"/>
          <w:color w:val="auto"/>
          <w:sz w:val="24"/>
          <w:szCs w:val="24"/>
          <w:highlight w:val="none"/>
        </w:rPr>
        <w:t>，供应商应于2025年 月 日11</w:t>
      </w:r>
      <w:r>
        <w:rPr>
          <w:rFonts w:ascii="宋体" w:hAnsi="宋体" w:cs="宋体"/>
          <w:color w:val="auto"/>
          <w:sz w:val="24"/>
          <w:szCs w:val="24"/>
          <w:highlight w:val="none"/>
        </w:rPr>
        <w:t>:00</w:t>
      </w:r>
      <w:r>
        <w:rPr>
          <w:rFonts w:hint="eastAsia" w:ascii="宋体" w:hAnsi="宋体" w:cs="宋体"/>
          <w:color w:val="auto"/>
          <w:sz w:val="24"/>
          <w:szCs w:val="24"/>
          <w:highlight w:val="none"/>
        </w:rPr>
        <w:t>时前准时送达，拒绝到付。逾期送达的将拒绝接收。</w:t>
      </w:r>
    </w:p>
    <w:p w14:paraId="5D25F111">
      <w:pPr>
        <w:tabs>
          <w:tab w:val="left" w:pos="7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13.3</w:t>
      </w:r>
      <w:r>
        <w:rPr>
          <w:rFonts w:hint="eastAsia" w:cs="宋体"/>
          <w:color w:val="auto"/>
          <w:sz w:val="24"/>
          <w:szCs w:val="24"/>
          <w:highlight w:val="none"/>
        </w:rPr>
        <w:t>整</w:t>
      </w:r>
      <w:r>
        <w:rPr>
          <w:rFonts w:hint="eastAsia" w:ascii="宋体" w:hAnsi="宋体" w:cs="宋体"/>
          <w:color w:val="auto"/>
          <w:sz w:val="24"/>
          <w:szCs w:val="24"/>
          <w:highlight w:val="none"/>
        </w:rPr>
        <w:t>个磋商过程中若因供应商问题造成电子响应文件无法正常解密的，均认定为未提交电子响应文件，作无效标处理。因网络或其他非供应商问题造成电子响应文件未成功解密，且供应商提供了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盘）的，以数据电子备份响应文件（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盘）作为评审依据，否则视为电子响应文件撤回，作无效标处理。若正常解密成功，则数据电子备份响应文件（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盘）不予开启。</w:t>
      </w:r>
    </w:p>
    <w:p w14:paraId="4AEA3D0B">
      <w:pPr>
        <w:tabs>
          <w:tab w:val="left" w:pos="7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13.4</w:t>
      </w:r>
      <w:r>
        <w:rPr>
          <w:rFonts w:hint="eastAsia" w:ascii="宋体" w:hAnsi="宋体" w:cs="宋体"/>
          <w:color w:val="auto"/>
          <w:sz w:val="24"/>
          <w:szCs w:val="24"/>
          <w:highlight w:val="none"/>
        </w:rPr>
        <w:t>采购代理机构可通过修改磋商文件酌情延长递交响应文件的截止时间，在此情况下，供应商的所有权利和义务以及供应商的磋商截止时间均应以延长后新的截止时间为准；</w:t>
      </w:r>
    </w:p>
    <w:p w14:paraId="42CBA93F">
      <w:pPr>
        <w:tabs>
          <w:tab w:val="left" w:pos="7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13.5</w:t>
      </w:r>
      <w:r>
        <w:rPr>
          <w:rFonts w:hint="eastAsia" w:ascii="宋体" w:hAnsi="宋体" w:cs="宋体"/>
          <w:color w:val="auto"/>
          <w:sz w:val="24"/>
          <w:szCs w:val="24"/>
          <w:highlight w:val="none"/>
        </w:rPr>
        <w:t>供应商的修改书和撤回通知应在规定的磋商截止日期前按规定的时间及方式（邮箱或传真等）送达；</w:t>
      </w:r>
    </w:p>
    <w:p w14:paraId="1ABF16BE">
      <w:pPr>
        <w:tabs>
          <w:tab w:val="left" w:pos="7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13.6</w:t>
      </w:r>
      <w:r>
        <w:rPr>
          <w:rFonts w:hint="eastAsia" w:ascii="宋体" w:hAnsi="宋体" w:cs="宋体"/>
          <w:color w:val="auto"/>
          <w:sz w:val="24"/>
          <w:szCs w:val="24"/>
          <w:highlight w:val="none"/>
        </w:rPr>
        <w:t>采购代理机构收到供应商的响应文件或修改撤回通知书后，应当出具签收单（或收回签收单），通过邮箱或传真等方式送达；</w:t>
      </w:r>
    </w:p>
    <w:p w14:paraId="47C6269D">
      <w:pPr>
        <w:tabs>
          <w:tab w:val="left" w:pos="720"/>
        </w:tabs>
        <w:spacing w:line="460" w:lineRule="exact"/>
        <w:rPr>
          <w:rFonts w:ascii="宋体" w:cs="Times New Roman"/>
          <w:color w:val="auto"/>
          <w:sz w:val="24"/>
          <w:szCs w:val="24"/>
          <w:highlight w:val="none"/>
        </w:rPr>
      </w:pPr>
      <w:r>
        <w:rPr>
          <w:rFonts w:ascii="宋体" w:hAnsi="宋体" w:cs="宋体"/>
          <w:b/>
          <w:bCs/>
          <w:color w:val="auto"/>
          <w:sz w:val="24"/>
          <w:szCs w:val="24"/>
          <w:highlight w:val="none"/>
        </w:rPr>
        <w:t>14.</w:t>
      </w:r>
      <w:r>
        <w:rPr>
          <w:rFonts w:hint="eastAsia" w:ascii="宋体" w:hAnsi="宋体" w:cs="宋体"/>
          <w:color w:val="auto"/>
          <w:sz w:val="24"/>
          <w:szCs w:val="24"/>
          <w:highlight w:val="none"/>
        </w:rPr>
        <w:t>迟交的响应文件</w:t>
      </w:r>
    </w:p>
    <w:p w14:paraId="77A57453">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磋商采购单位将不接受在规定的磋商截止时间后收到的任何响应文件。</w:t>
      </w:r>
    </w:p>
    <w:p w14:paraId="7E6454E5">
      <w:pPr>
        <w:tabs>
          <w:tab w:val="left" w:pos="720"/>
        </w:tabs>
        <w:spacing w:line="460" w:lineRule="exact"/>
        <w:rPr>
          <w:rFonts w:ascii="宋体" w:cs="Times New Roman"/>
          <w:color w:val="auto"/>
          <w:sz w:val="24"/>
          <w:szCs w:val="24"/>
          <w:highlight w:val="none"/>
        </w:rPr>
      </w:pPr>
      <w:r>
        <w:rPr>
          <w:rFonts w:ascii="宋体" w:hAnsi="宋体" w:cs="宋体"/>
          <w:b/>
          <w:bCs/>
          <w:color w:val="auto"/>
          <w:sz w:val="24"/>
          <w:szCs w:val="24"/>
          <w:highlight w:val="none"/>
        </w:rPr>
        <w:t>15</w:t>
      </w:r>
      <w:r>
        <w:rPr>
          <w:rFonts w:ascii="宋体" w:cs="宋体"/>
          <w:color w:val="auto"/>
          <w:sz w:val="24"/>
          <w:szCs w:val="24"/>
          <w:highlight w:val="none"/>
        </w:rPr>
        <w:t>.</w:t>
      </w:r>
      <w:r>
        <w:rPr>
          <w:rFonts w:hint="eastAsia" w:ascii="宋体" w:hAnsi="宋体" w:cs="宋体"/>
          <w:color w:val="auto"/>
          <w:sz w:val="24"/>
          <w:szCs w:val="24"/>
          <w:highlight w:val="none"/>
        </w:rPr>
        <w:t>响应文件的修改和撤回</w:t>
      </w:r>
    </w:p>
    <w:p w14:paraId="11FAB3B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15.1</w:t>
      </w:r>
      <w:r>
        <w:rPr>
          <w:rFonts w:hint="eastAsia" w:ascii="宋体" w:hAnsi="宋体" w:cs="宋体"/>
          <w:color w:val="auto"/>
          <w:sz w:val="24"/>
          <w:szCs w:val="24"/>
          <w:highlight w:val="none"/>
        </w:rPr>
        <w:t>供应商在提交响应文件后，可以修改或撤回其响应文件，但这种修改和撤回通知，必须在规定的磋商截止时间前，以书面形式（包括邮箱或传真等方式）通知采购代理机构；</w:t>
      </w:r>
    </w:p>
    <w:p w14:paraId="4B9C25B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15.2</w:t>
      </w:r>
      <w:r>
        <w:rPr>
          <w:rFonts w:hint="eastAsia" w:ascii="宋体" w:hAnsi="宋体" w:cs="宋体"/>
          <w:color w:val="auto"/>
          <w:sz w:val="24"/>
          <w:szCs w:val="24"/>
          <w:highlight w:val="none"/>
        </w:rPr>
        <w:t>在磋商截止时间至规定的磋商有效期满之间的这段时间，供应商不得撤回其响应文件。</w:t>
      </w:r>
    </w:p>
    <w:p w14:paraId="2E20F9E4">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出现以下情形，导致电子交易平台无法正常进行，或者无法保证电子交易的公平、公正和安全时，中止电子交易活动：</w:t>
      </w:r>
    </w:p>
    <w:p w14:paraId="5ACAC23C">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16.1</w:t>
      </w:r>
      <w:r>
        <w:rPr>
          <w:rFonts w:hint="eastAsia" w:ascii="宋体" w:hAnsi="宋体" w:cs="宋体"/>
          <w:color w:val="auto"/>
          <w:sz w:val="24"/>
          <w:szCs w:val="24"/>
          <w:highlight w:val="none"/>
        </w:rPr>
        <w:t>电子交易平台发生故障而无法登录访问的；</w:t>
      </w:r>
    </w:p>
    <w:p w14:paraId="03BB9ECC">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16.2</w:t>
      </w:r>
      <w:r>
        <w:rPr>
          <w:rFonts w:hint="eastAsia" w:ascii="宋体" w:hAnsi="宋体" w:cs="宋体"/>
          <w:color w:val="auto"/>
          <w:sz w:val="24"/>
          <w:szCs w:val="24"/>
          <w:highlight w:val="none"/>
        </w:rPr>
        <w:t>电子交易平台应用或数据库出现错误，不能进行正常操作的；</w:t>
      </w:r>
    </w:p>
    <w:p w14:paraId="25161271">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16.3</w:t>
      </w:r>
      <w:r>
        <w:rPr>
          <w:rFonts w:hint="eastAsia" w:ascii="宋体" w:hAnsi="宋体" w:cs="宋体"/>
          <w:color w:val="auto"/>
          <w:sz w:val="24"/>
          <w:szCs w:val="24"/>
          <w:highlight w:val="none"/>
        </w:rPr>
        <w:t>电子交易平台发现严重安全漏洞，有潜在泄密危险的；</w:t>
      </w:r>
    </w:p>
    <w:p w14:paraId="6EE59821">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16.4</w:t>
      </w:r>
      <w:r>
        <w:rPr>
          <w:rFonts w:hint="eastAsia" w:ascii="宋体" w:hAnsi="宋体" w:cs="宋体"/>
          <w:color w:val="auto"/>
          <w:sz w:val="24"/>
          <w:szCs w:val="24"/>
          <w:highlight w:val="none"/>
        </w:rPr>
        <w:t>病毒发作导致不能进行正常操作的；</w:t>
      </w:r>
    </w:p>
    <w:p w14:paraId="6E7DB3B0">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16.5</w:t>
      </w:r>
      <w:r>
        <w:rPr>
          <w:rFonts w:hint="eastAsia" w:ascii="宋体" w:hAnsi="宋体" w:cs="宋体"/>
          <w:color w:val="auto"/>
          <w:sz w:val="24"/>
          <w:szCs w:val="24"/>
          <w:highlight w:val="none"/>
        </w:rPr>
        <w:t>其他无法保证电子交易的公平、公正和安全的情况。出现以上规定情形，不影响采购公平、公正性的，采购代理机构可以待上述情形消除后继续组织电子交易活动，也可以决定某些环节以其他形式（数据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盘））进行；影响或可能影响采购公平、公正性的，重新采购。</w:t>
      </w:r>
    </w:p>
    <w:p w14:paraId="460EF945">
      <w:pPr>
        <w:pStyle w:val="4"/>
        <w:spacing w:line="440" w:lineRule="exact"/>
        <w:jc w:val="center"/>
        <w:rPr>
          <w:rFonts w:ascii="宋体" w:hAnsi="宋体" w:eastAsia="宋体" w:cs="Times New Roman"/>
          <w:color w:val="auto"/>
          <w:kern w:val="44"/>
          <w:sz w:val="28"/>
          <w:szCs w:val="28"/>
          <w:highlight w:val="none"/>
        </w:rPr>
      </w:pPr>
      <w:bookmarkStart w:id="37" w:name="_Toc68613985"/>
      <w:r>
        <w:rPr>
          <w:rFonts w:hint="eastAsia" w:ascii="宋体" w:hAnsi="宋体" w:eastAsia="宋体" w:cs="宋体"/>
          <w:color w:val="auto"/>
          <w:kern w:val="44"/>
          <w:sz w:val="28"/>
          <w:szCs w:val="28"/>
          <w:highlight w:val="none"/>
        </w:rPr>
        <w:t>四、磋商规则、程序</w:t>
      </w:r>
      <w:bookmarkEnd w:id="37"/>
    </w:p>
    <w:p w14:paraId="60FA8C7B">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17.</w:t>
      </w:r>
      <w:r>
        <w:rPr>
          <w:rFonts w:hint="eastAsia" w:ascii="宋体" w:hAnsi="宋体" w:cs="宋体"/>
          <w:color w:val="auto"/>
          <w:sz w:val="24"/>
          <w:szCs w:val="24"/>
          <w:highlight w:val="none"/>
        </w:rPr>
        <w:t>磋商规则</w:t>
      </w:r>
    </w:p>
    <w:p w14:paraId="6DC1864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17.1</w:t>
      </w:r>
      <w:r>
        <w:rPr>
          <w:rFonts w:hint="eastAsia" w:ascii="宋体" w:hAnsi="宋体" w:cs="宋体"/>
          <w:color w:val="auto"/>
          <w:sz w:val="24"/>
          <w:szCs w:val="24"/>
          <w:highlight w:val="none"/>
        </w:rPr>
        <w:t>采购组织机构按照规定的时间通过政采云系统组织开标、开启响应文件，所有供应商均应当准时在线参加；</w:t>
      </w:r>
    </w:p>
    <w:p w14:paraId="1A84D6C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17.2</w:t>
      </w:r>
      <w:r>
        <w:rPr>
          <w:rFonts w:hint="eastAsia" w:ascii="宋体" w:hAnsi="宋体" w:cs="宋体"/>
          <w:color w:val="auto"/>
          <w:sz w:val="24"/>
          <w:szCs w:val="24"/>
          <w:highlight w:val="none"/>
        </w:rPr>
        <w:t>磋商截止时间后，供应商登录政采云平台，用“项目采购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4CB7E72A">
      <w:pPr>
        <w:spacing w:line="460" w:lineRule="exact"/>
        <w:ind w:firstLine="480" w:firstLineChars="200"/>
        <w:rPr>
          <w:rFonts w:ascii="宋体" w:cs="Times New Roman"/>
          <w:color w:val="auto"/>
          <w:sz w:val="24"/>
          <w:szCs w:val="24"/>
          <w:highlight w:val="none"/>
        </w:rPr>
      </w:pPr>
      <w:r>
        <w:rPr>
          <w:rFonts w:ascii="宋体" w:cs="宋体"/>
          <w:color w:val="auto"/>
          <w:sz w:val="24"/>
          <w:szCs w:val="24"/>
          <w:highlight w:val="none"/>
        </w:rPr>
        <w:t>17.3</w:t>
      </w:r>
      <w:r>
        <w:rPr>
          <w:rFonts w:hint="eastAsia" w:ascii="宋体" w:cs="宋体"/>
          <w:color w:val="auto"/>
          <w:sz w:val="24"/>
          <w:szCs w:val="24"/>
          <w:highlight w:val="none"/>
        </w:rPr>
        <w:t>开启响应文件，进入资格审查；</w:t>
      </w:r>
    </w:p>
    <w:p w14:paraId="4A803B74">
      <w:pPr>
        <w:spacing w:line="460" w:lineRule="exact"/>
        <w:ind w:firstLine="480" w:firstLineChars="200"/>
        <w:rPr>
          <w:rFonts w:ascii="宋体" w:cs="Times New Roman"/>
          <w:color w:val="auto"/>
          <w:sz w:val="24"/>
          <w:szCs w:val="24"/>
          <w:highlight w:val="none"/>
        </w:rPr>
      </w:pPr>
      <w:r>
        <w:rPr>
          <w:rFonts w:ascii="宋体" w:cs="宋体"/>
          <w:color w:val="auto"/>
          <w:sz w:val="24"/>
          <w:szCs w:val="24"/>
          <w:highlight w:val="none"/>
        </w:rPr>
        <w:t>17.4</w:t>
      </w:r>
      <w:r>
        <w:rPr>
          <w:rFonts w:hint="eastAsia" w:ascii="宋体" w:cs="宋体"/>
          <w:color w:val="auto"/>
          <w:sz w:val="24"/>
          <w:szCs w:val="24"/>
          <w:highlight w:val="none"/>
        </w:rPr>
        <w:t>开启资格审查通过的供应商的技术</w:t>
      </w:r>
      <w:r>
        <w:rPr>
          <w:rFonts w:ascii="宋体" w:cs="宋体"/>
          <w:color w:val="auto"/>
          <w:sz w:val="24"/>
          <w:szCs w:val="24"/>
          <w:highlight w:val="none"/>
        </w:rPr>
        <w:t>/</w:t>
      </w:r>
      <w:r>
        <w:rPr>
          <w:rFonts w:hint="eastAsia" w:ascii="宋体" w:cs="宋体"/>
          <w:color w:val="auto"/>
          <w:sz w:val="24"/>
          <w:szCs w:val="24"/>
          <w:highlight w:val="none"/>
        </w:rPr>
        <w:t>资信</w:t>
      </w:r>
      <w:r>
        <w:rPr>
          <w:rFonts w:ascii="宋体" w:cs="宋体"/>
          <w:color w:val="auto"/>
          <w:sz w:val="24"/>
          <w:szCs w:val="24"/>
          <w:highlight w:val="none"/>
        </w:rPr>
        <w:t>/</w:t>
      </w:r>
      <w:r>
        <w:rPr>
          <w:rFonts w:hint="eastAsia" w:ascii="宋体" w:cs="宋体"/>
          <w:color w:val="auto"/>
          <w:sz w:val="24"/>
          <w:szCs w:val="24"/>
          <w:highlight w:val="none"/>
        </w:rPr>
        <w:t>商务文件进入符合性审查；</w:t>
      </w:r>
    </w:p>
    <w:p w14:paraId="42B35BB6">
      <w:pPr>
        <w:spacing w:line="400" w:lineRule="exact"/>
        <w:ind w:firstLine="480" w:firstLineChars="200"/>
        <w:outlineLvl w:val="1"/>
        <w:rPr>
          <w:rFonts w:ascii="宋体" w:cs="Times New Roman"/>
          <w:color w:val="auto"/>
          <w:sz w:val="24"/>
          <w:szCs w:val="24"/>
          <w:highlight w:val="none"/>
        </w:rPr>
      </w:pPr>
      <w:bookmarkStart w:id="38" w:name="_Toc68613986"/>
      <w:r>
        <w:rPr>
          <w:rFonts w:ascii="宋体" w:hAnsi="宋体" w:cs="宋体"/>
          <w:color w:val="auto"/>
          <w:sz w:val="24"/>
          <w:szCs w:val="24"/>
          <w:highlight w:val="none"/>
        </w:rPr>
        <w:t>17.5</w:t>
      </w:r>
      <w:r>
        <w:rPr>
          <w:rFonts w:hint="eastAsia" w:ascii="宋体" w:hAnsi="宋体" w:cs="宋体"/>
          <w:color w:val="auto"/>
          <w:sz w:val="24"/>
          <w:szCs w:val="24"/>
          <w:highlight w:val="none"/>
        </w:rPr>
        <w:t>技术</w:t>
      </w:r>
      <w:r>
        <w:rPr>
          <w:rFonts w:ascii="宋体" w:hAnsi="宋体" w:cs="宋体"/>
          <w:color w:val="auto"/>
          <w:sz w:val="24"/>
          <w:szCs w:val="24"/>
          <w:highlight w:val="none"/>
        </w:rPr>
        <w:t>/</w:t>
      </w:r>
      <w:r>
        <w:rPr>
          <w:rFonts w:hint="eastAsia" w:ascii="宋体" w:hAnsi="宋体" w:cs="宋体"/>
          <w:color w:val="auto"/>
          <w:sz w:val="24"/>
          <w:szCs w:val="24"/>
          <w:highlight w:val="none"/>
        </w:rPr>
        <w:t>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商务文件符合性审查评审结束后，公布技术</w:t>
      </w:r>
      <w:r>
        <w:rPr>
          <w:rFonts w:ascii="宋体" w:hAnsi="宋体" w:cs="宋体"/>
          <w:color w:val="auto"/>
          <w:sz w:val="24"/>
          <w:szCs w:val="24"/>
          <w:highlight w:val="none"/>
        </w:rPr>
        <w:t>/</w:t>
      </w:r>
      <w:r>
        <w:rPr>
          <w:rFonts w:hint="eastAsia" w:ascii="宋体" w:hAnsi="宋体" w:cs="宋体"/>
          <w:color w:val="auto"/>
          <w:sz w:val="24"/>
          <w:szCs w:val="24"/>
          <w:highlight w:val="none"/>
        </w:rPr>
        <w:t>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商务文件符合性审查评审无效供应商名称及理由；公布经技术</w:t>
      </w:r>
      <w:r>
        <w:rPr>
          <w:rFonts w:ascii="宋体" w:hAnsi="宋体" w:cs="宋体"/>
          <w:color w:val="auto"/>
          <w:sz w:val="24"/>
          <w:szCs w:val="24"/>
          <w:highlight w:val="none"/>
        </w:rPr>
        <w:t>/</w:t>
      </w:r>
      <w:r>
        <w:rPr>
          <w:rFonts w:hint="eastAsia" w:ascii="宋体" w:hAnsi="宋体" w:cs="宋体"/>
          <w:color w:val="auto"/>
          <w:sz w:val="24"/>
          <w:szCs w:val="24"/>
          <w:highlight w:val="none"/>
        </w:rPr>
        <w:t>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商务文件评审后有效投标供应商的名单。</w:t>
      </w:r>
      <w:bookmarkEnd w:id="38"/>
    </w:p>
    <w:p w14:paraId="3E275DCA">
      <w:pPr>
        <w:spacing w:line="400" w:lineRule="exact"/>
        <w:ind w:firstLine="480" w:firstLineChars="200"/>
        <w:outlineLvl w:val="1"/>
        <w:rPr>
          <w:rFonts w:ascii="宋体" w:cs="Times New Roman"/>
          <w:color w:val="auto"/>
          <w:sz w:val="24"/>
          <w:szCs w:val="24"/>
          <w:highlight w:val="none"/>
        </w:rPr>
      </w:pPr>
      <w:bookmarkStart w:id="39" w:name="_Toc68613987"/>
      <w:r>
        <w:rPr>
          <w:rFonts w:ascii="宋体" w:hAnsi="宋体" w:cs="宋体"/>
          <w:color w:val="auto"/>
          <w:sz w:val="24"/>
          <w:szCs w:val="24"/>
          <w:highlight w:val="none"/>
        </w:rPr>
        <w:t>17.6</w:t>
      </w:r>
      <w:r>
        <w:rPr>
          <w:rFonts w:hint="eastAsia" w:ascii="宋体" w:hAnsi="宋体" w:cs="宋体"/>
          <w:color w:val="auto"/>
          <w:sz w:val="24"/>
          <w:szCs w:val="24"/>
          <w:highlight w:val="none"/>
        </w:rPr>
        <w:t>通知供应商进行最终报价，供应商提交最终报价（半小时以内</w:t>
      </w:r>
      <w:r>
        <w:rPr>
          <w:rFonts w:ascii="宋体" w:hAnsi="宋体" w:cs="宋体"/>
          <w:color w:val="auto"/>
          <w:sz w:val="24"/>
          <w:szCs w:val="24"/>
          <w:highlight w:val="none"/>
        </w:rPr>
        <w:t>)</w:t>
      </w:r>
      <w:bookmarkEnd w:id="39"/>
    </w:p>
    <w:p w14:paraId="2891E657">
      <w:pPr>
        <w:spacing w:line="400" w:lineRule="exact"/>
        <w:ind w:firstLine="480" w:firstLineChars="200"/>
        <w:outlineLvl w:val="1"/>
        <w:rPr>
          <w:rFonts w:ascii="宋体" w:cs="Times New Roman"/>
          <w:color w:val="auto"/>
          <w:sz w:val="24"/>
          <w:szCs w:val="24"/>
          <w:highlight w:val="none"/>
        </w:rPr>
      </w:pPr>
      <w:bookmarkStart w:id="40" w:name="_Toc68613988"/>
      <w:r>
        <w:rPr>
          <w:rFonts w:ascii="宋体" w:hAnsi="宋体" w:cs="宋体"/>
          <w:color w:val="auto"/>
          <w:sz w:val="24"/>
          <w:szCs w:val="24"/>
          <w:highlight w:val="none"/>
        </w:rPr>
        <w:t>17.7</w:t>
      </w:r>
      <w:r>
        <w:rPr>
          <w:rFonts w:hint="eastAsia" w:ascii="宋体" w:hAnsi="宋体" w:cs="宋体"/>
          <w:color w:val="auto"/>
          <w:sz w:val="24"/>
          <w:szCs w:val="24"/>
          <w:highlight w:val="none"/>
        </w:rPr>
        <w:t>评标委员会对报价情况进行评审；</w:t>
      </w:r>
      <w:bookmarkEnd w:id="40"/>
    </w:p>
    <w:p w14:paraId="4896372C">
      <w:pPr>
        <w:spacing w:line="400" w:lineRule="exact"/>
        <w:ind w:firstLine="480" w:firstLineChars="200"/>
        <w:outlineLvl w:val="1"/>
        <w:rPr>
          <w:rFonts w:ascii="宋体" w:cs="Times New Roman"/>
          <w:color w:val="auto"/>
          <w:sz w:val="24"/>
          <w:szCs w:val="24"/>
          <w:highlight w:val="none"/>
        </w:rPr>
      </w:pPr>
      <w:bookmarkStart w:id="41" w:name="_Toc68613989"/>
      <w:r>
        <w:rPr>
          <w:rFonts w:ascii="宋体" w:hAnsi="宋体" w:cs="宋体"/>
          <w:color w:val="auto"/>
          <w:sz w:val="24"/>
          <w:szCs w:val="24"/>
          <w:highlight w:val="none"/>
        </w:rPr>
        <w:t>17.8</w:t>
      </w:r>
      <w:r>
        <w:rPr>
          <w:rFonts w:hint="eastAsia" w:ascii="宋体" w:hAnsi="宋体" w:cs="宋体"/>
          <w:color w:val="auto"/>
          <w:sz w:val="24"/>
          <w:szCs w:val="24"/>
          <w:highlight w:val="none"/>
        </w:rPr>
        <w:t>评审结束后，公布中标（成交）候选供应商名单等。</w:t>
      </w:r>
      <w:bookmarkEnd w:id="41"/>
    </w:p>
    <w:p w14:paraId="618856E3">
      <w:pPr>
        <w:spacing w:line="400" w:lineRule="exact"/>
        <w:ind w:firstLine="480" w:firstLineChars="200"/>
        <w:outlineLvl w:val="1"/>
        <w:rPr>
          <w:rFonts w:ascii="宋体" w:cs="Times New Roman"/>
          <w:color w:val="auto"/>
          <w:sz w:val="24"/>
          <w:szCs w:val="24"/>
          <w:highlight w:val="none"/>
        </w:rPr>
      </w:pPr>
      <w:bookmarkStart w:id="42" w:name="_Toc68613990"/>
      <w:r>
        <w:rPr>
          <w:rFonts w:ascii="宋体" w:hAnsi="宋体" w:cs="宋体"/>
          <w:color w:val="auto"/>
          <w:sz w:val="24"/>
          <w:szCs w:val="24"/>
          <w:highlight w:val="none"/>
        </w:rPr>
        <w:t>17.9</w:t>
      </w:r>
      <w:r>
        <w:rPr>
          <w:rFonts w:hint="eastAsia" w:ascii="宋体" w:hAnsi="宋体" w:cs="宋体"/>
          <w:color w:val="auto"/>
          <w:sz w:val="24"/>
          <w:szCs w:val="24"/>
          <w:highlight w:val="none"/>
        </w:rPr>
        <w:t>磋商结束</w:t>
      </w:r>
      <w:bookmarkEnd w:id="42"/>
    </w:p>
    <w:p w14:paraId="091C6BAF">
      <w:pPr>
        <w:spacing w:line="400" w:lineRule="exact"/>
        <w:ind w:firstLine="480" w:firstLineChars="200"/>
        <w:outlineLvl w:val="1"/>
        <w:rPr>
          <w:rFonts w:ascii="宋体" w:cs="Times New Roman"/>
          <w:color w:val="auto"/>
          <w:sz w:val="24"/>
          <w:szCs w:val="24"/>
          <w:highlight w:val="none"/>
        </w:rPr>
      </w:pPr>
      <w:bookmarkStart w:id="43" w:name="_Toc68613991"/>
      <w:r>
        <w:rPr>
          <w:rFonts w:hint="eastAsia" w:ascii="宋体" w:hAnsi="宋体" w:cs="宋体"/>
          <w:color w:val="auto"/>
          <w:sz w:val="24"/>
          <w:szCs w:val="24"/>
          <w:highlight w:val="none"/>
        </w:rPr>
        <w:t>特别说明：政采云公司如对电子化开标及评审程序有调整的，按调整后的程序操作。</w:t>
      </w:r>
      <w:bookmarkEnd w:id="43"/>
    </w:p>
    <w:p w14:paraId="571BD37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17.10</w:t>
      </w:r>
      <w:r>
        <w:rPr>
          <w:rFonts w:hint="eastAsia" w:ascii="宋体" w:hAnsi="宋体" w:cs="宋体"/>
          <w:color w:val="auto"/>
          <w:sz w:val="24"/>
          <w:szCs w:val="24"/>
          <w:highlight w:val="none"/>
        </w:rPr>
        <w:t>对供应商的磋商文件出现下列情况之一的，按照无效标处理：</w:t>
      </w:r>
    </w:p>
    <w:p w14:paraId="609F3E75">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w:t>
      </w:r>
      <w:r>
        <w:rPr>
          <w:rFonts w:hint="eastAsia" w:ascii="宋体" w:hAnsi="宋体" w:cs="宋体"/>
          <w:b/>
          <w:bCs/>
          <w:color w:val="auto"/>
          <w:sz w:val="24"/>
          <w:szCs w:val="24"/>
          <w:highlight w:val="none"/>
        </w:rPr>
        <w:t>电子响应文件逾期未上传、传输的将拒绝接收；或仅提供备份响应文件的；</w:t>
      </w:r>
    </w:p>
    <w:p w14:paraId="3C372320">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17.10.2</w:t>
      </w:r>
      <w:r>
        <w:rPr>
          <w:rFonts w:hint="eastAsia" w:ascii="宋体" w:hAnsi="宋体" w:cs="宋体"/>
          <w:b/>
          <w:bCs/>
          <w:color w:val="auto"/>
          <w:sz w:val="24"/>
          <w:szCs w:val="24"/>
          <w:highlight w:val="none"/>
        </w:rPr>
        <w:t>未按照磋商文件规定的要求签署、盖章的；</w:t>
      </w:r>
    </w:p>
    <w:p w14:paraId="23F243B0">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17.10.3</w:t>
      </w:r>
      <w:r>
        <w:rPr>
          <w:rFonts w:hint="eastAsia" w:ascii="宋体" w:hAnsi="宋体" w:cs="宋体"/>
          <w:b/>
          <w:bCs/>
          <w:color w:val="auto"/>
          <w:sz w:val="24"/>
          <w:szCs w:val="24"/>
          <w:highlight w:val="none"/>
        </w:rPr>
        <w:t>不具备磋商文件中规定的资格条件要求的；</w:t>
      </w:r>
    </w:p>
    <w:p w14:paraId="4C746411">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17.10.4</w:t>
      </w:r>
      <w:r>
        <w:rPr>
          <w:rFonts w:hint="eastAsia" w:ascii="宋体" w:hAnsi="宋体" w:cs="宋体"/>
          <w:b/>
          <w:bCs/>
          <w:color w:val="auto"/>
          <w:sz w:val="24"/>
          <w:szCs w:val="24"/>
          <w:highlight w:val="none"/>
        </w:rPr>
        <w:t>供应商提交两份或两份以上内容不同的响应文件，或在一份响应文件中对同一采购项目有两个或两个以上报价的；或报价超过控制价的；</w:t>
      </w:r>
    </w:p>
    <w:p w14:paraId="0EA3E057">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17.10.5</w:t>
      </w:r>
      <w:r>
        <w:rPr>
          <w:rFonts w:hint="eastAsia" w:ascii="宋体" w:hAnsi="宋体" w:cs="宋体"/>
          <w:b/>
          <w:bCs/>
          <w:color w:val="auto"/>
          <w:sz w:val="24"/>
          <w:szCs w:val="24"/>
          <w:highlight w:val="none"/>
        </w:rPr>
        <w:t>响应文件</w:t>
      </w:r>
      <w:r>
        <w:rPr>
          <w:rFonts w:hint="eastAsia" w:ascii="宋体" w:hAnsi="宋体" w:cs="宋体"/>
          <w:b/>
          <w:bCs/>
          <w:snapToGrid w:val="0"/>
          <w:color w:val="auto"/>
          <w:sz w:val="24"/>
          <w:szCs w:val="24"/>
          <w:highlight w:val="none"/>
        </w:rPr>
        <w:t>载明的采购项目完成期限超过磋商文件规定的期限，采购人不能接受的；</w:t>
      </w:r>
    </w:p>
    <w:p w14:paraId="20AFE8E6">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6</w:t>
      </w:r>
      <w:r>
        <w:rPr>
          <w:rFonts w:hint="eastAsia" w:ascii="宋体" w:hAnsi="宋体" w:cs="宋体"/>
          <w:b/>
          <w:bCs/>
          <w:color w:val="auto"/>
          <w:sz w:val="24"/>
          <w:szCs w:val="24"/>
          <w:highlight w:val="none"/>
        </w:rPr>
        <w:t>响应文件</w:t>
      </w:r>
      <w:r>
        <w:rPr>
          <w:rFonts w:hint="eastAsia" w:ascii="宋体" w:hAnsi="宋体" w:cs="宋体"/>
          <w:b/>
          <w:bCs/>
          <w:snapToGrid w:val="0"/>
          <w:color w:val="auto"/>
          <w:sz w:val="24"/>
          <w:szCs w:val="24"/>
          <w:highlight w:val="none"/>
        </w:rPr>
        <w:t>载明的采购项目磋商有效期、质保期少于磋商文件规定期限的；</w:t>
      </w:r>
    </w:p>
    <w:p w14:paraId="3E0657E4">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17.10.7</w:t>
      </w:r>
      <w:r>
        <w:rPr>
          <w:rFonts w:hint="eastAsia" w:ascii="宋体" w:hAnsi="宋体" w:cs="宋体"/>
          <w:b/>
          <w:bCs/>
          <w:color w:val="auto"/>
          <w:sz w:val="24"/>
          <w:szCs w:val="24"/>
          <w:highlight w:val="none"/>
        </w:rPr>
        <w:t>响应文件未响应磋商文件规定的付款方式的；</w:t>
      </w:r>
    </w:p>
    <w:p w14:paraId="53C85695">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17.10.8</w:t>
      </w:r>
      <w:r>
        <w:rPr>
          <w:rFonts w:hint="eastAsia" w:ascii="宋体" w:hAnsi="宋体" w:cs="宋体"/>
          <w:b/>
          <w:bCs/>
          <w:color w:val="auto"/>
          <w:sz w:val="24"/>
          <w:szCs w:val="24"/>
          <w:highlight w:val="none"/>
        </w:rPr>
        <w:t>磋商</w:t>
      </w:r>
      <w:r>
        <w:rPr>
          <w:rFonts w:hint="eastAsia" w:ascii="宋体" w:hAnsi="宋体" w:cs="宋体"/>
          <w:b/>
          <w:bCs/>
          <w:snapToGrid w:val="0"/>
          <w:color w:val="auto"/>
          <w:sz w:val="24"/>
          <w:szCs w:val="24"/>
          <w:highlight w:val="none"/>
        </w:rPr>
        <w:t>项目</w:t>
      </w:r>
      <w:r>
        <w:rPr>
          <w:rFonts w:hint="eastAsia" w:ascii="宋体" w:hAnsi="宋体" w:cs="宋体"/>
          <w:b/>
          <w:bCs/>
          <w:color w:val="auto"/>
          <w:sz w:val="24"/>
          <w:szCs w:val="24"/>
          <w:highlight w:val="none"/>
        </w:rPr>
        <w:t>的</w:t>
      </w:r>
      <w:r>
        <w:rPr>
          <w:rFonts w:hint="eastAsia" w:ascii="宋体" w:hAnsi="宋体" w:cs="宋体"/>
          <w:b/>
          <w:bCs/>
          <w:snapToGrid w:val="0"/>
          <w:color w:val="auto"/>
          <w:sz w:val="24"/>
          <w:szCs w:val="24"/>
          <w:highlight w:val="none"/>
        </w:rPr>
        <w:t>技术规范、技术标准明显不符合国家强制性要求的；</w:t>
      </w:r>
    </w:p>
    <w:p w14:paraId="23047F9E">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17.10.9</w:t>
      </w:r>
      <w:r>
        <w:rPr>
          <w:rFonts w:hint="eastAsia" w:ascii="宋体" w:hAnsi="宋体" w:cs="宋体"/>
          <w:b/>
          <w:bCs/>
          <w:snapToGrid w:val="0"/>
          <w:color w:val="auto"/>
          <w:sz w:val="24"/>
          <w:szCs w:val="24"/>
          <w:highlight w:val="none"/>
        </w:rPr>
        <w:t>磋商项目载明的验收标准和方法等不符合国家规定及竞争性磋商文件要求的；</w:t>
      </w:r>
    </w:p>
    <w:p w14:paraId="668B1CDD">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17.10.10</w:t>
      </w:r>
      <w:r>
        <w:rPr>
          <w:rFonts w:hint="eastAsia" w:ascii="宋体" w:hAnsi="宋体" w:cs="宋体"/>
          <w:b/>
          <w:bCs/>
          <w:color w:val="auto"/>
          <w:sz w:val="24"/>
          <w:szCs w:val="24"/>
          <w:highlight w:val="none"/>
        </w:rPr>
        <w:t>响应文件字迹模糊辨认不清的（磋商小组一致认为难以确认）；</w:t>
      </w:r>
    </w:p>
    <w:p w14:paraId="36D06A67">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17.10.11</w:t>
      </w:r>
      <w:r>
        <w:rPr>
          <w:rFonts w:hint="eastAsia" w:ascii="宋体" w:hAnsi="宋体" w:cs="宋体"/>
          <w:b/>
          <w:bCs/>
          <w:color w:val="auto"/>
          <w:sz w:val="24"/>
          <w:szCs w:val="24"/>
          <w:highlight w:val="none"/>
        </w:rPr>
        <w:t>未在浙江政府采购网（政采云平台）完成本项目网上报名的；</w:t>
      </w:r>
    </w:p>
    <w:p w14:paraId="3E81B5B1">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17.10.12</w:t>
      </w:r>
      <w:r>
        <w:rPr>
          <w:rFonts w:hint="eastAsia" w:ascii="宋体" w:hAnsi="宋体" w:cs="宋体"/>
          <w:b/>
          <w:bCs/>
          <w:color w:val="auto"/>
          <w:kern w:val="0"/>
          <w:sz w:val="24"/>
          <w:szCs w:val="24"/>
          <w:highlight w:val="none"/>
        </w:rPr>
        <w:t>提供不真实资料的；</w:t>
      </w:r>
    </w:p>
    <w:p w14:paraId="3A9D7ABD">
      <w:pPr>
        <w:spacing w:line="460" w:lineRule="exact"/>
        <w:ind w:firstLine="482" w:firstLineChars="200"/>
        <w:rPr>
          <w:rFonts w:ascii="宋体" w:cs="Times New Roman"/>
          <w:b/>
          <w:bCs/>
          <w:color w:val="auto"/>
          <w:kern w:val="0"/>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13</w:t>
      </w:r>
      <w:r>
        <w:rPr>
          <w:rFonts w:hint="eastAsia" w:ascii="宋体" w:hAnsi="宋体" w:cs="宋体"/>
          <w:b/>
          <w:bCs/>
          <w:snapToGrid w:val="0"/>
          <w:color w:val="auto"/>
          <w:kern w:val="0"/>
          <w:sz w:val="24"/>
          <w:szCs w:val="24"/>
          <w:highlight w:val="none"/>
        </w:rPr>
        <w:t>不符合法律、法规和磋商文件规</w:t>
      </w:r>
      <w:r>
        <w:rPr>
          <w:rFonts w:hint="eastAsia" w:ascii="宋体" w:hAnsi="宋体" w:cs="宋体"/>
          <w:b/>
          <w:bCs/>
          <w:color w:val="auto"/>
          <w:kern w:val="0"/>
          <w:sz w:val="24"/>
          <w:szCs w:val="24"/>
          <w:highlight w:val="none"/>
        </w:rPr>
        <w:t>定的其他实质性（打“▲”的）要求</w:t>
      </w:r>
      <w:r>
        <w:rPr>
          <w:rFonts w:hint="eastAsia" w:ascii="宋体" w:hAnsi="宋体" w:cs="宋体"/>
          <w:b/>
          <w:bCs/>
          <w:color w:val="auto"/>
          <w:sz w:val="24"/>
          <w:szCs w:val="24"/>
          <w:highlight w:val="none"/>
        </w:rPr>
        <w:t>（磋商小组一致认定）</w:t>
      </w:r>
      <w:r>
        <w:rPr>
          <w:rFonts w:hint="eastAsia" w:ascii="宋体" w:hAnsi="宋体" w:cs="宋体"/>
          <w:b/>
          <w:bCs/>
          <w:snapToGrid w:val="0"/>
          <w:color w:val="auto"/>
          <w:sz w:val="24"/>
          <w:szCs w:val="24"/>
          <w:highlight w:val="none"/>
        </w:rPr>
        <w:t>的；</w:t>
      </w:r>
    </w:p>
    <w:p w14:paraId="0FF5479C">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14</w:t>
      </w:r>
      <w:r>
        <w:rPr>
          <w:rFonts w:hint="eastAsia" w:ascii="宋体" w:hAnsi="宋体" w:cs="宋体"/>
          <w:b/>
          <w:bCs/>
          <w:color w:val="auto"/>
          <w:sz w:val="24"/>
          <w:szCs w:val="24"/>
          <w:highlight w:val="none"/>
        </w:rPr>
        <w:t>磋商项目的</w:t>
      </w:r>
      <w:r>
        <w:rPr>
          <w:rFonts w:hint="eastAsia" w:ascii="宋体" w:hAnsi="宋体" w:cs="宋体"/>
          <w:b/>
          <w:bCs/>
          <w:snapToGrid w:val="0"/>
          <w:color w:val="auto"/>
          <w:sz w:val="24"/>
          <w:szCs w:val="24"/>
          <w:highlight w:val="none"/>
        </w:rPr>
        <w:t>服务指标、参数等存在实质性偏离</w:t>
      </w:r>
      <w:r>
        <w:rPr>
          <w:rFonts w:hint="eastAsia" w:ascii="宋体" w:hAnsi="宋体" w:cs="宋体"/>
          <w:b/>
          <w:bCs/>
          <w:color w:val="auto"/>
          <w:sz w:val="24"/>
          <w:szCs w:val="24"/>
          <w:highlight w:val="none"/>
        </w:rPr>
        <w:t>（磋商小组一致认定）</w:t>
      </w:r>
      <w:r>
        <w:rPr>
          <w:rFonts w:hint="eastAsia" w:ascii="宋体" w:hAnsi="宋体" w:cs="宋体"/>
          <w:b/>
          <w:bCs/>
          <w:snapToGrid w:val="0"/>
          <w:color w:val="auto"/>
          <w:sz w:val="24"/>
          <w:szCs w:val="24"/>
          <w:highlight w:val="none"/>
        </w:rPr>
        <w:t>的；</w:t>
      </w:r>
    </w:p>
    <w:p w14:paraId="18D055E4">
      <w:pPr>
        <w:spacing w:line="460" w:lineRule="exact"/>
        <w:ind w:firstLine="472" w:firstLineChars="196"/>
        <w:rPr>
          <w:rFonts w:ascii="宋体" w:hAnsi="宋体" w:cs="宋体"/>
          <w:b/>
          <w:bCs/>
          <w:snapToGrid w:val="0"/>
          <w:color w:val="auto"/>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15</w:t>
      </w:r>
      <w:r>
        <w:rPr>
          <w:rFonts w:hint="eastAsia" w:ascii="宋体" w:hAnsi="宋体" w:cs="宋体"/>
          <w:b/>
          <w:bCs/>
          <w:color w:val="auto"/>
          <w:sz w:val="24"/>
          <w:szCs w:val="24"/>
          <w:highlight w:val="none"/>
        </w:rPr>
        <w:t>供应商提供的《中小企业声明函》未采用本采购文件的模板或提供的《中小企业声明函》未填写完整的或未如实填写《中小企业声明函》的；</w:t>
      </w:r>
    </w:p>
    <w:p w14:paraId="6B85F452">
      <w:pPr>
        <w:spacing w:line="460" w:lineRule="exact"/>
        <w:ind w:firstLine="472" w:firstLineChars="196"/>
        <w:rPr>
          <w:rFonts w:ascii="宋体" w:hAnsi="宋体" w:cs="宋体"/>
          <w:b/>
          <w:bCs/>
          <w:color w:val="auto"/>
          <w:sz w:val="24"/>
          <w:szCs w:val="24"/>
          <w:highlight w:val="none"/>
        </w:rPr>
      </w:pPr>
      <w:r>
        <w:rPr>
          <w:rFonts w:ascii="宋体" w:hAnsi="宋体" w:cs="宋体"/>
          <w:b/>
          <w:bCs/>
          <w:color w:val="auto"/>
          <w:sz w:val="24"/>
          <w:szCs w:val="24"/>
          <w:highlight w:val="none"/>
        </w:rPr>
        <w:t>17.10.16 供应商在《中小企业声明函》中所填企业规模不是中型、小型或微型企业的</w:t>
      </w:r>
      <w:r>
        <w:rPr>
          <w:rFonts w:hint="eastAsia" w:ascii="宋体" w:hAnsi="宋体" w:cs="宋体"/>
          <w:b/>
          <w:bCs/>
          <w:color w:val="auto"/>
          <w:sz w:val="24"/>
          <w:szCs w:val="24"/>
          <w:highlight w:val="none"/>
        </w:rPr>
        <w:t>；</w:t>
      </w:r>
    </w:p>
    <w:p w14:paraId="495410E9">
      <w:pPr>
        <w:spacing w:line="460" w:lineRule="exact"/>
        <w:ind w:firstLine="472" w:firstLineChars="196"/>
        <w:rPr>
          <w:rFonts w:ascii="宋体" w:hAnsi="宋体" w:cs="宋体"/>
          <w:b/>
          <w:bCs/>
          <w:snapToGrid w:val="0"/>
          <w:color w:val="auto"/>
          <w:sz w:val="24"/>
          <w:szCs w:val="24"/>
          <w:highlight w:val="none"/>
        </w:rPr>
      </w:pPr>
      <w:r>
        <w:rPr>
          <w:rFonts w:ascii="宋体" w:hAnsi="宋体" w:cs="宋体"/>
          <w:b/>
          <w:bCs/>
          <w:color w:val="auto"/>
          <w:sz w:val="24"/>
          <w:szCs w:val="24"/>
          <w:highlight w:val="none"/>
        </w:rPr>
        <w:t>17.10.1</w:t>
      </w:r>
      <w:r>
        <w:rPr>
          <w:rFonts w:hint="eastAsia" w:ascii="宋体" w:hAnsi="宋体" w:cs="宋体"/>
          <w:b/>
          <w:bCs/>
          <w:color w:val="auto"/>
          <w:sz w:val="24"/>
          <w:szCs w:val="24"/>
          <w:highlight w:val="none"/>
        </w:rPr>
        <w:t>7</w:t>
      </w:r>
      <w:r>
        <w:rPr>
          <w:rFonts w:hint="eastAsia" w:ascii="宋体" w:hAnsi="宋体" w:cs="宋体"/>
          <w:b/>
          <w:bCs/>
          <w:snapToGrid w:val="0"/>
          <w:color w:val="auto"/>
          <w:sz w:val="24"/>
          <w:szCs w:val="24"/>
          <w:highlight w:val="none"/>
        </w:rPr>
        <w:t>法律、法规、规章及省级以上规范性文件等规定的其他情形。</w:t>
      </w:r>
    </w:p>
    <w:p w14:paraId="6B3EF711">
      <w:pPr>
        <w:spacing w:line="460" w:lineRule="exact"/>
        <w:ind w:firstLine="482" w:firstLineChars="200"/>
        <w:rPr>
          <w:rFonts w:ascii="宋体" w:hAnsi="宋体"/>
          <w:b/>
          <w:bCs/>
          <w:color w:val="auto"/>
          <w:sz w:val="24"/>
          <w:highlight w:val="none"/>
        </w:rPr>
      </w:pPr>
      <w:r>
        <w:rPr>
          <w:rFonts w:hint="eastAsia" w:ascii="宋体" w:hAnsi="宋体" w:cs="宋体"/>
          <w:b/>
          <w:bCs/>
          <w:snapToGrid w:val="0"/>
          <w:color w:val="auto"/>
          <w:sz w:val="24"/>
          <w:szCs w:val="24"/>
          <w:highlight w:val="none"/>
        </w:rPr>
        <w:t>17.10.18</w:t>
      </w:r>
      <w:r>
        <w:rPr>
          <w:rFonts w:hint="eastAsia" w:ascii="宋体" w:hAnsi="宋体"/>
          <w:b/>
          <w:bCs/>
          <w:color w:val="auto"/>
          <w:sz w:val="24"/>
          <w:highlight w:val="none"/>
        </w:rPr>
        <w:t>投标人存在下列情形之一且无法合理解释的，其投标（响应）文件无效：</w:t>
      </w:r>
    </w:p>
    <w:p w14:paraId="16609771">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（1）不同供应商的电子投标（响应）文件上传计算机的网卡MAC地址或硬盘序列号等硬件信息相同的；</w:t>
      </w:r>
    </w:p>
    <w:p w14:paraId="7D52EF50">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（2）上传的电子投标（响应）文件若出现使用本项目其他投标（响应）供应商的数字证书加密的，或者加盖本项目其他投标（响应）供应商的电子印章的；</w:t>
      </w:r>
    </w:p>
    <w:p w14:paraId="58AF95EB">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（3）不同供应商的投标（响应）文件的内容存在3处（含）以上错误一致的；</w:t>
      </w:r>
    </w:p>
    <w:p w14:paraId="49D6F3E1">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（4）不同供应商联系人为同一人或不同联系人的联系电话一致的。</w:t>
      </w:r>
    </w:p>
    <w:p w14:paraId="408E9B87">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18</w:t>
      </w:r>
      <w:r>
        <w:rPr>
          <w:rFonts w:ascii="宋体" w:cs="宋体"/>
          <w:color w:val="auto"/>
          <w:sz w:val="24"/>
          <w:szCs w:val="24"/>
          <w:highlight w:val="none"/>
        </w:rPr>
        <w:t>.</w:t>
      </w:r>
      <w:r>
        <w:rPr>
          <w:rFonts w:hint="eastAsia" w:ascii="宋体" w:hAnsi="宋体" w:cs="宋体"/>
          <w:color w:val="auto"/>
          <w:sz w:val="24"/>
          <w:szCs w:val="24"/>
          <w:highlight w:val="none"/>
        </w:rPr>
        <w:t>磋商小组与磋商原则</w:t>
      </w:r>
    </w:p>
    <w:p w14:paraId="6D10AB47">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磋商小组由磋商采购单位依法组建，负责磋商活动。磋商小组遵循公开、公平、公正、科学合理，竞争择优的原则。</w:t>
      </w:r>
    </w:p>
    <w:p w14:paraId="22739BF1">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19</w:t>
      </w:r>
      <w:r>
        <w:rPr>
          <w:rFonts w:ascii="宋体" w:cs="宋体"/>
          <w:color w:val="auto"/>
          <w:sz w:val="24"/>
          <w:szCs w:val="24"/>
          <w:highlight w:val="none"/>
        </w:rPr>
        <w:t>.</w:t>
      </w:r>
      <w:r>
        <w:rPr>
          <w:rFonts w:hint="eastAsia" w:ascii="宋体" w:hAnsi="宋体" w:cs="宋体"/>
          <w:color w:val="auto"/>
          <w:sz w:val="24"/>
          <w:szCs w:val="24"/>
          <w:highlight w:val="none"/>
        </w:rPr>
        <w:t>磋商过程的保密</w:t>
      </w:r>
    </w:p>
    <w:p w14:paraId="5A10029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磋商会开始后，直至授予成交供应商合同为止，凡属于对响应文件的审查、澄清、评判和比较的有关资料、成交候选供应商的推荐情况及与磋商有关的其他任何情况均依法严格保密。</w:t>
      </w:r>
    </w:p>
    <w:p w14:paraId="69F5D69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在响应文件的评判和比较、成交候选供应商推荐以及授予合同的过程中，供应商向磋商采购单位和磋商小组施加影响的任何行为，都将会导致其磋商被拒绝。</w:t>
      </w:r>
    </w:p>
    <w:p w14:paraId="0150446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19.3</w:t>
      </w:r>
      <w:r>
        <w:rPr>
          <w:rFonts w:hint="eastAsia" w:ascii="宋体" w:hAnsi="宋体" w:cs="宋体"/>
          <w:color w:val="auto"/>
          <w:sz w:val="24"/>
          <w:szCs w:val="24"/>
          <w:highlight w:val="none"/>
        </w:rPr>
        <w:t>磋商小组分别与各供应商进行商务资信、技术及价格磋商、在磋商过程中，磋商小组成员不得透露其他供应商的磋商信息，严守商业秘密。</w:t>
      </w:r>
    </w:p>
    <w:p w14:paraId="5B330DD4">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w:t>
      </w:r>
      <w:r>
        <w:rPr>
          <w:rFonts w:hint="eastAsia" w:ascii="宋体" w:hAnsi="宋体" w:cs="宋体"/>
          <w:color w:val="auto"/>
          <w:sz w:val="24"/>
          <w:szCs w:val="24"/>
          <w:highlight w:val="none"/>
        </w:rPr>
        <w:t>供应商有下列情形之一的，视为供应商串通磋商，其磋商无效：</w:t>
      </w:r>
    </w:p>
    <w:p w14:paraId="6D6360F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19.4.1</w:t>
      </w:r>
      <w:r>
        <w:rPr>
          <w:rFonts w:hint="eastAsia" w:ascii="宋体" w:hAnsi="宋体" w:cs="宋体"/>
          <w:color w:val="auto"/>
          <w:sz w:val="24"/>
          <w:szCs w:val="24"/>
          <w:highlight w:val="none"/>
        </w:rPr>
        <w:t>不同供应商的响应文件由同一单位或者个人编制；</w:t>
      </w:r>
    </w:p>
    <w:p w14:paraId="453E0A4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19.4.2</w:t>
      </w:r>
      <w:r>
        <w:rPr>
          <w:rFonts w:hint="eastAsia" w:ascii="宋体" w:hAnsi="宋体" w:cs="宋体"/>
          <w:color w:val="auto"/>
          <w:sz w:val="24"/>
          <w:szCs w:val="24"/>
          <w:highlight w:val="none"/>
        </w:rPr>
        <w:t>不同供应商委托同一单位或者个人办理磋商事宜；</w:t>
      </w:r>
    </w:p>
    <w:p w14:paraId="307A033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19.4.3</w:t>
      </w:r>
      <w:r>
        <w:rPr>
          <w:rFonts w:hint="eastAsia" w:ascii="宋体" w:hAnsi="宋体" w:cs="宋体"/>
          <w:color w:val="auto"/>
          <w:sz w:val="24"/>
          <w:szCs w:val="24"/>
          <w:highlight w:val="none"/>
        </w:rPr>
        <w:t>不同供应商的响应文件载明的项目管理成员或者联系人员为同一人；</w:t>
      </w:r>
    </w:p>
    <w:p w14:paraId="04D8BEE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19.4.4</w:t>
      </w:r>
      <w:r>
        <w:rPr>
          <w:rFonts w:hint="eastAsia" w:ascii="宋体" w:hAnsi="宋体" w:cs="宋体"/>
          <w:color w:val="auto"/>
          <w:sz w:val="24"/>
          <w:szCs w:val="24"/>
          <w:highlight w:val="none"/>
        </w:rPr>
        <w:t>不同供应商的响应文件异常一致或者磋商报价呈规律性差异；</w:t>
      </w:r>
    </w:p>
    <w:p w14:paraId="3E3922B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19.4.5</w:t>
      </w:r>
      <w:r>
        <w:rPr>
          <w:rFonts w:hint="eastAsia" w:ascii="宋体" w:hAnsi="宋体" w:cs="宋体"/>
          <w:color w:val="auto"/>
          <w:sz w:val="24"/>
          <w:szCs w:val="24"/>
          <w:highlight w:val="none"/>
        </w:rPr>
        <w:t>不同供应商的数据电子备份响应文件（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盘）相互混装。</w:t>
      </w:r>
    </w:p>
    <w:p w14:paraId="111E6E7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供应商有下列情形之一的，属于恶意串通，其磋商无效：</w:t>
      </w:r>
    </w:p>
    <w:p w14:paraId="56B11EB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19.5.1</w:t>
      </w:r>
      <w:r>
        <w:rPr>
          <w:rFonts w:hint="eastAsia" w:ascii="宋体" w:hAnsi="宋体" w:cs="宋体"/>
          <w:color w:val="auto"/>
          <w:sz w:val="24"/>
          <w:szCs w:val="24"/>
          <w:highlight w:val="none"/>
        </w:rPr>
        <w:t>供应商直接或者间接从采购人或者采购代理机构处获得其他供应商的相关情况并修改其响应文件；</w:t>
      </w:r>
    </w:p>
    <w:p w14:paraId="47C5552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19.5.2</w:t>
      </w:r>
      <w:r>
        <w:rPr>
          <w:rFonts w:hint="eastAsia" w:ascii="宋体" w:hAnsi="宋体" w:cs="宋体"/>
          <w:color w:val="auto"/>
          <w:sz w:val="24"/>
          <w:szCs w:val="24"/>
          <w:highlight w:val="none"/>
        </w:rPr>
        <w:t>供应商按照采购人或者采购代理机构的授意撤换、修改响应文件；</w:t>
      </w:r>
    </w:p>
    <w:p w14:paraId="00A267D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19.5.3</w:t>
      </w:r>
      <w:r>
        <w:rPr>
          <w:rFonts w:hint="eastAsia" w:ascii="宋体" w:hAnsi="宋体" w:cs="宋体"/>
          <w:color w:val="auto"/>
          <w:sz w:val="24"/>
          <w:szCs w:val="24"/>
          <w:highlight w:val="none"/>
        </w:rPr>
        <w:t>供应商之间协商报价、技术方案等响应文件的实质性内容；</w:t>
      </w:r>
    </w:p>
    <w:p w14:paraId="6558E10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19.5.4</w:t>
      </w:r>
      <w:r>
        <w:rPr>
          <w:rFonts w:hint="eastAsia" w:ascii="宋体" w:hAnsi="宋体" w:cs="宋体"/>
          <w:color w:val="auto"/>
          <w:sz w:val="24"/>
          <w:szCs w:val="24"/>
          <w:highlight w:val="none"/>
        </w:rPr>
        <w:t>属于同一集团、协会、商会等组织成员的供应商按照该组织要求协同参加政府采购活动；</w:t>
      </w:r>
    </w:p>
    <w:p w14:paraId="4AFA1A6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19.5.5</w:t>
      </w:r>
      <w:r>
        <w:rPr>
          <w:rFonts w:hint="eastAsia" w:ascii="宋体" w:hAnsi="宋体" w:cs="宋体"/>
          <w:color w:val="auto"/>
          <w:sz w:val="24"/>
          <w:szCs w:val="24"/>
          <w:highlight w:val="none"/>
        </w:rPr>
        <w:t>供应商之间事先约定由某一特定供应商中标、成交；</w:t>
      </w:r>
    </w:p>
    <w:p w14:paraId="52D0F10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19.5.6</w:t>
      </w:r>
      <w:r>
        <w:rPr>
          <w:rFonts w:hint="eastAsia" w:ascii="宋体" w:hAnsi="宋体" w:cs="宋体"/>
          <w:color w:val="auto"/>
          <w:sz w:val="24"/>
          <w:szCs w:val="24"/>
          <w:highlight w:val="none"/>
        </w:rPr>
        <w:t>供应商之间商定部分供应商放弃参加政府采购活动或者放弃中标、成交；</w:t>
      </w:r>
    </w:p>
    <w:p w14:paraId="6AAB459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19.5.7</w:t>
      </w:r>
      <w:r>
        <w:rPr>
          <w:rFonts w:hint="eastAsia" w:ascii="宋体" w:hAnsi="宋体" w:cs="宋体"/>
          <w:color w:val="auto"/>
          <w:sz w:val="24"/>
          <w:szCs w:val="24"/>
          <w:highlight w:val="none"/>
        </w:rPr>
        <w:t>供应商与采购人或者采购代理机构之间、供应商相互之间，为谋求特定供应商中标、成交或者排斥其他供应商的其他串通行为。</w:t>
      </w:r>
    </w:p>
    <w:p w14:paraId="1B9E4AC8">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20</w:t>
      </w:r>
      <w:r>
        <w:rPr>
          <w:rFonts w:ascii="宋体" w:cs="宋体"/>
          <w:color w:val="auto"/>
          <w:sz w:val="24"/>
          <w:szCs w:val="24"/>
          <w:highlight w:val="none"/>
        </w:rPr>
        <w:t>.</w:t>
      </w:r>
      <w:r>
        <w:rPr>
          <w:rFonts w:hint="eastAsia" w:ascii="宋体" w:hAnsi="宋体" w:cs="宋体"/>
          <w:color w:val="auto"/>
          <w:sz w:val="24"/>
          <w:szCs w:val="24"/>
          <w:highlight w:val="none"/>
        </w:rPr>
        <w:t>响应文件的澄清</w:t>
      </w:r>
    </w:p>
    <w:p w14:paraId="477269B5">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为有助于响应文件的审查、评判和比较，磋商小组可以书面形式要求供应商对响应文件含义不明确的内容作必要的澄清或说明，供应商应采用书面形式进行澄清、说明或承诺。</w:t>
      </w:r>
    </w:p>
    <w:p w14:paraId="474A4446">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21.</w:t>
      </w:r>
      <w:r>
        <w:rPr>
          <w:rFonts w:hint="eastAsia" w:ascii="宋体" w:hAnsi="宋体" w:cs="宋体"/>
          <w:color w:val="auto"/>
          <w:spacing w:val="14"/>
          <w:sz w:val="24"/>
          <w:szCs w:val="24"/>
          <w:highlight w:val="none"/>
        </w:rPr>
        <w:t>磋商程序与方法</w:t>
      </w:r>
    </w:p>
    <w:p w14:paraId="33ECD0E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21.1</w:t>
      </w:r>
      <w:r>
        <w:rPr>
          <w:rFonts w:hint="eastAsia" w:ascii="宋体" w:hAnsi="宋体" w:cs="宋体"/>
          <w:color w:val="auto"/>
          <w:sz w:val="24"/>
          <w:szCs w:val="24"/>
          <w:highlight w:val="none"/>
        </w:rPr>
        <w:t>资格性审查</w:t>
      </w:r>
    </w:p>
    <w:p w14:paraId="7BA33532">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磋商小组依据法律、法规和磋商文件规定，对响应文件中的资格证明等进行审查，以确定供应商是否具备磋商资格。</w:t>
      </w:r>
    </w:p>
    <w:p w14:paraId="6E990053">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21.2</w:t>
      </w:r>
      <w:r>
        <w:rPr>
          <w:rFonts w:hint="eastAsia" w:ascii="宋体" w:hAnsi="宋体" w:cs="宋体"/>
          <w:color w:val="auto"/>
          <w:sz w:val="24"/>
          <w:szCs w:val="24"/>
          <w:highlight w:val="none"/>
        </w:rPr>
        <w:t>初步审查</w:t>
      </w:r>
    </w:p>
    <w:p w14:paraId="1BE8AC77">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磋商小组对通过资格性检查的供应商进行符合性检查。依据磋商文件的规定，从响应文件的有效性、完整性和对磋商文件的响应程度进行初步审查，以确定是否对磋商文件的实质性要求作出响应。</w:t>
      </w:r>
    </w:p>
    <w:p w14:paraId="04866237">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rPr>
        <w:t>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7C3FDF2B">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w:t>
      </w:r>
      <w:r>
        <w:rPr>
          <w:rFonts w:hint="eastAsia" w:ascii="宋体" w:hAnsi="宋体" w:cs="宋体"/>
          <w:color w:val="auto"/>
          <w:sz w:val="24"/>
          <w:szCs w:val="24"/>
          <w:highlight w:val="none"/>
        </w:rPr>
        <w:t>响应文件计算错误的修正。</w:t>
      </w:r>
    </w:p>
    <w:p w14:paraId="3DC50C1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21.4.1</w:t>
      </w:r>
      <w:r>
        <w:rPr>
          <w:rFonts w:hint="eastAsia" w:ascii="宋体" w:hAnsi="宋体" w:cs="宋体"/>
          <w:color w:val="auto"/>
          <w:sz w:val="24"/>
          <w:szCs w:val="24"/>
          <w:highlight w:val="none"/>
        </w:rPr>
        <w:t>响应文件中磋商报价一览表内容与响应文件中磋商分项报价表内容不一致的，以磋商报价一览表为准；</w:t>
      </w:r>
    </w:p>
    <w:p w14:paraId="6FE2131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21.4.2</w:t>
      </w:r>
      <w:r>
        <w:rPr>
          <w:rFonts w:hint="eastAsia" w:ascii="宋体" w:hAnsi="宋体" w:cs="宋体"/>
          <w:color w:val="auto"/>
          <w:sz w:val="24"/>
          <w:szCs w:val="24"/>
          <w:highlight w:val="none"/>
        </w:rPr>
        <w:t>响应文件的大写金额和小写金额不一致的，以大写金额为准；</w:t>
      </w:r>
    </w:p>
    <w:p w14:paraId="4717E4B8">
      <w:pPr>
        <w:spacing w:line="460" w:lineRule="exact"/>
        <w:ind w:firstLine="480" w:firstLineChars="200"/>
        <w:rPr>
          <w:rFonts w:ascii="宋体" w:cs="Times New Roman"/>
          <w:color w:val="auto"/>
          <w:spacing w:val="-8"/>
          <w:sz w:val="24"/>
          <w:szCs w:val="24"/>
          <w:highlight w:val="none"/>
        </w:rPr>
      </w:pPr>
      <w:r>
        <w:rPr>
          <w:rFonts w:ascii="宋体" w:hAnsi="宋体" w:cs="宋体"/>
          <w:color w:val="auto"/>
          <w:sz w:val="24"/>
          <w:szCs w:val="24"/>
          <w:highlight w:val="none"/>
        </w:rPr>
        <w:t>21.4.3</w:t>
      </w:r>
      <w:r>
        <w:rPr>
          <w:rFonts w:hint="eastAsia" w:ascii="宋体" w:hAnsi="宋体" w:cs="宋体"/>
          <w:color w:val="auto"/>
          <w:sz w:val="24"/>
          <w:szCs w:val="24"/>
          <w:highlight w:val="none"/>
        </w:rPr>
        <w:t>总</w:t>
      </w:r>
      <w:r>
        <w:rPr>
          <w:rFonts w:hint="eastAsia" w:ascii="宋体" w:hAnsi="宋体" w:cs="宋体"/>
          <w:color w:val="auto"/>
          <w:spacing w:val="-8"/>
          <w:sz w:val="24"/>
          <w:szCs w:val="24"/>
          <w:highlight w:val="none"/>
        </w:rPr>
        <w:t>价金额与按单价汇总金额不一致的，以单价金额计算结果为准；</w:t>
      </w:r>
    </w:p>
    <w:p w14:paraId="21C5C19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21.4.4</w:t>
      </w:r>
      <w:r>
        <w:rPr>
          <w:rFonts w:hint="eastAsia" w:ascii="宋体" w:hAnsi="宋体" w:cs="宋体"/>
          <w:color w:val="auto"/>
          <w:sz w:val="24"/>
          <w:szCs w:val="24"/>
          <w:highlight w:val="none"/>
        </w:rPr>
        <w:t>单价金额小数点有明显错位的，应以总价为准，并修改单价；</w:t>
      </w:r>
    </w:p>
    <w:p w14:paraId="1BC30B4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21.4.5</w:t>
      </w:r>
      <w:r>
        <w:rPr>
          <w:rFonts w:hint="eastAsia" w:ascii="宋体" w:hAnsi="宋体" w:cs="宋体"/>
          <w:color w:val="auto"/>
          <w:sz w:val="24"/>
          <w:szCs w:val="24"/>
          <w:highlight w:val="none"/>
        </w:rPr>
        <w:t>对不同文字文本响应文件的解释发生异议的，以中文文本为准。</w:t>
      </w:r>
    </w:p>
    <w:p w14:paraId="48452573">
      <w:pPr>
        <w:spacing w:line="460" w:lineRule="exact"/>
        <w:ind w:firstLine="480" w:firstLineChars="200"/>
        <w:rPr>
          <w:rFonts w:cs="Times New Roman"/>
          <w:color w:val="auto"/>
          <w:sz w:val="23"/>
          <w:szCs w:val="23"/>
          <w:highlight w:val="none"/>
        </w:rPr>
      </w:pPr>
      <w:r>
        <w:rPr>
          <w:rFonts w:ascii="宋体" w:hAnsi="宋体" w:cs="宋体"/>
          <w:color w:val="auto"/>
          <w:sz w:val="24"/>
          <w:szCs w:val="24"/>
          <w:highlight w:val="none"/>
        </w:rPr>
        <w:t>21.5</w:t>
      </w:r>
      <w:r>
        <w:rPr>
          <w:rFonts w:hint="eastAsia" w:cs="宋体"/>
          <w:color w:val="auto"/>
          <w:sz w:val="23"/>
          <w:szCs w:val="23"/>
          <w:highlight w:val="none"/>
        </w:rPr>
        <w:t>技术、商务、资信及其他部分磋商结束后，所有供应商须按磋商小组要求，在规定时间内通过政采云系统进行最后报价，并提交至磋商小组。</w:t>
      </w:r>
    </w:p>
    <w:p w14:paraId="394651F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rPr>
        <w:t>确定成交供应商</w:t>
      </w:r>
    </w:p>
    <w:p w14:paraId="021C5D5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21.6.1</w:t>
      </w:r>
      <w:r>
        <w:rPr>
          <w:rFonts w:hint="eastAsia" w:ascii="宋体" w:hAnsi="宋体" w:cs="宋体"/>
          <w:color w:val="auto"/>
          <w:sz w:val="24"/>
          <w:szCs w:val="24"/>
          <w:highlight w:val="none"/>
        </w:rPr>
        <w:t>在全部满足磋商文件实质性要求的前提下，按综合得分高低确定成交供应商。</w:t>
      </w:r>
    </w:p>
    <w:p w14:paraId="24B01EE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21.6.2</w:t>
      </w:r>
      <w:r>
        <w:rPr>
          <w:rFonts w:hint="eastAsia" w:ascii="宋体" w:hAnsi="宋体" w:cs="宋体"/>
          <w:color w:val="auto"/>
          <w:sz w:val="24"/>
          <w:szCs w:val="24"/>
          <w:highlight w:val="none"/>
        </w:rPr>
        <w:t>采购代理机构应当在磋商结束后二个工作日内将磋商评审报告送采购人确认。</w:t>
      </w:r>
    </w:p>
    <w:p w14:paraId="20FE249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21.6.3</w:t>
      </w:r>
      <w:r>
        <w:rPr>
          <w:rFonts w:hint="eastAsia" w:ascii="宋体" w:hAnsi="宋体" w:cs="宋体"/>
          <w:color w:val="auto"/>
          <w:sz w:val="24"/>
          <w:szCs w:val="24"/>
          <w:highlight w:val="none"/>
        </w:rPr>
        <w:t>采购人应当在收到磋商评审报告后五个工作日内，按照磋商评审报告中推荐的排列顺序依法确定成交供应商。</w:t>
      </w:r>
    </w:p>
    <w:p w14:paraId="0DFF06C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21.6.4</w:t>
      </w:r>
      <w:r>
        <w:rPr>
          <w:rFonts w:hint="eastAsia" w:ascii="宋体" w:hAnsi="宋体" w:cs="宋体"/>
          <w:color w:val="auto"/>
          <w:sz w:val="24"/>
          <w:szCs w:val="24"/>
          <w:highlight w:val="none"/>
        </w:rPr>
        <w:t>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14:paraId="57E59F62">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22.</w:t>
      </w:r>
      <w:r>
        <w:rPr>
          <w:rFonts w:hint="eastAsia" w:ascii="宋体" w:hAnsi="宋体" w:cs="宋体"/>
          <w:color w:val="auto"/>
          <w:sz w:val="24"/>
          <w:szCs w:val="24"/>
          <w:highlight w:val="none"/>
        </w:rPr>
        <w:t>成交公告</w:t>
      </w:r>
    </w:p>
    <w:p w14:paraId="757798C1">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采购代理机构应当在收到采购人书面确定的成交供应商通知后将成交结果在原发布磋商公告的媒体上予以公告。公告期按有关规定执行。</w:t>
      </w:r>
    </w:p>
    <w:p w14:paraId="0CC6571A">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23.</w:t>
      </w:r>
      <w:r>
        <w:rPr>
          <w:rFonts w:hint="eastAsia" w:ascii="宋体" w:hAnsi="宋体" w:cs="宋体"/>
          <w:color w:val="auto"/>
          <w:sz w:val="24"/>
          <w:szCs w:val="24"/>
          <w:highlight w:val="none"/>
        </w:rPr>
        <w:t>成交通知</w:t>
      </w:r>
    </w:p>
    <w:p w14:paraId="2C71949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在磋商有效期内，磋商采购单位可以书面形式通知所选定的成交供应商。通知也可以传真、信函的形式，但需要以书面确认，领取成交通知书前须完成以下事项：</w:t>
      </w:r>
    </w:p>
    <w:p w14:paraId="64E0F7A2">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23.1.1</w:t>
      </w:r>
      <w:r>
        <w:rPr>
          <w:rFonts w:hint="eastAsia" w:ascii="宋体" w:hAnsi="宋体" w:cs="宋体"/>
          <w:b/>
          <w:bCs/>
          <w:color w:val="auto"/>
          <w:sz w:val="24"/>
          <w:szCs w:val="24"/>
          <w:highlight w:val="none"/>
        </w:rPr>
        <w:t>根据浙江省财政厅《关于印发浙江省政府采购供应商注册及诚信管理暂行办法的通知》</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浙财采监字〔</w:t>
      </w:r>
      <w:r>
        <w:rPr>
          <w:rFonts w:ascii="宋体" w:hAnsi="宋体" w:cs="宋体"/>
          <w:b/>
          <w:bCs/>
          <w:color w:val="auto"/>
          <w:sz w:val="24"/>
          <w:szCs w:val="24"/>
          <w:highlight w:val="none"/>
        </w:rPr>
        <w:t>2009</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28</w:t>
      </w:r>
      <w:r>
        <w:rPr>
          <w:rFonts w:hint="eastAsia" w:ascii="宋体" w:hAnsi="宋体" w:cs="宋体"/>
          <w:b/>
          <w:bCs/>
          <w:color w:val="auto"/>
          <w:sz w:val="24"/>
          <w:szCs w:val="24"/>
          <w:highlight w:val="none"/>
        </w:rPr>
        <w:t>号</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精神，成交供应商在领取成交通知书前，必须在《浙江政府采购网》上完成供应商的注册工作，经初审、终审及公示后方可正式领取成交通知书。</w:t>
      </w:r>
    </w:p>
    <w:p w14:paraId="0329140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成交通知书为双方签订合同的依据；</w:t>
      </w:r>
    </w:p>
    <w:p w14:paraId="3A851DF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23.3</w:t>
      </w:r>
      <w:r>
        <w:rPr>
          <w:rFonts w:hint="eastAsia" w:ascii="宋体" w:hAnsi="宋体" w:cs="宋体"/>
          <w:color w:val="auto"/>
          <w:sz w:val="24"/>
          <w:szCs w:val="24"/>
          <w:highlight w:val="none"/>
        </w:rPr>
        <w:t>成交供应商应根据成交通知书中规定的时间内，由法定代表人或其授权代理人与采购人签订合同。</w:t>
      </w:r>
    </w:p>
    <w:p w14:paraId="673C56F1">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24.</w:t>
      </w:r>
      <w:r>
        <w:rPr>
          <w:rFonts w:hint="eastAsia" w:ascii="宋体" w:hAnsi="宋体" w:cs="宋体"/>
          <w:color w:val="auto"/>
          <w:sz w:val="24"/>
          <w:szCs w:val="24"/>
          <w:highlight w:val="none"/>
        </w:rPr>
        <w:t>废标</w:t>
      </w:r>
    </w:p>
    <w:p w14:paraId="3CD67981">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在磋商中，出现下列情形之一的，应予废标：</w:t>
      </w:r>
    </w:p>
    <w:p w14:paraId="0BC1D14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24.1</w:t>
      </w:r>
      <w:r>
        <w:rPr>
          <w:rFonts w:hint="eastAsia" w:ascii="宋体" w:hAnsi="宋体" w:cs="宋体"/>
          <w:color w:val="auto"/>
          <w:sz w:val="24"/>
          <w:szCs w:val="24"/>
          <w:highlight w:val="none"/>
        </w:rPr>
        <w:t>出现影响采购公正的违法、违规行为的；</w:t>
      </w:r>
    </w:p>
    <w:p w14:paraId="3BB9DF4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24.2</w:t>
      </w:r>
      <w:r>
        <w:rPr>
          <w:rFonts w:hint="eastAsia" w:ascii="宋体" w:hAnsi="宋体" w:cs="宋体"/>
          <w:color w:val="auto"/>
          <w:sz w:val="24"/>
          <w:szCs w:val="24"/>
          <w:highlight w:val="none"/>
        </w:rPr>
        <w:t>因重大变故，采购任务取消的；</w:t>
      </w:r>
    </w:p>
    <w:p w14:paraId="57EDC41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24.3</w:t>
      </w:r>
      <w:r>
        <w:rPr>
          <w:rFonts w:hint="eastAsia" w:ascii="宋体" w:hAnsi="宋体" w:cs="宋体"/>
          <w:color w:val="auto"/>
          <w:sz w:val="24"/>
          <w:szCs w:val="24"/>
          <w:highlight w:val="none"/>
        </w:rPr>
        <w:t>供应商的报价均超控制价的；</w:t>
      </w:r>
    </w:p>
    <w:p w14:paraId="4783739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24.4</w:t>
      </w:r>
      <w:r>
        <w:rPr>
          <w:rFonts w:hint="eastAsia" w:ascii="宋体" w:hAnsi="宋体" w:cs="宋体"/>
          <w:snapToGrid w:val="0"/>
          <w:color w:val="auto"/>
          <w:sz w:val="24"/>
          <w:szCs w:val="24"/>
          <w:highlight w:val="none"/>
        </w:rPr>
        <w:t>法律、法规、规章等规定的其他情形除外。</w:t>
      </w:r>
    </w:p>
    <w:p w14:paraId="69EEFE01">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废标后，磋商采购单位将废标理由通知所有供应商。</w:t>
      </w:r>
    </w:p>
    <w:p w14:paraId="35D4056B">
      <w:pPr>
        <w:pStyle w:val="4"/>
        <w:spacing w:line="440" w:lineRule="exact"/>
        <w:jc w:val="center"/>
        <w:rPr>
          <w:rFonts w:ascii="宋体" w:hAnsi="宋体" w:eastAsia="宋体" w:cs="Times New Roman"/>
          <w:color w:val="auto"/>
          <w:spacing w:val="14"/>
          <w:sz w:val="28"/>
          <w:szCs w:val="28"/>
          <w:highlight w:val="none"/>
        </w:rPr>
      </w:pPr>
      <w:bookmarkStart w:id="44" w:name="_Toc68613992"/>
      <w:r>
        <w:rPr>
          <w:rFonts w:hint="eastAsia" w:ascii="宋体" w:hAnsi="宋体" w:eastAsia="宋体" w:cs="宋体"/>
          <w:color w:val="auto"/>
          <w:spacing w:val="14"/>
          <w:sz w:val="28"/>
          <w:szCs w:val="28"/>
          <w:highlight w:val="none"/>
        </w:rPr>
        <w:t>五、授予合同</w:t>
      </w:r>
      <w:bookmarkEnd w:id="44"/>
    </w:p>
    <w:p w14:paraId="50F1C296">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25.</w:t>
      </w:r>
      <w:r>
        <w:rPr>
          <w:rFonts w:hint="eastAsia" w:ascii="宋体" w:hAnsi="宋体" w:cs="宋体"/>
          <w:color w:val="auto"/>
          <w:sz w:val="24"/>
          <w:szCs w:val="24"/>
          <w:highlight w:val="none"/>
        </w:rPr>
        <w:t>授予合同的依据</w:t>
      </w:r>
    </w:p>
    <w:p w14:paraId="0C6DBD2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磋商采购单位签发的成交通知书；</w:t>
      </w:r>
    </w:p>
    <w:p w14:paraId="40FA7F74">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25.2</w:t>
      </w:r>
      <w:r>
        <w:rPr>
          <w:rFonts w:hint="eastAsia" w:ascii="宋体" w:hAnsi="宋体" w:cs="宋体"/>
          <w:color w:val="auto"/>
          <w:sz w:val="24"/>
          <w:szCs w:val="24"/>
          <w:highlight w:val="none"/>
        </w:rPr>
        <w:t>磋商文件、磋商文件的修改及补充通知（函）；</w:t>
      </w:r>
    </w:p>
    <w:p w14:paraId="1D69A40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25.3</w:t>
      </w:r>
      <w:r>
        <w:rPr>
          <w:rFonts w:hint="eastAsia" w:ascii="宋体" w:hAnsi="宋体" w:cs="宋体"/>
          <w:color w:val="auto"/>
          <w:sz w:val="24"/>
          <w:szCs w:val="24"/>
          <w:highlight w:val="none"/>
        </w:rPr>
        <w:t>响应文件和磋商时供应商作出的书面澄清、说明、纠正、承诺等；</w:t>
      </w:r>
    </w:p>
    <w:p w14:paraId="2AAD7231">
      <w:pPr>
        <w:spacing w:line="460" w:lineRule="exact"/>
        <w:rPr>
          <w:rFonts w:ascii="宋体" w:cs="Times New Roman"/>
          <w:color w:val="auto"/>
          <w:sz w:val="24"/>
          <w:szCs w:val="24"/>
          <w:highlight w:val="none"/>
        </w:rPr>
      </w:pPr>
      <w:r>
        <w:rPr>
          <w:rFonts w:ascii="宋体" w:hAnsi="宋体" w:cs="宋体"/>
          <w:b/>
          <w:bCs/>
          <w:color w:val="auto"/>
          <w:sz w:val="24"/>
          <w:szCs w:val="24"/>
          <w:highlight w:val="none"/>
        </w:rPr>
        <w:t>26</w:t>
      </w:r>
      <w:r>
        <w:rPr>
          <w:rFonts w:ascii="宋体" w:cs="宋体"/>
          <w:b/>
          <w:bCs/>
          <w:color w:val="auto"/>
          <w:sz w:val="24"/>
          <w:szCs w:val="24"/>
          <w:highlight w:val="none"/>
        </w:rPr>
        <w:t>.</w:t>
      </w:r>
      <w:r>
        <w:rPr>
          <w:rFonts w:hint="eastAsia" w:ascii="宋体" w:hAnsi="宋体" w:cs="宋体"/>
          <w:color w:val="auto"/>
          <w:sz w:val="24"/>
          <w:szCs w:val="24"/>
          <w:highlight w:val="none"/>
        </w:rPr>
        <w:t>合同签订</w:t>
      </w:r>
    </w:p>
    <w:p w14:paraId="5998C15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26.1</w:t>
      </w:r>
      <w:r>
        <w:rPr>
          <w:rFonts w:hint="eastAsia" w:ascii="宋体" w:hAnsi="宋体" w:cs="宋体"/>
          <w:color w:val="auto"/>
          <w:sz w:val="24"/>
          <w:szCs w:val="24"/>
          <w:highlight w:val="none"/>
        </w:rPr>
        <w:t>成交供应商与采购人应按成交通知书中规定的时间、地点签订合同，否则应承担相应的法律责任。</w:t>
      </w:r>
    </w:p>
    <w:p w14:paraId="4EE451A6">
      <w:pPr>
        <w:spacing w:line="460" w:lineRule="exact"/>
        <w:ind w:firstLine="480" w:firstLineChars="200"/>
        <w:rPr>
          <w:rFonts w:ascii="宋体" w:cs="Times New Roman"/>
          <w:b/>
          <w:bCs/>
          <w:color w:val="auto"/>
          <w:sz w:val="24"/>
          <w:szCs w:val="24"/>
          <w:highlight w:val="none"/>
        </w:rPr>
      </w:pPr>
      <w:r>
        <w:rPr>
          <w:rFonts w:ascii="宋体" w:hAnsi="宋体" w:cs="宋体"/>
          <w:color w:val="auto"/>
          <w:sz w:val="24"/>
          <w:szCs w:val="24"/>
          <w:highlight w:val="none"/>
        </w:rPr>
        <w:t>26.2</w:t>
      </w:r>
      <w:r>
        <w:rPr>
          <w:rFonts w:hint="eastAsia" w:ascii="宋体" w:hAnsi="宋体" w:cs="宋体"/>
          <w:color w:val="auto"/>
          <w:sz w:val="24"/>
          <w:szCs w:val="24"/>
          <w:highlight w:val="none"/>
        </w:rPr>
        <w:t>磋商文件、成交供应商的响应文件及磋商过程中有关澄清文件和承诺均为合同附件。</w:t>
      </w:r>
    </w:p>
    <w:p w14:paraId="1D76E9A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snapToGrid w:val="0"/>
          <w:color w:val="auto"/>
          <w:sz w:val="24"/>
          <w:szCs w:val="24"/>
          <w:highlight w:val="none"/>
        </w:rPr>
        <w:t>采购人与成交供应商将根据《中华人民共和国民法典》的规定，依据磋商文件和成交供应商的响应文件签订书面合同。</w:t>
      </w:r>
    </w:p>
    <w:p w14:paraId="4B0091A4">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采购人如不与</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供应商订立合同，或者采购人、</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供应商订立背离合同实质性内容的协议，由政府有关部门责令改正，同时依法承担相应法律责任；</w:t>
      </w:r>
    </w:p>
    <w:p w14:paraId="2E91B3E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供应商如不按规定与采购人订立合同，则磋商采购单位将废除授标，给磋商采购单位造成的损失超过磋商担保数额的，还应当对超过部分予以赔偿，同时依法承担相应法律责任。</w:t>
      </w:r>
    </w:p>
    <w:p w14:paraId="0232D4D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供应商应当按照合同约定履行义务，完成</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项目各项工作，不得将</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项目违法转让（转包）给他人；</w:t>
      </w:r>
    </w:p>
    <w:p w14:paraId="2034A38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如果</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供应商未能遵守本须知第</w:t>
      </w:r>
      <w:r>
        <w:rPr>
          <w:rFonts w:ascii="宋体" w:hAnsi="宋体" w:cs="宋体"/>
          <w:color w:val="auto"/>
          <w:sz w:val="24"/>
          <w:szCs w:val="24"/>
          <w:highlight w:val="none"/>
        </w:rPr>
        <w:t>26.5</w:t>
      </w:r>
      <w:r>
        <w:rPr>
          <w:rFonts w:hint="eastAsia" w:ascii="宋体" w:hAnsi="宋体" w:cs="宋体"/>
          <w:color w:val="auto"/>
          <w:sz w:val="24"/>
          <w:szCs w:val="24"/>
          <w:highlight w:val="none"/>
        </w:rPr>
        <w:t>条的规定，则可取消其</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资格。在此情况下，可将合同授予排序在</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供应商之后的第一位</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候选供应商。</w:t>
      </w:r>
    </w:p>
    <w:p w14:paraId="5F080EE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26.8</w:t>
      </w:r>
      <w:r>
        <w:rPr>
          <w:rFonts w:hint="eastAsia" w:ascii="宋体" w:hAnsi="宋体" w:cs="宋体"/>
          <w:color w:val="auto"/>
          <w:sz w:val="24"/>
          <w:szCs w:val="24"/>
          <w:highlight w:val="none"/>
        </w:rPr>
        <w:t>自合同签订之日起七个工作日内，成交供应商需将合同副本分别送市（区）政府采购办公室和采购代理机构备案。</w:t>
      </w:r>
    </w:p>
    <w:p w14:paraId="4FC37E45">
      <w:pPr>
        <w:spacing w:line="420" w:lineRule="exact"/>
        <w:rPr>
          <w:rFonts w:ascii="宋体" w:hAnsi="宋体" w:cs="宋体"/>
          <w:color w:val="auto"/>
          <w:sz w:val="24"/>
          <w:szCs w:val="24"/>
          <w:highlight w:val="none"/>
        </w:rPr>
      </w:pPr>
      <w:r>
        <w:rPr>
          <w:rFonts w:ascii="宋体" w:hAnsi="宋体" w:cs="宋体"/>
          <w:b/>
          <w:bCs/>
          <w:color w:val="auto"/>
          <w:sz w:val="24"/>
          <w:szCs w:val="24"/>
          <w:highlight w:val="none"/>
        </w:rPr>
        <w:t>27.</w:t>
      </w:r>
      <w:r>
        <w:rPr>
          <w:rFonts w:hint="eastAsia" w:ascii="宋体" w:hAnsi="宋体" w:cs="宋体"/>
          <w:color w:val="auto"/>
          <w:sz w:val="24"/>
          <w:szCs w:val="24"/>
          <w:highlight w:val="none"/>
        </w:rPr>
        <w:t>履约保证金</w:t>
      </w:r>
    </w:p>
    <w:p w14:paraId="157615DF">
      <w:pPr>
        <w:spacing w:line="42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合同签订前成交供应商向采购人交纳1%合同价款的履约保证金。项目验收结束后无息退还（违约部分除外）。合同履行完毕后如无质量索赔或扣款事件无息退还，如有，则扣除上述款项后无息退还。</w:t>
      </w:r>
    </w:p>
    <w:p w14:paraId="25166B5B">
      <w:pPr>
        <w:spacing w:line="420" w:lineRule="exact"/>
        <w:rPr>
          <w:rFonts w:ascii="微软雅黑" w:eastAsia="微软雅黑" w:cs="Times New Roman"/>
          <w:color w:val="auto"/>
          <w:sz w:val="24"/>
          <w:szCs w:val="24"/>
          <w:highlight w:val="none"/>
        </w:rPr>
      </w:pPr>
      <w:r>
        <w:rPr>
          <w:rFonts w:ascii="宋体" w:hAnsi="宋体" w:cs="宋体"/>
          <w:b/>
          <w:bCs/>
          <w:color w:val="auto"/>
          <w:sz w:val="24"/>
          <w:szCs w:val="24"/>
          <w:highlight w:val="none"/>
        </w:rPr>
        <w:t xml:space="preserve">28. </w:t>
      </w:r>
      <w:r>
        <w:rPr>
          <w:rFonts w:hint="eastAsia" w:ascii="微软雅黑" w:hAnsi="微软雅黑" w:cs="宋体"/>
          <w:color w:val="auto"/>
          <w:sz w:val="24"/>
          <w:szCs w:val="24"/>
          <w:highlight w:val="none"/>
        </w:rPr>
        <w:t>其他</w:t>
      </w:r>
    </w:p>
    <w:p w14:paraId="4B826D2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w:t>
      </w:r>
      <w:r>
        <w:rPr>
          <w:rFonts w:hint="eastAsia" w:ascii="宋体" w:hAnsi="宋体" w:cs="宋体"/>
          <w:color w:val="auto"/>
          <w:sz w:val="24"/>
          <w:szCs w:val="24"/>
          <w:highlight w:val="none"/>
        </w:rPr>
        <w:t>供应商有下列情形之一的，自愿接受取消磋商资格；如已成交的，自动放弃成交资格，并承担全部法律责任；给采购人造成损失的，依法承担赔偿责任：</w:t>
      </w:r>
    </w:p>
    <w:p w14:paraId="3843BDB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28.1.1</w:t>
      </w:r>
      <w:r>
        <w:rPr>
          <w:rFonts w:hint="eastAsia" w:ascii="宋体" w:hAnsi="宋体" w:cs="宋体"/>
          <w:color w:val="auto"/>
          <w:sz w:val="24"/>
          <w:szCs w:val="24"/>
          <w:highlight w:val="none"/>
        </w:rPr>
        <w:t>供应商在提交响应文件截止时间后撤回响应文件的；</w:t>
      </w:r>
    </w:p>
    <w:p w14:paraId="140CD45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28.1.2</w:t>
      </w:r>
      <w:r>
        <w:rPr>
          <w:rFonts w:hint="eastAsia" w:ascii="宋体" w:hAnsi="宋体" w:cs="宋体"/>
          <w:color w:val="auto"/>
          <w:sz w:val="24"/>
          <w:szCs w:val="24"/>
          <w:highlight w:val="none"/>
        </w:rPr>
        <w:t>供应商在响应文件中提交虚假材料的；</w:t>
      </w:r>
    </w:p>
    <w:p w14:paraId="2CC5519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28.1.3</w:t>
      </w:r>
      <w:r>
        <w:rPr>
          <w:rFonts w:hint="eastAsia" w:ascii="宋体" w:hAnsi="宋体" w:cs="宋体"/>
          <w:color w:val="auto"/>
          <w:sz w:val="24"/>
          <w:szCs w:val="24"/>
          <w:highlight w:val="none"/>
        </w:rPr>
        <w:t>除因不可抗力或磋商文件认可的情形以外，成交供应商不与采购人签订合同的；</w:t>
      </w:r>
    </w:p>
    <w:p w14:paraId="391DB09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28.1.4</w:t>
      </w:r>
      <w:r>
        <w:rPr>
          <w:rFonts w:hint="eastAsia" w:ascii="宋体" w:hAnsi="宋体" w:cs="宋体"/>
          <w:color w:val="auto"/>
          <w:sz w:val="24"/>
          <w:szCs w:val="24"/>
          <w:highlight w:val="none"/>
        </w:rPr>
        <w:t>供应商与采购人、其他供应商或者采购代理机构恶意串通的；</w:t>
      </w:r>
    </w:p>
    <w:p w14:paraId="7B2D9DEF">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28.1.5</w:t>
      </w:r>
      <w:r>
        <w:rPr>
          <w:rFonts w:hint="eastAsia" w:ascii="宋体" w:hAnsi="宋体" w:cs="宋体"/>
          <w:color w:val="auto"/>
          <w:sz w:val="24"/>
          <w:szCs w:val="24"/>
          <w:highlight w:val="none"/>
        </w:rPr>
        <w:t>磋商文件规定的其他情形。</w:t>
      </w:r>
    </w:p>
    <w:p w14:paraId="7C045E78">
      <w:pPr>
        <w:pStyle w:val="3"/>
        <w:spacing w:before="0" w:after="0" w:line="470" w:lineRule="exact"/>
        <w:jc w:val="center"/>
        <w:rPr>
          <w:rFonts w:ascii="宋体"/>
          <w:color w:val="auto"/>
          <w:sz w:val="36"/>
          <w:szCs w:val="36"/>
          <w:highlight w:val="none"/>
        </w:rPr>
      </w:pPr>
      <w:bookmarkStart w:id="45" w:name="_Toc68613993"/>
      <w:r>
        <w:rPr>
          <w:rFonts w:hint="eastAsia" w:ascii="宋体" w:hAnsi="宋体" w:cs="宋体"/>
          <w:color w:val="auto"/>
          <w:sz w:val="36"/>
          <w:szCs w:val="36"/>
          <w:highlight w:val="none"/>
        </w:rPr>
        <w:t>第二章磋商项目范围及要求</w:t>
      </w:r>
      <w:bookmarkEnd w:id="45"/>
    </w:p>
    <w:p w14:paraId="632B3D58">
      <w:pPr>
        <w:rPr>
          <w:rFonts w:cs="Times New Roman"/>
          <w:color w:val="auto"/>
          <w:highlight w:val="none"/>
        </w:rPr>
      </w:pPr>
    </w:p>
    <w:p w14:paraId="61D67BE1">
      <w:pPr>
        <w:spacing w:line="420" w:lineRule="exact"/>
        <w:rPr>
          <w:rFonts w:cs="Times New Roman"/>
          <w:b/>
          <w:bCs/>
          <w:color w:val="auto"/>
          <w:sz w:val="28"/>
          <w:szCs w:val="28"/>
          <w:highlight w:val="none"/>
        </w:rPr>
      </w:pPr>
      <w:r>
        <w:rPr>
          <w:rFonts w:hint="eastAsia" w:cs="宋体"/>
          <w:b/>
          <w:bCs/>
          <w:color w:val="auto"/>
          <w:sz w:val="28"/>
          <w:szCs w:val="28"/>
          <w:highlight w:val="none"/>
        </w:rPr>
        <w:t>一、采购项目</w:t>
      </w:r>
      <w:r>
        <w:rPr>
          <w:rFonts w:hint="eastAsia" w:ascii="宋体" w:hAnsi="Courier New" w:cs="宋体"/>
          <w:b/>
          <w:bCs/>
          <w:color w:val="auto"/>
          <w:sz w:val="28"/>
          <w:szCs w:val="28"/>
          <w:highlight w:val="none"/>
        </w:rPr>
        <w:t>：</w:t>
      </w:r>
      <w:r>
        <w:rPr>
          <w:b/>
          <w:bCs/>
          <w:color w:val="auto"/>
          <w:sz w:val="28"/>
          <w:szCs w:val="28"/>
          <w:highlight w:val="none"/>
        </w:rPr>
        <w:t>湖州市长兴县交通运输行政执法队船舶自动核查抓拍系统维护保障项目</w:t>
      </w:r>
    </w:p>
    <w:p w14:paraId="370AEA23">
      <w:pPr>
        <w:pStyle w:val="35"/>
        <w:snapToGrid w:val="0"/>
        <w:spacing w:beforeLines="0" w:afterLines="0" w:line="240" w:lineRule="auto"/>
        <w:ind w:left="1662" w:hanging="1662" w:hangingChars="690"/>
        <w:outlineLvl w:val="0"/>
        <w:rPr>
          <w:rFonts w:cs="Times New Roman" w:asciiTheme="majorEastAsia" w:hAnsiTheme="majorEastAsia" w:eastAsiaTheme="majorEastAsia"/>
          <w:b/>
          <w:bCs/>
          <w:color w:val="auto"/>
          <w:highlight w:val="none"/>
        </w:rPr>
      </w:pPr>
    </w:p>
    <w:p w14:paraId="75AAA746">
      <w:pPr>
        <w:pStyle w:val="499"/>
        <w:numPr>
          <w:ilvl w:val="0"/>
          <w:numId w:val="1"/>
        </w:numPr>
        <w:spacing w:line="360" w:lineRule="auto"/>
        <w:ind w:firstLineChars="0"/>
        <w:jc w:val="left"/>
        <w:rPr>
          <w:rFonts w:cs="宋体" w:asciiTheme="majorEastAsia" w:hAnsiTheme="majorEastAsia" w:eastAsiaTheme="majorEastAsia"/>
          <w:b/>
          <w:bCs/>
          <w:color w:val="auto"/>
          <w:sz w:val="24"/>
          <w:szCs w:val="24"/>
          <w:highlight w:val="none"/>
        </w:rPr>
      </w:pPr>
      <w:bookmarkStart w:id="46" w:name="_Toc152043787"/>
      <w:r>
        <w:rPr>
          <w:rFonts w:hint="eastAsia" w:cs="宋体" w:asciiTheme="majorEastAsia" w:hAnsiTheme="majorEastAsia" w:eastAsiaTheme="majorEastAsia"/>
          <w:b/>
          <w:bCs/>
          <w:color w:val="auto"/>
          <w:sz w:val="24"/>
          <w:szCs w:val="24"/>
          <w:highlight w:val="none"/>
        </w:rPr>
        <w:t>采购内容</w:t>
      </w:r>
    </w:p>
    <w:p w14:paraId="6469695C">
      <w:pPr>
        <w:spacing w:line="360" w:lineRule="auto"/>
        <w:outlineLvl w:val="0"/>
        <w:rPr>
          <w:rFonts w:cs="仿宋" w:asciiTheme="majorEastAsia" w:hAnsiTheme="majorEastAsia" w:eastAsiaTheme="majorEastAsia"/>
          <w:b/>
          <w:color w:val="auto"/>
          <w:sz w:val="24"/>
          <w:szCs w:val="24"/>
          <w:highlight w:val="none"/>
        </w:rPr>
      </w:pPr>
      <w:r>
        <w:rPr>
          <w:rFonts w:cs="宋体" w:asciiTheme="majorEastAsia" w:hAnsiTheme="majorEastAsia" w:eastAsiaTheme="majorEastAsia"/>
          <w:b/>
          <w:color w:val="auto"/>
          <w:sz w:val="24"/>
          <w:szCs w:val="24"/>
          <w:highlight w:val="none"/>
        </w:rPr>
        <w:t>（一）</w:t>
      </w:r>
      <w:r>
        <w:rPr>
          <w:rFonts w:hint="eastAsia" w:cs="仿宋" w:asciiTheme="majorEastAsia" w:hAnsiTheme="majorEastAsia" w:eastAsiaTheme="majorEastAsia"/>
          <w:b/>
          <w:color w:val="auto"/>
          <w:sz w:val="24"/>
          <w:szCs w:val="24"/>
          <w:highlight w:val="none"/>
        </w:rPr>
        <w:t>采购需求：</w:t>
      </w:r>
    </w:p>
    <w:tbl>
      <w:tblPr>
        <w:tblStyle w:val="63"/>
        <w:tblW w:w="4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126"/>
        <w:gridCol w:w="2268"/>
        <w:gridCol w:w="1256"/>
        <w:gridCol w:w="1225"/>
      </w:tblGrid>
      <w:tr w14:paraId="62CE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8" w:type="dxa"/>
            <w:shd w:val="clear" w:color="auto" w:fill="auto"/>
            <w:vAlign w:val="center"/>
          </w:tcPr>
          <w:p w14:paraId="6B4E7C9E">
            <w:pPr>
              <w:spacing w:line="360" w:lineRule="auto"/>
              <w:jc w:val="center"/>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序号</w:t>
            </w:r>
          </w:p>
        </w:tc>
        <w:tc>
          <w:tcPr>
            <w:tcW w:w="4126" w:type="dxa"/>
            <w:shd w:val="clear" w:color="auto" w:fill="auto"/>
            <w:vAlign w:val="center"/>
          </w:tcPr>
          <w:p w14:paraId="6E26065A">
            <w:pPr>
              <w:spacing w:line="360" w:lineRule="auto"/>
              <w:jc w:val="center"/>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项目名称</w:t>
            </w:r>
          </w:p>
        </w:tc>
        <w:tc>
          <w:tcPr>
            <w:tcW w:w="2268" w:type="dxa"/>
            <w:vAlign w:val="center"/>
          </w:tcPr>
          <w:p w14:paraId="35B3B838">
            <w:pPr>
              <w:spacing w:line="360" w:lineRule="auto"/>
              <w:jc w:val="center"/>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采购内容</w:t>
            </w:r>
          </w:p>
        </w:tc>
        <w:tc>
          <w:tcPr>
            <w:tcW w:w="1256" w:type="dxa"/>
            <w:vAlign w:val="center"/>
          </w:tcPr>
          <w:p w14:paraId="5A4740A5">
            <w:pPr>
              <w:spacing w:line="360" w:lineRule="auto"/>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预算金额</w:t>
            </w:r>
            <w:bookmarkStart w:id="47" w:name="OLE_LINK20"/>
            <w:bookmarkStart w:id="48" w:name="OLE_LINK21"/>
            <w:r>
              <w:rPr>
                <w:rFonts w:hint="eastAsia" w:cs="仿宋" w:asciiTheme="majorEastAsia" w:hAnsiTheme="majorEastAsia" w:eastAsiaTheme="majorEastAsia"/>
                <w:b/>
                <w:bCs/>
                <w:color w:val="auto"/>
                <w:sz w:val="24"/>
                <w:szCs w:val="24"/>
                <w:highlight w:val="none"/>
              </w:rPr>
              <w:t>（万元）</w:t>
            </w:r>
            <w:bookmarkEnd w:id="47"/>
            <w:bookmarkEnd w:id="48"/>
          </w:p>
        </w:tc>
        <w:tc>
          <w:tcPr>
            <w:tcW w:w="1225" w:type="dxa"/>
            <w:shd w:val="clear" w:color="auto" w:fill="auto"/>
            <w:vAlign w:val="center"/>
          </w:tcPr>
          <w:p w14:paraId="3A3952DB">
            <w:pPr>
              <w:spacing w:line="360" w:lineRule="auto"/>
              <w:jc w:val="center"/>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最高限价（万元）</w:t>
            </w:r>
          </w:p>
        </w:tc>
      </w:tr>
      <w:tr w14:paraId="684B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08" w:type="dxa"/>
            <w:shd w:val="clear" w:color="auto" w:fill="auto"/>
            <w:vAlign w:val="center"/>
          </w:tcPr>
          <w:p w14:paraId="11C03599">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1</w:t>
            </w:r>
          </w:p>
        </w:tc>
        <w:tc>
          <w:tcPr>
            <w:tcW w:w="4126" w:type="dxa"/>
            <w:shd w:val="clear" w:color="auto" w:fill="auto"/>
            <w:vAlign w:val="center"/>
          </w:tcPr>
          <w:p w14:paraId="13354626">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湖州市长兴县交通运输行政执法队船舶自动核查抓拍系统维护保障项目</w:t>
            </w:r>
          </w:p>
        </w:tc>
        <w:tc>
          <w:tcPr>
            <w:tcW w:w="2268" w:type="dxa"/>
            <w:vAlign w:val="center"/>
          </w:tcPr>
          <w:p w14:paraId="1F9E59EA">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对自动核查点位进行巡查维护保修</w:t>
            </w:r>
          </w:p>
        </w:tc>
        <w:tc>
          <w:tcPr>
            <w:tcW w:w="1256" w:type="dxa"/>
            <w:vAlign w:val="center"/>
          </w:tcPr>
          <w:p w14:paraId="6A34558B">
            <w:pPr>
              <w:spacing w:line="360" w:lineRule="auto"/>
              <w:jc w:val="center"/>
              <w:rPr>
                <w:rFonts w:hint="eastAsia" w:cs="仿宋" w:asciiTheme="majorEastAsia" w:hAnsiTheme="majorEastAsia" w:eastAsiaTheme="majorEastAsia"/>
                <w:color w:val="auto"/>
                <w:sz w:val="24"/>
                <w:szCs w:val="24"/>
                <w:highlight w:val="none"/>
                <w:lang w:eastAsia="zh-CN"/>
              </w:rPr>
            </w:pPr>
            <w:r>
              <w:rPr>
                <w:rFonts w:hint="eastAsia" w:cs="仿宋" w:asciiTheme="majorEastAsia" w:hAnsiTheme="majorEastAsia" w:eastAsiaTheme="majorEastAsia"/>
                <w:color w:val="auto"/>
                <w:sz w:val="24"/>
                <w:szCs w:val="24"/>
                <w:highlight w:val="none"/>
                <w:lang w:eastAsia="zh-CN"/>
              </w:rPr>
              <w:t>72</w:t>
            </w:r>
          </w:p>
        </w:tc>
        <w:tc>
          <w:tcPr>
            <w:tcW w:w="1225" w:type="dxa"/>
            <w:shd w:val="clear" w:color="auto" w:fill="auto"/>
            <w:vAlign w:val="center"/>
          </w:tcPr>
          <w:p w14:paraId="15C8C8AF">
            <w:pPr>
              <w:spacing w:line="360" w:lineRule="auto"/>
              <w:jc w:val="center"/>
              <w:rPr>
                <w:rFonts w:hint="eastAsia" w:cs="仿宋" w:asciiTheme="majorEastAsia" w:hAnsiTheme="majorEastAsia" w:eastAsiaTheme="majorEastAsia"/>
                <w:color w:val="auto"/>
                <w:sz w:val="24"/>
                <w:szCs w:val="24"/>
                <w:highlight w:val="none"/>
                <w:lang w:eastAsia="zh-CN"/>
              </w:rPr>
            </w:pPr>
            <w:r>
              <w:rPr>
                <w:rFonts w:hint="eastAsia" w:cs="仿宋" w:asciiTheme="majorEastAsia" w:hAnsiTheme="majorEastAsia" w:eastAsiaTheme="majorEastAsia"/>
                <w:color w:val="auto"/>
                <w:sz w:val="24"/>
                <w:szCs w:val="24"/>
                <w:highlight w:val="none"/>
                <w:lang w:eastAsia="zh-CN"/>
              </w:rPr>
              <w:t>72</w:t>
            </w:r>
          </w:p>
        </w:tc>
      </w:tr>
    </w:tbl>
    <w:p w14:paraId="02B94349">
      <w:pPr>
        <w:spacing w:line="360" w:lineRule="auto"/>
        <w:rPr>
          <w:rFonts w:cs="宋体" w:asciiTheme="majorEastAsia" w:hAnsiTheme="majorEastAsia" w:eastAsiaTheme="majorEastAsia"/>
          <w:b/>
          <w:color w:val="auto"/>
          <w:sz w:val="24"/>
          <w:szCs w:val="24"/>
          <w:highlight w:val="none"/>
        </w:rPr>
      </w:pPr>
    </w:p>
    <w:p w14:paraId="42A266EB">
      <w:pPr>
        <w:spacing w:line="360" w:lineRule="auto"/>
        <w:rPr>
          <w:rFonts w:cs="仿宋" w:asciiTheme="majorEastAsia" w:hAnsiTheme="majorEastAsia" w:eastAsiaTheme="majorEastAsia"/>
          <w:b/>
          <w:color w:val="auto"/>
          <w:sz w:val="24"/>
          <w:szCs w:val="24"/>
          <w:highlight w:val="none"/>
        </w:rPr>
      </w:pPr>
      <w:r>
        <w:rPr>
          <w:rFonts w:cs="宋体" w:asciiTheme="majorEastAsia" w:hAnsiTheme="majorEastAsia" w:eastAsiaTheme="majorEastAsia"/>
          <w:b/>
          <w:color w:val="auto"/>
          <w:sz w:val="24"/>
          <w:szCs w:val="24"/>
          <w:highlight w:val="none"/>
        </w:rPr>
        <w:t>（二）</w:t>
      </w:r>
      <w:r>
        <w:rPr>
          <w:rFonts w:hint="eastAsia" w:cs="仿宋" w:asciiTheme="majorEastAsia" w:hAnsiTheme="majorEastAsia" w:eastAsiaTheme="majorEastAsia"/>
          <w:b/>
          <w:color w:val="auto"/>
          <w:sz w:val="24"/>
          <w:szCs w:val="24"/>
          <w:highlight w:val="none"/>
        </w:rPr>
        <w:t>服务内容</w:t>
      </w:r>
    </w:p>
    <w:tbl>
      <w:tblPr>
        <w:tblStyle w:val="63"/>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696"/>
        <w:gridCol w:w="1536"/>
        <w:gridCol w:w="1839"/>
        <w:gridCol w:w="3789"/>
      </w:tblGrid>
      <w:tr w14:paraId="73A4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1" w:type="dxa"/>
            <w:shd w:val="clear" w:color="auto" w:fill="auto"/>
            <w:vAlign w:val="center"/>
          </w:tcPr>
          <w:p w14:paraId="1565C22E">
            <w:pPr>
              <w:spacing w:line="360" w:lineRule="auto"/>
              <w:jc w:val="center"/>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序号</w:t>
            </w:r>
          </w:p>
        </w:tc>
        <w:tc>
          <w:tcPr>
            <w:tcW w:w="1679" w:type="dxa"/>
            <w:shd w:val="clear" w:color="auto" w:fill="auto"/>
            <w:vAlign w:val="center"/>
          </w:tcPr>
          <w:p w14:paraId="1AC49791">
            <w:pPr>
              <w:spacing w:line="360" w:lineRule="auto"/>
              <w:jc w:val="center"/>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点位</w:t>
            </w:r>
          </w:p>
        </w:tc>
        <w:tc>
          <w:tcPr>
            <w:tcW w:w="1520" w:type="dxa"/>
            <w:vAlign w:val="center"/>
          </w:tcPr>
          <w:p w14:paraId="68990507">
            <w:pPr>
              <w:spacing w:line="360" w:lineRule="auto"/>
              <w:jc w:val="center"/>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类型</w:t>
            </w:r>
          </w:p>
        </w:tc>
        <w:tc>
          <w:tcPr>
            <w:tcW w:w="1820" w:type="dxa"/>
            <w:vAlign w:val="center"/>
          </w:tcPr>
          <w:p w14:paraId="38751A48">
            <w:pPr>
              <w:spacing w:line="360" w:lineRule="auto"/>
              <w:jc w:val="center"/>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维保/迁移</w:t>
            </w:r>
          </w:p>
        </w:tc>
        <w:tc>
          <w:tcPr>
            <w:tcW w:w="3750" w:type="dxa"/>
            <w:vAlign w:val="center"/>
          </w:tcPr>
          <w:p w14:paraId="29D529C9">
            <w:pPr>
              <w:spacing w:line="360" w:lineRule="auto"/>
              <w:jc w:val="center"/>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维护设施设备清单</w:t>
            </w:r>
          </w:p>
        </w:tc>
      </w:tr>
      <w:tr w14:paraId="21F4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1" w:type="dxa"/>
            <w:shd w:val="clear" w:color="auto" w:fill="auto"/>
            <w:vAlign w:val="center"/>
          </w:tcPr>
          <w:p w14:paraId="0F59FDBD">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1</w:t>
            </w:r>
          </w:p>
        </w:tc>
        <w:tc>
          <w:tcPr>
            <w:tcW w:w="1679" w:type="dxa"/>
            <w:shd w:val="clear" w:color="auto" w:fill="auto"/>
            <w:vAlign w:val="center"/>
          </w:tcPr>
          <w:p w14:paraId="74A728B8">
            <w:pPr>
              <w:spacing w:line="360" w:lineRule="auto"/>
              <w:jc w:val="center"/>
              <w:rPr>
                <w:rFonts w:cs="仿宋"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洪桥</w:t>
            </w:r>
            <w:r>
              <w:rPr>
                <w:rFonts w:hint="eastAsia" w:cs="仿宋" w:asciiTheme="majorEastAsia" w:hAnsiTheme="majorEastAsia" w:eastAsiaTheme="majorEastAsia"/>
                <w:color w:val="auto"/>
                <w:sz w:val="24"/>
                <w:szCs w:val="24"/>
                <w:highlight w:val="none"/>
              </w:rPr>
              <w:t>点位</w:t>
            </w:r>
          </w:p>
        </w:tc>
        <w:tc>
          <w:tcPr>
            <w:tcW w:w="1520" w:type="dxa"/>
            <w:vAlign w:val="center"/>
          </w:tcPr>
          <w:p w14:paraId="5BD74F78">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视频智能识别</w:t>
            </w:r>
          </w:p>
        </w:tc>
        <w:tc>
          <w:tcPr>
            <w:tcW w:w="1820" w:type="dxa"/>
            <w:vAlign w:val="center"/>
          </w:tcPr>
          <w:p w14:paraId="681302BD">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w:t>
            </w:r>
          </w:p>
        </w:tc>
        <w:tc>
          <w:tcPr>
            <w:tcW w:w="3750" w:type="dxa"/>
            <w:vAlign w:val="center"/>
          </w:tcPr>
          <w:p w14:paraId="0D67F082">
            <w:pPr>
              <w:widowControl/>
              <w:jc w:val="center"/>
              <w:rPr>
                <w:rFonts w:asciiTheme="majorEastAsia" w:hAnsiTheme="majorEastAsia" w:eastAsiaTheme="majorEastAsia"/>
                <w:b/>
                <w:bCs/>
                <w:color w:val="auto"/>
                <w:sz w:val="24"/>
                <w:szCs w:val="24"/>
                <w:highlight w:val="none"/>
              </w:rPr>
            </w:pPr>
            <w:r>
              <w:rPr>
                <w:rFonts w:hint="eastAsia" w:cs="宋体" w:asciiTheme="majorEastAsia" w:hAnsiTheme="majorEastAsia" w:eastAsiaTheme="majorEastAsia"/>
                <w:color w:val="auto"/>
                <w:kern w:val="0"/>
                <w:sz w:val="24"/>
                <w:szCs w:val="24"/>
                <w:highlight w:val="none"/>
              </w:rPr>
              <w:t>工控机，全景相机，抓拍机，补光灯，星光枪，AIS终端，AIS串口服务器，应用平台服务器</w:t>
            </w:r>
          </w:p>
        </w:tc>
      </w:tr>
      <w:tr w14:paraId="199D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01" w:type="dxa"/>
            <w:shd w:val="clear" w:color="auto" w:fill="auto"/>
            <w:vAlign w:val="center"/>
          </w:tcPr>
          <w:p w14:paraId="5AF8E74D">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2</w:t>
            </w:r>
          </w:p>
        </w:tc>
        <w:tc>
          <w:tcPr>
            <w:tcW w:w="1679" w:type="dxa"/>
            <w:shd w:val="clear" w:color="auto" w:fill="auto"/>
            <w:vAlign w:val="center"/>
          </w:tcPr>
          <w:p w14:paraId="6199B585">
            <w:pPr>
              <w:spacing w:line="360" w:lineRule="auto"/>
              <w:jc w:val="center"/>
              <w:rPr>
                <w:rFonts w:cs="仿宋"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高铁桥</w:t>
            </w:r>
            <w:r>
              <w:rPr>
                <w:rFonts w:hint="eastAsia" w:cs="仿宋" w:asciiTheme="majorEastAsia" w:hAnsiTheme="majorEastAsia" w:eastAsiaTheme="majorEastAsia"/>
                <w:color w:val="auto"/>
                <w:sz w:val="24"/>
                <w:szCs w:val="24"/>
                <w:highlight w:val="none"/>
              </w:rPr>
              <w:t>点位</w:t>
            </w:r>
          </w:p>
        </w:tc>
        <w:tc>
          <w:tcPr>
            <w:tcW w:w="1520" w:type="dxa"/>
            <w:vAlign w:val="center"/>
          </w:tcPr>
          <w:p w14:paraId="323158A5">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三维激光</w:t>
            </w:r>
          </w:p>
        </w:tc>
        <w:tc>
          <w:tcPr>
            <w:tcW w:w="1820" w:type="dxa"/>
            <w:vAlign w:val="center"/>
          </w:tcPr>
          <w:p w14:paraId="3A0C877D">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w:t>
            </w:r>
          </w:p>
        </w:tc>
        <w:tc>
          <w:tcPr>
            <w:tcW w:w="3750" w:type="dxa"/>
            <w:vAlign w:val="center"/>
          </w:tcPr>
          <w:p w14:paraId="2041E5E5">
            <w:pPr>
              <w:widowControl/>
              <w:jc w:val="center"/>
              <w:rPr>
                <w:rFonts w:asciiTheme="majorEastAsia" w:hAnsiTheme="majorEastAsia" w:eastAsiaTheme="majorEastAsia"/>
                <w:b/>
                <w:bCs/>
                <w:color w:val="auto"/>
                <w:sz w:val="24"/>
                <w:szCs w:val="24"/>
                <w:highlight w:val="none"/>
              </w:rPr>
            </w:pPr>
            <w:r>
              <w:rPr>
                <w:rFonts w:hint="eastAsia" w:cs="宋体" w:asciiTheme="majorEastAsia" w:hAnsiTheme="majorEastAsia" w:eastAsiaTheme="majorEastAsia"/>
                <w:color w:val="auto"/>
                <w:kern w:val="0"/>
                <w:sz w:val="24"/>
                <w:szCs w:val="24"/>
                <w:highlight w:val="none"/>
              </w:rPr>
              <w:t>工控机，三维激光，全景相机，抓拍机，补光灯，硬盘录像机，AIS终端，AIS串口服务器，应用平台服务器，算法服务器</w:t>
            </w:r>
          </w:p>
        </w:tc>
      </w:tr>
      <w:tr w14:paraId="1473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01" w:type="dxa"/>
            <w:shd w:val="clear" w:color="auto" w:fill="auto"/>
            <w:vAlign w:val="center"/>
          </w:tcPr>
          <w:p w14:paraId="75C91B40">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w:t>
            </w:r>
          </w:p>
        </w:tc>
        <w:tc>
          <w:tcPr>
            <w:tcW w:w="1679" w:type="dxa"/>
            <w:shd w:val="clear" w:color="auto" w:fill="auto"/>
            <w:vAlign w:val="center"/>
          </w:tcPr>
          <w:p w14:paraId="10DED4A1">
            <w:pPr>
              <w:spacing w:line="360" w:lineRule="auto"/>
              <w:jc w:val="center"/>
              <w:rPr>
                <w:rFonts w:cs="仿宋"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茅材园</w:t>
            </w:r>
            <w:r>
              <w:rPr>
                <w:rFonts w:hint="eastAsia" w:cs="仿宋" w:asciiTheme="majorEastAsia" w:hAnsiTheme="majorEastAsia" w:eastAsiaTheme="majorEastAsia"/>
                <w:color w:val="auto"/>
                <w:sz w:val="24"/>
                <w:szCs w:val="24"/>
                <w:highlight w:val="none"/>
              </w:rPr>
              <w:t>点位</w:t>
            </w:r>
          </w:p>
        </w:tc>
        <w:tc>
          <w:tcPr>
            <w:tcW w:w="1520" w:type="dxa"/>
            <w:vAlign w:val="center"/>
          </w:tcPr>
          <w:p w14:paraId="533F7B6F">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三维激光</w:t>
            </w:r>
          </w:p>
        </w:tc>
        <w:tc>
          <w:tcPr>
            <w:tcW w:w="1820" w:type="dxa"/>
            <w:vAlign w:val="center"/>
          </w:tcPr>
          <w:p w14:paraId="0F4114B4">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w:t>
            </w:r>
          </w:p>
        </w:tc>
        <w:tc>
          <w:tcPr>
            <w:tcW w:w="3750" w:type="dxa"/>
            <w:vAlign w:val="center"/>
          </w:tcPr>
          <w:p w14:paraId="1DEADA7F">
            <w:pPr>
              <w:widowControl/>
              <w:jc w:val="center"/>
              <w:rPr>
                <w:rFonts w:asciiTheme="majorEastAsia" w:hAnsiTheme="majorEastAsia" w:eastAsiaTheme="majorEastAsia"/>
                <w:b/>
                <w:bCs/>
                <w:color w:val="auto"/>
                <w:sz w:val="24"/>
                <w:szCs w:val="24"/>
                <w:highlight w:val="none"/>
              </w:rPr>
            </w:pPr>
            <w:r>
              <w:rPr>
                <w:rFonts w:hint="eastAsia" w:cs="宋体" w:asciiTheme="majorEastAsia" w:hAnsiTheme="majorEastAsia" w:eastAsiaTheme="majorEastAsia"/>
                <w:color w:val="auto"/>
                <w:kern w:val="0"/>
                <w:sz w:val="24"/>
                <w:szCs w:val="24"/>
                <w:highlight w:val="none"/>
              </w:rPr>
              <w:t>工控机，三维激光，全景相机，抓拍机，补光灯，硬盘录像机，AIS终端，AIS串口服务器，应用平台服务器，算法服务器</w:t>
            </w:r>
          </w:p>
        </w:tc>
      </w:tr>
      <w:tr w14:paraId="3FAD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01" w:type="dxa"/>
            <w:shd w:val="clear" w:color="auto" w:fill="auto"/>
            <w:vAlign w:val="center"/>
          </w:tcPr>
          <w:p w14:paraId="2E82AC83">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4</w:t>
            </w:r>
          </w:p>
        </w:tc>
        <w:tc>
          <w:tcPr>
            <w:tcW w:w="1679" w:type="dxa"/>
            <w:shd w:val="clear" w:color="auto" w:fill="auto"/>
            <w:vAlign w:val="center"/>
          </w:tcPr>
          <w:p w14:paraId="04658D8C">
            <w:pPr>
              <w:spacing w:line="360" w:lineRule="auto"/>
              <w:jc w:val="center"/>
              <w:rPr>
                <w:rFonts w:cs="仿宋"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吕蒙大桥</w:t>
            </w:r>
            <w:r>
              <w:rPr>
                <w:rFonts w:hint="eastAsia" w:cs="仿宋" w:asciiTheme="majorEastAsia" w:hAnsiTheme="majorEastAsia" w:eastAsiaTheme="majorEastAsia"/>
                <w:color w:val="auto"/>
                <w:sz w:val="24"/>
                <w:szCs w:val="24"/>
                <w:highlight w:val="none"/>
              </w:rPr>
              <w:t>点位</w:t>
            </w:r>
          </w:p>
        </w:tc>
        <w:tc>
          <w:tcPr>
            <w:tcW w:w="1520" w:type="dxa"/>
            <w:vAlign w:val="center"/>
          </w:tcPr>
          <w:p w14:paraId="199AA2C8">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视频智能识别</w:t>
            </w:r>
          </w:p>
        </w:tc>
        <w:tc>
          <w:tcPr>
            <w:tcW w:w="1820" w:type="dxa"/>
            <w:vAlign w:val="center"/>
          </w:tcPr>
          <w:p w14:paraId="77D6E459">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w:t>
            </w:r>
          </w:p>
        </w:tc>
        <w:tc>
          <w:tcPr>
            <w:tcW w:w="3750" w:type="dxa"/>
            <w:vAlign w:val="center"/>
          </w:tcPr>
          <w:p w14:paraId="5CD95F3F">
            <w:pPr>
              <w:widowControl/>
              <w:jc w:val="center"/>
              <w:rPr>
                <w:rFonts w:asciiTheme="majorEastAsia" w:hAnsiTheme="majorEastAsia" w:eastAsiaTheme="majorEastAsia"/>
                <w:b/>
                <w:bCs/>
                <w:color w:val="auto"/>
                <w:sz w:val="24"/>
                <w:szCs w:val="24"/>
                <w:highlight w:val="none"/>
              </w:rPr>
            </w:pPr>
            <w:r>
              <w:rPr>
                <w:rFonts w:hint="eastAsia" w:cs="宋体" w:asciiTheme="majorEastAsia" w:hAnsiTheme="majorEastAsia" w:eastAsiaTheme="majorEastAsia"/>
                <w:color w:val="auto"/>
                <w:kern w:val="0"/>
                <w:sz w:val="24"/>
                <w:szCs w:val="24"/>
                <w:highlight w:val="none"/>
              </w:rPr>
              <w:t>工控机，全景相机，抓拍机，补光灯，硬盘录像机，AIS终端，AIS串口服务器，应用平台服务器，算法服务器</w:t>
            </w:r>
          </w:p>
        </w:tc>
      </w:tr>
      <w:tr w14:paraId="000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01" w:type="dxa"/>
            <w:shd w:val="clear" w:color="auto" w:fill="auto"/>
            <w:vAlign w:val="center"/>
          </w:tcPr>
          <w:p w14:paraId="17E2B5F9">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5</w:t>
            </w:r>
          </w:p>
        </w:tc>
        <w:tc>
          <w:tcPr>
            <w:tcW w:w="1679" w:type="dxa"/>
            <w:shd w:val="clear" w:color="auto" w:fill="auto"/>
            <w:vAlign w:val="center"/>
          </w:tcPr>
          <w:p w14:paraId="43C67FF6">
            <w:pPr>
              <w:spacing w:line="360" w:lineRule="auto"/>
              <w:jc w:val="center"/>
              <w:rPr>
                <w:rFonts w:cs="仿宋"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吴山大桥</w:t>
            </w:r>
            <w:r>
              <w:rPr>
                <w:rFonts w:hint="eastAsia" w:cs="仿宋" w:asciiTheme="majorEastAsia" w:hAnsiTheme="majorEastAsia" w:eastAsiaTheme="majorEastAsia"/>
                <w:color w:val="auto"/>
                <w:sz w:val="24"/>
                <w:szCs w:val="24"/>
                <w:highlight w:val="none"/>
              </w:rPr>
              <w:t>点位</w:t>
            </w:r>
          </w:p>
        </w:tc>
        <w:tc>
          <w:tcPr>
            <w:tcW w:w="1520" w:type="dxa"/>
            <w:vAlign w:val="center"/>
          </w:tcPr>
          <w:p w14:paraId="791DD8FD">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三维激光</w:t>
            </w:r>
          </w:p>
        </w:tc>
        <w:tc>
          <w:tcPr>
            <w:tcW w:w="1820" w:type="dxa"/>
            <w:vAlign w:val="center"/>
          </w:tcPr>
          <w:p w14:paraId="71DAA5A1">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w:t>
            </w:r>
          </w:p>
        </w:tc>
        <w:tc>
          <w:tcPr>
            <w:tcW w:w="3750" w:type="dxa"/>
            <w:vAlign w:val="center"/>
          </w:tcPr>
          <w:p w14:paraId="328089CB">
            <w:pPr>
              <w:widowControl/>
              <w:jc w:val="center"/>
              <w:rPr>
                <w:rFonts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kern w:val="0"/>
                <w:sz w:val="24"/>
                <w:szCs w:val="24"/>
                <w:highlight w:val="none"/>
              </w:rPr>
              <w:t>工控机，三维激光，全景相机，抓拍机，补光灯，硬盘录像机，AIS终端，AIS串口服务器，应用平台服务器，算法服务器</w:t>
            </w:r>
          </w:p>
        </w:tc>
      </w:tr>
      <w:tr w14:paraId="0650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01" w:type="dxa"/>
            <w:shd w:val="clear" w:color="auto" w:fill="auto"/>
            <w:vAlign w:val="center"/>
          </w:tcPr>
          <w:p w14:paraId="61E46AEC">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w:t>
            </w:r>
          </w:p>
        </w:tc>
        <w:tc>
          <w:tcPr>
            <w:tcW w:w="1679" w:type="dxa"/>
            <w:shd w:val="clear" w:color="auto" w:fill="auto"/>
            <w:vAlign w:val="center"/>
          </w:tcPr>
          <w:p w14:paraId="6636B790">
            <w:pPr>
              <w:spacing w:line="360" w:lineRule="auto"/>
              <w:jc w:val="center"/>
              <w:rPr>
                <w:rFonts w:cs="仿宋"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和平站</w:t>
            </w:r>
            <w:r>
              <w:rPr>
                <w:rFonts w:hint="eastAsia" w:cs="仿宋" w:asciiTheme="majorEastAsia" w:hAnsiTheme="majorEastAsia" w:eastAsiaTheme="majorEastAsia"/>
                <w:color w:val="auto"/>
                <w:sz w:val="24"/>
                <w:szCs w:val="24"/>
                <w:highlight w:val="none"/>
              </w:rPr>
              <w:t>点位</w:t>
            </w:r>
          </w:p>
        </w:tc>
        <w:tc>
          <w:tcPr>
            <w:tcW w:w="1520" w:type="dxa"/>
            <w:vAlign w:val="center"/>
          </w:tcPr>
          <w:p w14:paraId="483D923A">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三维激光</w:t>
            </w:r>
          </w:p>
        </w:tc>
        <w:tc>
          <w:tcPr>
            <w:tcW w:w="1820" w:type="dxa"/>
            <w:vAlign w:val="center"/>
          </w:tcPr>
          <w:p w14:paraId="7F8AA7F3">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w:t>
            </w:r>
          </w:p>
        </w:tc>
        <w:tc>
          <w:tcPr>
            <w:tcW w:w="3750" w:type="dxa"/>
            <w:vAlign w:val="center"/>
          </w:tcPr>
          <w:p w14:paraId="416365A6">
            <w:pPr>
              <w:widowControl/>
              <w:jc w:val="center"/>
              <w:rPr>
                <w:rFonts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kern w:val="0"/>
                <w:sz w:val="24"/>
                <w:szCs w:val="24"/>
                <w:highlight w:val="none"/>
              </w:rPr>
              <w:t>工控机，三维激光，全景相机，抓拍机，补光灯，硬盘录像机，AIS终端，AIS串口服务器，应用平台服务器，算法服务器</w:t>
            </w:r>
          </w:p>
        </w:tc>
      </w:tr>
      <w:tr w14:paraId="24AD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01" w:type="dxa"/>
            <w:shd w:val="clear" w:color="auto" w:fill="auto"/>
            <w:vAlign w:val="center"/>
          </w:tcPr>
          <w:p w14:paraId="19BD2C56">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7</w:t>
            </w:r>
          </w:p>
        </w:tc>
        <w:tc>
          <w:tcPr>
            <w:tcW w:w="1679" w:type="dxa"/>
            <w:shd w:val="clear" w:color="auto" w:fill="auto"/>
            <w:vAlign w:val="center"/>
          </w:tcPr>
          <w:p w14:paraId="699E520A">
            <w:pPr>
              <w:spacing w:line="360" w:lineRule="auto"/>
              <w:jc w:val="center"/>
              <w:rPr>
                <w:rFonts w:cs="仿宋"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小浦</w:t>
            </w:r>
            <w:r>
              <w:rPr>
                <w:rFonts w:hint="eastAsia" w:cs="仿宋" w:asciiTheme="majorEastAsia" w:hAnsiTheme="majorEastAsia" w:eastAsiaTheme="majorEastAsia"/>
                <w:color w:val="auto"/>
                <w:sz w:val="24"/>
                <w:szCs w:val="24"/>
                <w:highlight w:val="none"/>
              </w:rPr>
              <w:t>点位</w:t>
            </w:r>
          </w:p>
        </w:tc>
        <w:tc>
          <w:tcPr>
            <w:tcW w:w="1520" w:type="dxa"/>
            <w:vAlign w:val="center"/>
          </w:tcPr>
          <w:p w14:paraId="4D5B3684">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三维激光</w:t>
            </w:r>
          </w:p>
        </w:tc>
        <w:tc>
          <w:tcPr>
            <w:tcW w:w="1820" w:type="dxa"/>
            <w:vAlign w:val="center"/>
          </w:tcPr>
          <w:p w14:paraId="58B68F05">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w:t>
            </w:r>
          </w:p>
        </w:tc>
        <w:tc>
          <w:tcPr>
            <w:tcW w:w="3750" w:type="dxa"/>
            <w:vAlign w:val="center"/>
          </w:tcPr>
          <w:p w14:paraId="5193A6EA">
            <w:pPr>
              <w:spacing w:line="360" w:lineRule="auto"/>
              <w:rPr>
                <w:rFonts w:cs="仿宋"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kern w:val="0"/>
                <w:sz w:val="24"/>
                <w:szCs w:val="24"/>
                <w:highlight w:val="none"/>
              </w:rPr>
              <w:t>工控机，三维激光，全景相机，抓拍机，补光灯，硬盘录像机，AIS终端，AIS串口服务器，应用平台服务器，算法服务器</w:t>
            </w:r>
          </w:p>
        </w:tc>
      </w:tr>
      <w:tr w14:paraId="5A56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01" w:type="dxa"/>
            <w:shd w:val="clear" w:color="auto" w:fill="auto"/>
            <w:vAlign w:val="center"/>
          </w:tcPr>
          <w:p w14:paraId="7973B7D0">
            <w:pPr>
              <w:spacing w:line="360" w:lineRule="auto"/>
              <w:jc w:val="center"/>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8</w:t>
            </w:r>
          </w:p>
        </w:tc>
        <w:tc>
          <w:tcPr>
            <w:tcW w:w="1679" w:type="dxa"/>
            <w:shd w:val="clear" w:color="auto" w:fill="auto"/>
            <w:vAlign w:val="center"/>
          </w:tcPr>
          <w:p w14:paraId="05B417A4">
            <w:pPr>
              <w:spacing w:line="360" w:lineRule="auto"/>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泗湖线</w:t>
            </w:r>
            <w:r>
              <w:rPr>
                <w:rFonts w:hint="eastAsia" w:cs="仿宋" w:asciiTheme="majorEastAsia" w:hAnsiTheme="majorEastAsia" w:eastAsiaTheme="majorEastAsia"/>
                <w:color w:val="auto"/>
                <w:sz w:val="24"/>
                <w:szCs w:val="24"/>
                <w:highlight w:val="none"/>
              </w:rPr>
              <w:t>点位</w:t>
            </w:r>
          </w:p>
        </w:tc>
        <w:tc>
          <w:tcPr>
            <w:tcW w:w="1520" w:type="dxa"/>
            <w:vAlign w:val="center"/>
          </w:tcPr>
          <w:p w14:paraId="47727FF2">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视频智能识别</w:t>
            </w:r>
          </w:p>
        </w:tc>
        <w:tc>
          <w:tcPr>
            <w:tcW w:w="1820" w:type="dxa"/>
            <w:vAlign w:val="center"/>
          </w:tcPr>
          <w:p w14:paraId="2F6C4B1A">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w:t>
            </w:r>
          </w:p>
        </w:tc>
        <w:tc>
          <w:tcPr>
            <w:tcW w:w="3750" w:type="dxa"/>
            <w:vAlign w:val="center"/>
          </w:tcPr>
          <w:p w14:paraId="2A767BF9">
            <w:pPr>
              <w:spacing w:line="360" w:lineRule="auto"/>
              <w:rPr>
                <w:rFonts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kern w:val="0"/>
                <w:sz w:val="24"/>
                <w:szCs w:val="24"/>
                <w:highlight w:val="none"/>
              </w:rPr>
              <w:t>工控机，全景相机，抓拍机，补光灯，星光枪，AIS终端，AIS串口服务器，应用平台服务器</w:t>
            </w:r>
          </w:p>
        </w:tc>
      </w:tr>
    </w:tbl>
    <w:p w14:paraId="767ADAD9">
      <w:pPr>
        <w:pStyle w:val="53"/>
        <w:snapToGrid w:val="0"/>
        <w:spacing w:line="360" w:lineRule="auto"/>
        <w:ind w:firstLine="480" w:firstLineChars="200"/>
        <w:rPr>
          <w:rFonts w:cs="仿宋" w:asciiTheme="majorEastAsia" w:hAnsiTheme="majorEastAsia" w:eastAsiaTheme="majorEastAsia"/>
          <w:color w:val="auto"/>
          <w:sz w:val="24"/>
          <w:szCs w:val="24"/>
          <w:highlight w:val="none"/>
        </w:rPr>
      </w:pPr>
    </w:p>
    <w:p w14:paraId="66EEB145">
      <w:pPr>
        <w:spacing w:line="360" w:lineRule="auto"/>
        <w:rPr>
          <w:rFonts w:cs="宋体" w:asciiTheme="majorEastAsia" w:hAnsiTheme="majorEastAsia" w:eastAsiaTheme="majorEastAsia"/>
          <w:b/>
          <w:color w:val="auto"/>
          <w:sz w:val="24"/>
          <w:szCs w:val="24"/>
          <w:highlight w:val="none"/>
        </w:rPr>
      </w:pPr>
      <w:r>
        <w:rPr>
          <w:rFonts w:cs="宋体" w:asciiTheme="majorEastAsia" w:hAnsiTheme="majorEastAsia" w:eastAsiaTheme="majorEastAsia"/>
          <w:b/>
          <w:color w:val="auto"/>
          <w:sz w:val="24"/>
          <w:szCs w:val="24"/>
          <w:highlight w:val="none"/>
        </w:rPr>
        <w:t>（三）</w:t>
      </w:r>
      <w:r>
        <w:rPr>
          <w:rFonts w:hint="eastAsia" w:cs="宋体" w:asciiTheme="majorEastAsia" w:hAnsiTheme="majorEastAsia" w:eastAsiaTheme="majorEastAsia"/>
          <w:b/>
          <w:color w:val="auto"/>
          <w:sz w:val="24"/>
          <w:szCs w:val="24"/>
          <w:highlight w:val="none"/>
        </w:rPr>
        <w:t>巡检维护保修要求</w:t>
      </w:r>
    </w:p>
    <w:p w14:paraId="5BD97C8B">
      <w:pPr>
        <w:snapToGrid w:val="0"/>
        <w:spacing w:line="360" w:lineRule="auto"/>
        <w:ind w:firstLine="482" w:firstLineChars="20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1、总体要求</w:t>
      </w:r>
    </w:p>
    <w:p w14:paraId="1458C920">
      <w:pPr>
        <w:snapToGrid w:val="0"/>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维保单位定期做好点位的巡检工作，如遇故障以及安全隐患自行进行修复并进行记录。业主单位如发现故障拨打维护单位公布的维修电话报障后，维护单位立即按业主单位要求和维护流程对故障按时进行修复。</w:t>
      </w:r>
    </w:p>
    <w:p w14:paraId="05FF9F5F">
      <w:pPr>
        <w:snapToGrid w:val="0"/>
        <w:spacing w:line="360" w:lineRule="auto"/>
        <w:ind w:firstLine="482" w:firstLineChars="20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2、备品备件及材料供应要求</w:t>
      </w:r>
    </w:p>
    <w:p w14:paraId="02D27A92">
      <w:pPr>
        <w:snapToGrid w:val="0"/>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本维护项目所需的备品备件设备应通过采购人确认，并确保优质设备与材料。</w:t>
      </w:r>
    </w:p>
    <w:p w14:paraId="780014F8">
      <w:pPr>
        <w:snapToGrid w:val="0"/>
        <w:spacing w:line="360" w:lineRule="auto"/>
        <w:ind w:firstLine="482" w:firstLineChars="20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3、备品备件设备及安装材料管理要求</w:t>
      </w:r>
    </w:p>
    <w:p w14:paraId="3AF17D3F">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3.1本维护项目根据实际情况，在维保单位设置材料库。由维保单位专人管理。</w:t>
      </w:r>
    </w:p>
    <w:p w14:paraId="35D02FDA">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3.2项目物资质量是保证项目质量的根本，施工过程中做到对所用设备、材料的搬运、保管、检验、安装及交付实施全过程的控制。发现有损坏、丢失、型号不符时，应立即通知建设单位项目师代表及供货方确认并予以标识。</w:t>
      </w:r>
    </w:p>
    <w:p w14:paraId="36CCF27A">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3.3本项目设中心设备库，配备设备管理项目师及必要的管理硬件，库房达到三防条件（防雨、防火、防盗）并满足电子产品贮存的温度湿度要求，场地则实现硬化。</w:t>
      </w:r>
    </w:p>
    <w:p w14:paraId="6A181B7A">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3.4严禁采购非标产品。对物资供方要进行评审，信誉低且不能按时供货和不提供保修的供方物资不予采购。对设备到货开箱后的清单，采用计算机储存管理。对设备配件、设备的领取数量、安装地点、安装时间、领取人以及到货日期等均纳入计算机管理，以防混乱丢失。</w:t>
      </w:r>
    </w:p>
    <w:p w14:paraId="42C8C4E7">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3.5囤放期间需要保养的设备设专人定期保养。设备搬运轻拿轻放，严格按照产品要求的搬运方式操作。</w:t>
      </w:r>
    </w:p>
    <w:p w14:paraId="525A5B42">
      <w:pPr>
        <w:spacing w:line="360" w:lineRule="auto"/>
        <w:ind w:firstLine="482" w:firstLineChars="20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4、维护制度要求</w:t>
      </w:r>
    </w:p>
    <w:p w14:paraId="63F076F3">
      <w:pPr>
        <w:spacing w:line="360" w:lineRule="auto"/>
        <w:ind w:firstLine="480" w:firstLineChars="200"/>
        <w:rPr>
          <w:rFonts w:cs="仿宋" w:asciiTheme="majorEastAsia" w:hAnsiTheme="majorEastAsia" w:eastAsiaTheme="majorEastAsia"/>
          <w:color w:val="auto"/>
          <w:sz w:val="24"/>
          <w:szCs w:val="24"/>
          <w:highlight w:val="none"/>
        </w:rPr>
      </w:pPr>
      <w:bookmarkStart w:id="49" w:name="_Toc362262384"/>
      <w:r>
        <w:rPr>
          <w:rFonts w:hint="eastAsia" w:cs="仿宋" w:asciiTheme="majorEastAsia" w:hAnsiTheme="majorEastAsia" w:eastAsiaTheme="majorEastAsia"/>
          <w:color w:val="auto"/>
          <w:sz w:val="24"/>
          <w:szCs w:val="24"/>
          <w:highlight w:val="none"/>
        </w:rPr>
        <w:t>A、维护制度</w:t>
      </w:r>
      <w:bookmarkEnd w:id="49"/>
    </w:p>
    <w:p w14:paraId="3A3C16D4">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设备巡检</w:t>
      </w:r>
    </w:p>
    <w:p w14:paraId="110C3B1C">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每季度对维护清单内所有站点的设备进行一次现场巡检，检查设备运行状况和现场使用情况并填写巡检单。</w:t>
      </w:r>
    </w:p>
    <w:p w14:paraId="7245CABC">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设备巡检内容：</w:t>
      </w:r>
    </w:p>
    <w:p w14:paraId="213F5E81">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对项目内的电气设备给予清尘、清洁和检查。及时发现故障、隐患并及时处理解决，把故障清除在萌芽状态，避免扩大故障范围。维保周期内要对所有设备进行必要的保养和安全漏洞升级工作，并做好保养、维护的记录。如有发现损坏和破坏的设备则按规定时限予以修复。</w:t>
      </w:r>
    </w:p>
    <w:p w14:paraId="01D50CBB">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对每个设备布置点外围相关设施进行巡检维护，主要查看基础设施、控制设备等有无遭到破坏以及是否整洁。并做好巡检维护记录。</w:t>
      </w:r>
    </w:p>
    <w:p w14:paraId="29BC7D51">
      <w:pPr>
        <w:pStyle w:val="31"/>
        <w:spacing w:line="360" w:lineRule="auto"/>
        <w:ind w:left="0"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B、每日对自动核查平台进行巡检，并建立巡检台账。确保自动核查平台与省“数字海事”平台上下行数据交互通达、安全、完整无故障。并确保依赖平台的执法业务安全、高效有序开展。年报修故障率小于5%。故障恢复小于12小时。</w:t>
      </w:r>
      <w:bookmarkStart w:id="50" w:name="_Toc362262385"/>
      <w:r>
        <w:rPr>
          <w:rFonts w:hint="eastAsia" w:cs="仿宋" w:asciiTheme="majorEastAsia" w:hAnsiTheme="majorEastAsia" w:eastAsiaTheme="majorEastAsia"/>
          <w:color w:val="auto"/>
          <w:sz w:val="24"/>
          <w:szCs w:val="24"/>
          <w:highlight w:val="none"/>
        </w:rPr>
        <w:t>对设备系统、数据库、中间件及附属软件进行免费升级、补丁并配合做好上级下达的攻防演练工作，确保网络（含终端网络设备）、数据及系统安全。</w:t>
      </w:r>
    </w:p>
    <w:p w14:paraId="18592EF7">
      <w:pPr>
        <w:pStyle w:val="31"/>
        <w:spacing w:line="360" w:lineRule="auto"/>
        <w:ind w:left="0"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C、重大事件报告制度</w:t>
      </w:r>
      <w:bookmarkEnd w:id="50"/>
    </w:p>
    <w:p w14:paraId="1D12F79F">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重大事件报告</w:t>
      </w:r>
      <w:r>
        <w:rPr>
          <w:rFonts w:hint="eastAsia" w:cs="仿宋" w:asciiTheme="majorEastAsia" w:hAnsiTheme="majorEastAsia" w:eastAsiaTheme="majorEastAsia"/>
          <w:color w:val="auto"/>
          <w:sz w:val="24"/>
          <w:szCs w:val="24"/>
          <w:highlight w:val="none"/>
          <w:lang w:eastAsia="zh-CN"/>
        </w:rPr>
        <w:t>：</w:t>
      </w:r>
    </w:p>
    <w:p w14:paraId="28F72E07">
      <w:pPr>
        <w:spacing w:line="360" w:lineRule="auto"/>
        <w:ind w:firstLine="480" w:firstLineChars="200"/>
        <w:rPr>
          <w:rFonts w:cs="仿宋" w:asciiTheme="majorEastAsia" w:hAnsiTheme="majorEastAsia" w:eastAsiaTheme="majorEastAsia"/>
          <w:color w:val="auto"/>
          <w:sz w:val="24"/>
          <w:szCs w:val="24"/>
          <w:highlight w:val="none"/>
        </w:rPr>
      </w:pPr>
      <w:bookmarkStart w:id="51" w:name="_Toc301347101"/>
      <w:r>
        <w:rPr>
          <w:rFonts w:hint="eastAsia" w:cs="仿宋" w:asciiTheme="majorEastAsia" w:hAnsiTheme="majorEastAsia" w:eastAsiaTheme="majorEastAsia"/>
          <w:color w:val="auto"/>
          <w:sz w:val="24"/>
          <w:szCs w:val="24"/>
          <w:highlight w:val="none"/>
        </w:rPr>
        <w:t>若在系统巡检及维护中，发现重大事件必须第一时间同时以电话和书面邮件的形式上报，维护单位负责人应迅速赶往突发事件现场，立即对现场进行处理并判断该事件为一般突发事件或重大突发事件，20分钟内给出相应对的措施，杜绝事态发展的扩大，以最大的程度降低损失。</w:t>
      </w:r>
    </w:p>
    <w:p w14:paraId="49089C61">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重大事件报告范围</w:t>
      </w:r>
    </w:p>
    <w:bookmarkEnd w:id="51"/>
    <w:p w14:paraId="598D05CC">
      <w:pPr>
        <w:spacing w:line="360" w:lineRule="auto"/>
        <w:ind w:firstLine="480" w:firstLineChars="200"/>
        <w:rPr>
          <w:rFonts w:cs="仿宋" w:asciiTheme="majorEastAsia" w:hAnsiTheme="majorEastAsia" w:eastAsiaTheme="majorEastAsia"/>
          <w:color w:val="auto"/>
          <w:sz w:val="24"/>
          <w:szCs w:val="24"/>
          <w:highlight w:val="none"/>
        </w:rPr>
      </w:pPr>
      <w:bookmarkStart w:id="52" w:name="_Toc146976874"/>
      <w:bookmarkStart w:id="53" w:name="_Toc417199911"/>
      <w:bookmarkStart w:id="54" w:name="_Toc146542426"/>
      <w:bookmarkStart w:id="55" w:name="_Toc83731445"/>
      <w:bookmarkStart w:id="56" w:name="_Toc362262386"/>
      <w:bookmarkStart w:id="57" w:name="_Toc83961371"/>
      <w:bookmarkStart w:id="58" w:name="_Toc272758284"/>
      <w:bookmarkStart w:id="59" w:name="_Toc334704355"/>
      <w:bookmarkStart w:id="60" w:name="_Toc75153787"/>
      <w:bookmarkStart w:id="61" w:name="_Toc47160465"/>
      <w:bookmarkStart w:id="62" w:name="_Toc47668761"/>
      <w:bookmarkStart w:id="63" w:name="_Toc40149594"/>
      <w:bookmarkStart w:id="64" w:name="_Toc417202777"/>
      <w:r>
        <w:rPr>
          <w:rFonts w:hint="eastAsia" w:cs="仿宋" w:asciiTheme="majorEastAsia" w:hAnsiTheme="majorEastAsia" w:eastAsiaTheme="majorEastAsia"/>
          <w:color w:val="auto"/>
          <w:sz w:val="24"/>
          <w:szCs w:val="24"/>
          <w:highlight w:val="none"/>
        </w:rPr>
        <w:t xml:space="preserve">①出现重大设备故障影响重大保卫或活动任务正常进行的，无法在规定的维修时间内修复； </w:t>
      </w:r>
    </w:p>
    <w:p w14:paraId="10A48D65">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②出现案件查询，录像视频资料均无法查询到，原因是设备存在故障未能巡查发现或已知存在故障但未修复，将产生较大社会影响； </w:t>
      </w:r>
    </w:p>
    <w:p w14:paraId="0743A8B6">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③因不可抗力等突发原因，如停电、光缆通信中断和雷暴雨、台风等灾害性天气等，造成一定数量设备不能正常，多个设备损坏严重，报废或无法修复的； </w:t>
      </w:r>
    </w:p>
    <w:p w14:paraId="632B9135">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④因需道路封闭、无备品备件替换、光电缆及设备被盗等各种原因造成无法在规定维修时间内修复故障的；</w:t>
      </w:r>
    </w:p>
    <w:p w14:paraId="2ABDD281">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⑤出现危及人身安全、设备安全的问题或出现事故征兆等异常情况；</w:t>
      </w:r>
    </w:p>
    <w:p w14:paraId="4CD91E62">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⑥发生设备、工程车辆以及人身安全事故；</w:t>
      </w:r>
    </w:p>
    <w:p w14:paraId="578932DF">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⑦上级部门、上级领导下达的指示、要求、处置后的情况；</w:t>
      </w:r>
    </w:p>
    <w:p w14:paraId="4565E7B6">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⑧其它需要报告的事件。</w:t>
      </w:r>
    </w:p>
    <w:p w14:paraId="4C64D695">
      <w:pPr>
        <w:spacing w:line="360" w:lineRule="auto"/>
        <w:ind w:firstLine="482" w:firstLineChars="20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5、服务响</w:t>
      </w:r>
      <w:bookmarkEnd w:id="52"/>
      <w:bookmarkEnd w:id="53"/>
      <w:bookmarkEnd w:id="54"/>
      <w:bookmarkEnd w:id="55"/>
      <w:bookmarkEnd w:id="56"/>
      <w:bookmarkEnd w:id="57"/>
      <w:bookmarkEnd w:id="58"/>
      <w:bookmarkEnd w:id="59"/>
      <w:bookmarkEnd w:id="60"/>
      <w:bookmarkEnd w:id="61"/>
      <w:bookmarkEnd w:id="62"/>
      <w:bookmarkEnd w:id="63"/>
      <w:r>
        <w:rPr>
          <w:rFonts w:hint="eastAsia" w:cs="仿宋" w:asciiTheme="majorEastAsia" w:hAnsiTheme="majorEastAsia" w:eastAsiaTheme="majorEastAsia"/>
          <w:b/>
          <w:bCs/>
          <w:color w:val="auto"/>
          <w:sz w:val="24"/>
          <w:szCs w:val="24"/>
          <w:highlight w:val="none"/>
        </w:rPr>
        <w:t>应</w:t>
      </w:r>
      <w:bookmarkEnd w:id="64"/>
      <w:r>
        <w:rPr>
          <w:rFonts w:hint="eastAsia" w:cs="仿宋" w:asciiTheme="majorEastAsia" w:hAnsiTheme="majorEastAsia" w:eastAsiaTheme="majorEastAsia"/>
          <w:b/>
          <w:bCs/>
          <w:color w:val="auto"/>
          <w:sz w:val="24"/>
          <w:szCs w:val="24"/>
          <w:highlight w:val="none"/>
        </w:rPr>
        <w:t>要求</w:t>
      </w:r>
    </w:p>
    <w:p w14:paraId="2F64167F">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5.1每次维护时维护单位须预先通知业主单位维护联系人；</w:t>
      </w:r>
    </w:p>
    <w:p w14:paraId="4B2F11CA">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5.2及时填写维护记录、及时填写反馈维修情况报告； </w:t>
      </w:r>
    </w:p>
    <w:p w14:paraId="08B62573">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5.3配件材料交接应有双方经手人的签名；</w:t>
      </w:r>
    </w:p>
    <w:p w14:paraId="6FAEDAED">
      <w:pPr>
        <w:spacing w:line="360" w:lineRule="auto"/>
        <w:ind w:firstLine="480" w:firstLineChars="200"/>
        <w:rPr>
          <w:rFonts w:cs="仿宋" w:asciiTheme="majorEastAsia" w:hAnsiTheme="majorEastAsia" w:eastAsiaTheme="majorEastAsia"/>
          <w:color w:val="auto"/>
          <w:sz w:val="24"/>
          <w:szCs w:val="24"/>
          <w:highlight w:val="none"/>
        </w:rPr>
      </w:pPr>
      <w:bookmarkStart w:id="65" w:name="_Toc362262388"/>
      <w:r>
        <w:rPr>
          <w:rFonts w:hint="eastAsia" w:cs="仿宋" w:asciiTheme="majorEastAsia" w:hAnsiTheme="majorEastAsia" w:eastAsiaTheme="majorEastAsia"/>
          <w:color w:val="auto"/>
          <w:sz w:val="24"/>
          <w:szCs w:val="24"/>
          <w:highlight w:val="none"/>
        </w:rPr>
        <w:t>5.4服务响应时间</w:t>
      </w:r>
      <w:bookmarkEnd w:id="65"/>
    </w:p>
    <w:p w14:paraId="6EF46A1C">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1）对现场故障7*24小时电话响应。</w:t>
      </w:r>
    </w:p>
    <w:p w14:paraId="2DCE0302">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2）当有故障申报时，应做到2小时内电话响应。</w:t>
      </w:r>
    </w:p>
    <w:p w14:paraId="21AD3939">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故障修复时间：2小时内到达故障现场，若不能在12小时内解决故障，供应商提供系统兼容、性能参数不低于原设备的备件产品进行替换。重大事故（8个以上摄像点不能正常工作）48小时内修复，若48小时内不能解决，供应商提供系统兼容、性能参数不低于原设备的当下主流产品进行替换，保证系统不中断运行。</w:t>
      </w:r>
    </w:p>
    <w:p w14:paraId="1F9ED10F">
      <w:pPr>
        <w:spacing w:line="360" w:lineRule="auto"/>
        <w:ind w:firstLine="482" w:firstLineChars="20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6、维护机构要求</w:t>
      </w:r>
    </w:p>
    <w:p w14:paraId="6BE98C46">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6.1本项目要求维护单位设置专门的维护小组，并配备有相关维护所需的工器具、车辆、办公用品等。</w:t>
      </w:r>
    </w:p>
    <w:p w14:paraId="3252BB75">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6.2维护小组应设立相应的工作规章制度、维护服务制度等配套规章制度。</w:t>
      </w:r>
    </w:p>
    <w:p w14:paraId="60F4C239">
      <w:pPr>
        <w:spacing w:line="360" w:lineRule="auto"/>
        <w:ind w:firstLine="482" w:firstLineChars="200"/>
        <w:rPr>
          <w:rFonts w:cs="仿宋" w:asciiTheme="majorEastAsia" w:hAnsiTheme="majorEastAsia" w:eastAsiaTheme="majorEastAsia"/>
          <w:b/>
          <w:bCs/>
          <w:color w:val="auto"/>
          <w:sz w:val="24"/>
          <w:szCs w:val="24"/>
          <w:highlight w:val="none"/>
        </w:rPr>
      </w:pPr>
      <w:bookmarkStart w:id="66" w:name="_Toc334704356"/>
      <w:bookmarkStart w:id="67" w:name="_Toc362262389"/>
      <w:bookmarkStart w:id="68" w:name="_Toc417202778"/>
      <w:bookmarkStart w:id="69" w:name="_Toc417199912"/>
      <w:r>
        <w:rPr>
          <w:rFonts w:hint="eastAsia" w:cs="仿宋" w:asciiTheme="majorEastAsia" w:hAnsiTheme="majorEastAsia" w:eastAsiaTheme="majorEastAsia"/>
          <w:b/>
          <w:bCs/>
          <w:color w:val="auto"/>
          <w:sz w:val="24"/>
          <w:szCs w:val="24"/>
          <w:highlight w:val="none"/>
        </w:rPr>
        <w:t>7、维护人员</w:t>
      </w:r>
      <w:bookmarkEnd w:id="66"/>
      <w:bookmarkEnd w:id="67"/>
      <w:bookmarkEnd w:id="68"/>
      <w:bookmarkEnd w:id="69"/>
      <w:r>
        <w:rPr>
          <w:rFonts w:hint="eastAsia" w:cs="仿宋" w:asciiTheme="majorEastAsia" w:hAnsiTheme="majorEastAsia" w:eastAsiaTheme="majorEastAsia"/>
          <w:b/>
          <w:bCs/>
          <w:color w:val="auto"/>
          <w:sz w:val="24"/>
          <w:szCs w:val="24"/>
          <w:highlight w:val="none"/>
        </w:rPr>
        <w:t>要求</w:t>
      </w:r>
    </w:p>
    <w:p w14:paraId="7F01EC0E">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本项目应设立指定维护服务班组成员，维护服务班组成员应具备相关专业基础知识，并具有3年以上相关专业维护服务经验。项目班组包括但不局限于1名总体负责人，1名维护技术负责人，1名维护组成员。</w:t>
      </w:r>
    </w:p>
    <w:p w14:paraId="4671A737">
      <w:pPr>
        <w:spacing w:line="360" w:lineRule="auto"/>
        <w:ind w:firstLine="482" w:firstLineChars="20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8、其他维护要求</w:t>
      </w:r>
    </w:p>
    <w:p w14:paraId="53E594CE">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A、维护期内基本维护服务</w:t>
      </w:r>
    </w:p>
    <w:p w14:paraId="402B255D">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a)技术支持</w:t>
      </w:r>
    </w:p>
    <w:p w14:paraId="6AE49C86">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维保单位向用户提供全年365天，每周7天，每天24小时的电话技术支持。</w:t>
      </w:r>
    </w:p>
    <w:p w14:paraId="18B6E7EF">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b)故障诊断</w:t>
      </w:r>
    </w:p>
    <w:p w14:paraId="407AB13C">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按照故障严重程度定义用户系统故障级别，根据故障级别分别安排故障排除服务。     </w:t>
      </w:r>
    </w:p>
    <w:p w14:paraId="371BA263">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B、清洁清理服务</w:t>
      </w:r>
    </w:p>
    <w:p w14:paraId="33545EEB">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对项目内的电气设备给予清尘、清洁和检查。及时发现故障、隐患并及时处理解决，把故障清除在萌芽状态。避免扩大故障范围。保养周期内要对所有设备进行必要的保养；擦拭防护罩，前视玻璃的除尘等。并做好保养、维护的记录。</w:t>
      </w:r>
    </w:p>
    <w:p w14:paraId="55615646">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C、系统优化和升级</w:t>
      </w:r>
    </w:p>
    <w:p w14:paraId="19B7DD5C">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对于业主提出的本项目以外的合理需求，包括但不仅限于点位迁移、设备更新、系统优化等要求，予以提供支持，价格应尽可能低于市场价。</w:t>
      </w:r>
    </w:p>
    <w:p w14:paraId="28D36E58">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D、统计分析</w:t>
      </w:r>
    </w:p>
    <w:p w14:paraId="426D049B">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维护单位工作人员每季度末对维护情况进行统计分析，并报业主单位。</w:t>
      </w:r>
    </w:p>
    <w:p w14:paraId="4F24A619">
      <w:pPr>
        <w:spacing w:line="360" w:lineRule="auto"/>
        <w:ind w:firstLine="482" w:firstLineChars="20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9、维修流程</w:t>
      </w:r>
    </w:p>
    <w:p w14:paraId="093EAC18">
      <w:pP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发生故障时，执法队工作人员可拨打24小时报修电话或者维护群组申报故障，维修单位在接到故障申报后，对故障原因进行初步分析，根据判断结果进行派单。</w:t>
      </w:r>
    </w:p>
    <w:p w14:paraId="41158BE1">
      <w:pPr>
        <w:widowControl/>
        <w:spacing w:line="360" w:lineRule="auto"/>
        <w:jc w:val="left"/>
        <w:rPr>
          <w:rFonts w:cs="宋体" w:asciiTheme="minorEastAsia" w:hAnsiTheme="minorEastAsia" w:eastAsiaTheme="minorEastAsia"/>
          <w:color w:val="auto"/>
          <w:sz w:val="24"/>
          <w:szCs w:val="24"/>
          <w:highlight w:val="none"/>
        </w:rPr>
      </w:pPr>
    </w:p>
    <w:p w14:paraId="34E00878">
      <w:pPr>
        <w:pStyle w:val="35"/>
        <w:spacing w:beforeLines="0" w:afterLines="0" w:line="360" w:lineRule="auto"/>
        <w:outlineLvl w:val="0"/>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三、商务要求</w:t>
      </w:r>
    </w:p>
    <w:tbl>
      <w:tblPr>
        <w:tblStyle w:val="63"/>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7938"/>
      </w:tblGrid>
      <w:tr w14:paraId="4A6DD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atLeast"/>
        </w:trPr>
        <w:tc>
          <w:tcPr>
            <w:tcW w:w="2269" w:type="dxa"/>
            <w:tcBorders>
              <w:top w:val="single" w:color="auto" w:sz="4" w:space="0"/>
              <w:left w:val="single" w:color="auto" w:sz="4" w:space="0"/>
              <w:bottom w:val="single" w:color="auto" w:sz="4" w:space="0"/>
              <w:right w:val="single" w:color="auto" w:sz="4" w:space="0"/>
            </w:tcBorders>
            <w:vAlign w:val="center"/>
          </w:tcPr>
          <w:p w14:paraId="74E4F5C6">
            <w:pPr>
              <w:rPr>
                <w:rFonts w:cs="宋体" w:asciiTheme="minorEastAsia" w:hAnsiTheme="minorEastAsia" w:eastAsiaTheme="minorEastAsia"/>
                <w:bCs/>
                <w:color w:val="auto"/>
                <w:sz w:val="24"/>
                <w:highlight w:val="none"/>
              </w:rPr>
            </w:pPr>
            <w:bookmarkStart w:id="70" w:name="_Hlk193116640"/>
            <w:r>
              <w:rPr>
                <w:rFonts w:hint="eastAsia" w:cs="宋体" w:asciiTheme="minorEastAsia" w:hAnsiTheme="minorEastAsia" w:eastAsiaTheme="minorEastAsia"/>
                <w:bCs/>
                <w:color w:val="auto"/>
                <w:sz w:val="24"/>
                <w:highlight w:val="none"/>
              </w:rPr>
              <w:t>服务期及地点</w:t>
            </w:r>
          </w:p>
        </w:tc>
        <w:tc>
          <w:tcPr>
            <w:tcW w:w="7938" w:type="dxa"/>
            <w:tcBorders>
              <w:top w:val="single" w:color="auto" w:sz="4" w:space="0"/>
              <w:left w:val="single" w:color="auto" w:sz="4" w:space="0"/>
              <w:bottom w:val="single" w:color="auto" w:sz="4" w:space="0"/>
              <w:right w:val="single" w:color="auto" w:sz="4" w:space="0"/>
            </w:tcBorders>
            <w:vAlign w:val="center"/>
          </w:tcPr>
          <w:p w14:paraId="5C8A74F8">
            <w:pPr>
              <w:spacing w:line="360" w:lineRule="auto"/>
              <w:rPr>
                <w:rFonts w:cs="仿宋" w:asciiTheme="minorEastAsia" w:hAnsiTheme="minorEastAsia" w:eastAsiaTheme="minorEastAsia"/>
                <w:color w:val="auto"/>
                <w:sz w:val="24"/>
                <w:szCs w:val="24"/>
                <w:highlight w:val="none"/>
              </w:rPr>
            </w:pPr>
            <w:r>
              <w:rPr>
                <w:rFonts w:hint="eastAsia" w:cs="宋体" w:asciiTheme="minorEastAsia" w:hAnsiTheme="minorEastAsia" w:eastAsiaTheme="minorEastAsia"/>
                <w:bCs/>
                <w:color w:val="auto"/>
                <w:sz w:val="24"/>
                <w:highlight w:val="none"/>
              </w:rPr>
              <w:t>▲</w:t>
            </w:r>
            <w:r>
              <w:rPr>
                <w:rFonts w:hint="eastAsia" w:cs="仿宋" w:asciiTheme="minorEastAsia" w:hAnsiTheme="minorEastAsia" w:eastAsiaTheme="minorEastAsia"/>
                <w:color w:val="auto"/>
                <w:sz w:val="24"/>
                <w:szCs w:val="24"/>
                <w:highlight w:val="none"/>
              </w:rPr>
              <w:t>维护服务期：2025-2027年度。</w:t>
            </w:r>
          </w:p>
          <w:p w14:paraId="1FAD41D7">
            <w:pPr>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地点：采购人指定地点</w:t>
            </w:r>
          </w:p>
        </w:tc>
      </w:tr>
      <w:tr w14:paraId="5C2DD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69" w:type="dxa"/>
            <w:tcBorders>
              <w:top w:val="single" w:color="auto" w:sz="4" w:space="0"/>
              <w:left w:val="single" w:color="auto" w:sz="4" w:space="0"/>
              <w:bottom w:val="single" w:color="auto" w:sz="4" w:space="0"/>
              <w:right w:val="single" w:color="auto" w:sz="4" w:space="0"/>
            </w:tcBorders>
          </w:tcPr>
          <w:p w14:paraId="288619E2">
            <w:pP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付款方式</w:t>
            </w:r>
          </w:p>
        </w:tc>
        <w:tc>
          <w:tcPr>
            <w:tcW w:w="7938" w:type="dxa"/>
            <w:tcBorders>
              <w:top w:val="single" w:color="auto" w:sz="4" w:space="0"/>
              <w:left w:val="single" w:color="auto" w:sz="4" w:space="0"/>
              <w:bottom w:val="single" w:color="auto" w:sz="4" w:space="0"/>
              <w:right w:val="single" w:color="auto" w:sz="4" w:space="0"/>
            </w:tcBorders>
          </w:tcPr>
          <w:p w14:paraId="3C0CCFBB">
            <w:pPr>
              <w:pStyle w:val="23"/>
              <w:spacing w:line="360" w:lineRule="auto"/>
              <w:rPr>
                <w:rFonts w:cs="宋体" w:asciiTheme="minorEastAsia" w:hAnsiTheme="minorEastAsia" w:eastAsiaTheme="minorEastAsia"/>
                <w:b w:val="0"/>
                <w:color w:val="auto"/>
                <w:sz w:val="24"/>
                <w:highlight w:val="none"/>
              </w:rPr>
            </w:pPr>
            <w:r>
              <w:rPr>
                <w:rFonts w:hint="eastAsia" w:cs="宋体" w:asciiTheme="minorEastAsia" w:hAnsiTheme="minorEastAsia" w:eastAsiaTheme="minorEastAsia"/>
                <w:b w:val="0"/>
                <w:color w:val="auto"/>
                <w:sz w:val="24"/>
                <w:highlight w:val="none"/>
              </w:rPr>
              <w:t>▲</w:t>
            </w:r>
            <w:bookmarkStart w:id="71" w:name="OLE_LINK16"/>
            <w:r>
              <w:rPr>
                <w:rFonts w:hint="eastAsia" w:cs="宋体" w:asciiTheme="minorEastAsia" w:hAnsiTheme="minorEastAsia" w:eastAsiaTheme="minorEastAsia"/>
                <w:b w:val="0"/>
                <w:color w:val="auto"/>
                <w:sz w:val="24"/>
                <w:highlight w:val="none"/>
              </w:rPr>
              <w:t>根据《保障中小企业款项支付条例》</w:t>
            </w:r>
            <w:r>
              <w:rPr>
                <w:rFonts w:cs="宋体" w:asciiTheme="minorEastAsia" w:hAnsiTheme="minorEastAsia" w:eastAsiaTheme="minorEastAsia"/>
                <w:b w:val="0"/>
                <w:color w:val="auto"/>
                <w:sz w:val="24"/>
                <w:highlight w:val="none"/>
              </w:rPr>
              <w:t>、</w:t>
            </w:r>
            <w:r>
              <w:rPr>
                <w:rFonts w:hint="eastAsia" w:cs="宋体" w:asciiTheme="minorEastAsia" w:hAnsiTheme="minorEastAsia" w:eastAsiaTheme="minorEastAsia"/>
                <w:b w:val="0"/>
                <w:color w:val="auto"/>
                <w:sz w:val="24"/>
                <w:highlight w:val="none"/>
              </w:rPr>
              <w:t>省财政厅《浙江省财政厅关于进一步发挥政府采购政策功能全力推动经济稳进提质的通知》（浙财采监【2022】3号）要求，制定如下付款方式：</w:t>
            </w:r>
            <w:bookmarkStart w:id="72" w:name="OLE_LINK26"/>
            <w:bookmarkStart w:id="73" w:name="OLE_LINK22"/>
            <w:r>
              <w:rPr>
                <w:rFonts w:hint="eastAsia" w:cs="宋体" w:asciiTheme="minorEastAsia" w:hAnsiTheme="minorEastAsia" w:eastAsiaTheme="minorEastAsia"/>
                <w:b w:val="0"/>
                <w:color w:val="auto"/>
                <w:sz w:val="24"/>
                <w:highlight w:val="none"/>
              </w:rPr>
              <w:t>合同签订生效及具备实施条件后7工作日内支付合同总价的20%；项目验收合格后付清。</w:t>
            </w:r>
            <w:bookmarkEnd w:id="71"/>
            <w:bookmarkEnd w:id="72"/>
            <w:bookmarkEnd w:id="73"/>
          </w:p>
          <w:p w14:paraId="6F41F1B7">
            <w:pPr>
              <w:pStyle w:val="23"/>
              <w:spacing w:line="360" w:lineRule="auto"/>
              <w:rPr>
                <w:rFonts w:cs="宋体" w:asciiTheme="minorEastAsia" w:hAnsiTheme="minorEastAsia" w:eastAsiaTheme="minorEastAsia"/>
                <w:b w:val="0"/>
                <w:color w:val="auto"/>
                <w:sz w:val="24"/>
                <w:highlight w:val="none"/>
              </w:rPr>
            </w:pPr>
            <w:r>
              <w:rPr>
                <w:rFonts w:hint="eastAsia" w:cs="宋体" w:asciiTheme="minorEastAsia" w:hAnsiTheme="minorEastAsia" w:eastAsiaTheme="minorEastAsia"/>
                <w:b w:val="0"/>
                <w:color w:val="auto"/>
                <w:sz w:val="24"/>
                <w:highlight w:val="none"/>
              </w:rPr>
              <w:t>注：</w:t>
            </w:r>
            <w:r>
              <w:rPr>
                <w:rFonts w:cs="宋体" w:asciiTheme="minorEastAsia" w:hAnsiTheme="minorEastAsia" w:eastAsiaTheme="minorEastAsia"/>
                <w:b w:val="0"/>
                <w:color w:val="auto"/>
                <w:sz w:val="24"/>
                <w:highlight w:val="none"/>
              </w:rPr>
              <w:t>若成交供应商明确表示无需预付款或者主动要求降低预付款比例的，采购人可不适用前述规定。</w:t>
            </w:r>
          </w:p>
        </w:tc>
      </w:tr>
      <w:bookmarkEnd w:id="70"/>
    </w:tbl>
    <w:p w14:paraId="1A1610D4">
      <w:pPr>
        <w:widowControl/>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注：1、本项目</w:t>
      </w:r>
      <w:r>
        <w:rPr>
          <w:rFonts w:ascii="宋体" w:hAnsi="宋体" w:cs="宋体"/>
          <w:b/>
          <w:color w:val="auto"/>
          <w:sz w:val="24"/>
          <w:szCs w:val="24"/>
          <w:highlight w:val="none"/>
        </w:rPr>
        <w:t>采购标的对应的中小企业划分标准（</w:t>
      </w:r>
      <w:r>
        <w:rPr>
          <w:rFonts w:hint="eastAsia" w:ascii="宋体" w:hAnsi="宋体" w:cs="宋体"/>
          <w:b/>
          <w:color w:val="auto"/>
          <w:sz w:val="24"/>
          <w:szCs w:val="24"/>
          <w:highlight w:val="none"/>
        </w:rPr>
        <w:t>根据工信部联企业〔2011〕300 号确定</w:t>
      </w:r>
      <w:r>
        <w:rPr>
          <w:rFonts w:ascii="宋体" w:hAnsi="宋体" w:cs="宋体"/>
          <w:b/>
          <w:color w:val="auto"/>
          <w:sz w:val="24"/>
          <w:szCs w:val="24"/>
          <w:highlight w:val="none"/>
        </w:rPr>
        <w:t>）所属行业</w:t>
      </w:r>
      <w:r>
        <w:rPr>
          <w:rFonts w:hint="eastAsia" w:ascii="宋体" w:hAnsi="宋体" w:cs="宋体"/>
          <w:b/>
          <w:color w:val="auto"/>
          <w:sz w:val="24"/>
          <w:szCs w:val="24"/>
          <w:highlight w:val="none"/>
        </w:rPr>
        <w:t>为</w:t>
      </w:r>
      <w:bookmarkStart w:id="74" w:name="OLE_LINK24"/>
      <w:bookmarkStart w:id="75" w:name="OLE_LINK23"/>
      <w:r>
        <w:rPr>
          <w:rFonts w:ascii="宋体" w:hAnsi="宋体" w:cs="宋体"/>
          <w:b/>
          <w:color w:val="auto"/>
          <w:sz w:val="24"/>
          <w:szCs w:val="24"/>
          <w:highlight w:val="none"/>
        </w:rPr>
        <w:t>软件和信息技术服务业</w:t>
      </w:r>
      <w:r>
        <w:rPr>
          <w:rFonts w:hint="eastAsia" w:ascii="宋体" w:hAnsi="宋体" w:cs="宋体"/>
          <w:b/>
          <w:color w:val="auto"/>
          <w:sz w:val="24"/>
          <w:szCs w:val="24"/>
          <w:highlight w:val="none"/>
        </w:rPr>
        <w:t>。</w:t>
      </w:r>
      <w:bookmarkEnd w:id="74"/>
      <w:bookmarkEnd w:id="75"/>
    </w:p>
    <w:p w14:paraId="0B6886C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依据《</w:t>
      </w:r>
      <w:r>
        <w:rPr>
          <w:rFonts w:hint="eastAsia" w:ascii="宋体" w:hAnsi="宋体" w:cs="宋体"/>
          <w:color w:val="auto"/>
          <w:sz w:val="24"/>
          <w:szCs w:val="24"/>
          <w:highlight w:val="none"/>
        </w:rPr>
        <w:t>政府采购促进中小企业发展管理办法</w:t>
      </w:r>
      <w:r>
        <w:rPr>
          <w:rFonts w:ascii="宋体" w:hAnsi="宋体" w:cs="宋体"/>
          <w:color w:val="auto"/>
          <w:sz w:val="24"/>
          <w:szCs w:val="24"/>
          <w:highlight w:val="none"/>
        </w:rPr>
        <w:t>》</w:t>
      </w:r>
      <w:r>
        <w:rPr>
          <w:rFonts w:hint="eastAsia" w:ascii="宋体" w:hAnsi="宋体" w:cs="宋体"/>
          <w:color w:val="auto"/>
          <w:sz w:val="24"/>
          <w:szCs w:val="24"/>
          <w:highlight w:val="none"/>
        </w:rPr>
        <w:t>（财库【2020】46号）</w:t>
      </w:r>
      <w:r>
        <w:rPr>
          <w:rFonts w:ascii="宋体" w:hAnsi="宋体" w:cs="宋体"/>
          <w:color w:val="auto"/>
          <w:sz w:val="24"/>
          <w:szCs w:val="24"/>
          <w:highlight w:val="none"/>
        </w:rPr>
        <w:t>规定享受扶持政策获得政府采购合同的，小微企业不得将合同分包给大中型企业，中型企业不得将合同分包给大型企业。</w:t>
      </w:r>
    </w:p>
    <w:p w14:paraId="5B4F68A9">
      <w:pPr>
        <w:pStyle w:val="2"/>
        <w:rPr>
          <w:color w:val="auto"/>
          <w:highlight w:val="none"/>
        </w:rPr>
      </w:pPr>
    </w:p>
    <w:p w14:paraId="4FC19EDB">
      <w:pPr>
        <w:pStyle w:val="2"/>
        <w:rPr>
          <w:color w:val="auto"/>
          <w:highlight w:val="none"/>
        </w:rPr>
      </w:pPr>
    </w:p>
    <w:p w14:paraId="64BC03FA">
      <w:pPr>
        <w:pStyle w:val="2"/>
        <w:rPr>
          <w:color w:val="auto"/>
          <w:highlight w:val="none"/>
        </w:rPr>
      </w:pPr>
    </w:p>
    <w:p w14:paraId="2A10A271">
      <w:pPr>
        <w:pStyle w:val="2"/>
        <w:rPr>
          <w:color w:val="auto"/>
          <w:highlight w:val="none"/>
        </w:rPr>
      </w:pPr>
    </w:p>
    <w:p w14:paraId="532681CB">
      <w:pPr>
        <w:pStyle w:val="3"/>
        <w:spacing w:before="0" w:after="0" w:line="420" w:lineRule="exact"/>
        <w:jc w:val="center"/>
        <w:rPr>
          <w:rFonts w:ascii="宋体" w:hAnsi="宋体" w:cs="宋体"/>
          <w:color w:val="auto"/>
          <w:sz w:val="32"/>
          <w:szCs w:val="32"/>
          <w:highlight w:val="none"/>
        </w:rPr>
      </w:pPr>
      <w:bookmarkStart w:id="76" w:name="_Toc68613998"/>
      <w:r>
        <w:rPr>
          <w:rFonts w:hint="eastAsia" w:ascii="宋体" w:hAnsi="宋体" w:cs="宋体"/>
          <w:color w:val="auto"/>
          <w:sz w:val="32"/>
          <w:szCs w:val="32"/>
          <w:highlight w:val="none"/>
        </w:rPr>
        <w:t>第三章合同主要条款</w:t>
      </w:r>
      <w:bookmarkEnd w:id="46"/>
      <w:bookmarkEnd w:id="76"/>
    </w:p>
    <w:p w14:paraId="33F8D317">
      <w:pPr>
        <w:spacing w:line="46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（仅供参考，以正式合同为准）</w:t>
      </w:r>
    </w:p>
    <w:p w14:paraId="1FE32A01">
      <w:pPr>
        <w:spacing w:line="500" w:lineRule="exact"/>
        <w:ind w:right="420" w:rightChars="200"/>
        <w:jc w:val="right"/>
        <w:rPr>
          <w:rFonts w:ascii="宋体" w:cs="Times New Roman"/>
          <w:b/>
          <w:bCs/>
          <w:color w:val="auto"/>
          <w:sz w:val="36"/>
          <w:szCs w:val="36"/>
          <w:highlight w:val="none"/>
        </w:rPr>
      </w:pPr>
    </w:p>
    <w:p w14:paraId="06069F7F">
      <w:pPr>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甲方：（采购人）</w:t>
      </w:r>
    </w:p>
    <w:p w14:paraId="4C283308">
      <w:pPr>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乙方：（成交供应商）</w:t>
      </w:r>
    </w:p>
    <w:p w14:paraId="1F9F12DE">
      <w:pPr>
        <w:numPr>
          <w:ilvl w:val="0"/>
          <w:numId w:val="2"/>
        </w:num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乙双方根据</w:t>
      </w:r>
      <w:r>
        <w:rPr>
          <w:rFonts w:hint="eastAsia" w:ascii="宋体" w:hAnsi="宋体" w:cs="宋体"/>
          <w:color w:val="auto"/>
          <w:sz w:val="24"/>
          <w:szCs w:val="24"/>
          <w:highlight w:val="none"/>
          <w:u w:val="single"/>
        </w:rPr>
        <w:t>浙江华耀建设咨询有限公司</w:t>
      </w:r>
      <w:r>
        <w:rPr>
          <w:rFonts w:hint="eastAsia" w:ascii="宋体" w:hAnsi="宋体" w:cs="宋体"/>
          <w:color w:val="auto"/>
          <w:sz w:val="24"/>
          <w:szCs w:val="24"/>
          <w:highlight w:val="none"/>
        </w:rPr>
        <w:t>关于</w:t>
      </w:r>
      <w:r>
        <w:rPr>
          <w:rFonts w:hint="eastAsia" w:ascii="宋体" w:hAnsi="宋体" w:cs="宋体"/>
          <w:color w:val="auto"/>
          <w:sz w:val="24"/>
          <w:szCs w:val="24"/>
          <w:highlight w:val="none"/>
          <w:u w:val="single"/>
        </w:rPr>
        <w:t>湖州市长兴县交通运输行政执法队船舶自动核查抓拍系统维护保障项目</w:t>
      </w:r>
      <w:r>
        <w:rPr>
          <w:rFonts w:hint="eastAsia" w:ascii="宋体" w:hAnsi="宋体" w:cs="宋体"/>
          <w:color w:val="auto"/>
          <w:sz w:val="24"/>
          <w:szCs w:val="24"/>
          <w:highlight w:val="none"/>
        </w:rPr>
        <w:t>竞争性磋商的结果，签署本合同。</w:t>
      </w:r>
    </w:p>
    <w:p w14:paraId="00544E58">
      <w:pPr>
        <w:spacing w:line="460" w:lineRule="exact"/>
        <w:ind w:firstLine="482" w:firstLineChars="200"/>
        <w:outlineLvl w:val="1"/>
        <w:rPr>
          <w:rFonts w:ascii="宋体" w:cs="Times New Roman"/>
          <w:b/>
          <w:bCs/>
          <w:color w:val="auto"/>
          <w:sz w:val="24"/>
          <w:szCs w:val="24"/>
          <w:highlight w:val="none"/>
        </w:rPr>
      </w:pPr>
      <w:bookmarkStart w:id="77" w:name="OLE_LINK30"/>
      <w:bookmarkStart w:id="78" w:name="OLE_LINK27"/>
      <w:r>
        <w:rPr>
          <w:rFonts w:hint="eastAsia" w:ascii="宋体" w:hAnsi="宋体" w:cs="宋体"/>
          <w:b/>
          <w:bCs/>
          <w:color w:val="auto"/>
          <w:sz w:val="24"/>
          <w:szCs w:val="24"/>
          <w:highlight w:val="none"/>
        </w:rPr>
        <w:t>一、服务内容</w:t>
      </w:r>
    </w:p>
    <w:p w14:paraId="441E91E6">
      <w:pPr>
        <w:spacing w:line="460" w:lineRule="exact"/>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船舶自动核查抓拍系统维护保障项目</w:t>
      </w:r>
    </w:p>
    <w:p w14:paraId="19BAD2F2">
      <w:pPr>
        <w:spacing w:line="460" w:lineRule="exact"/>
        <w:ind w:firstLine="482" w:firstLineChars="200"/>
        <w:outlineLvl w:val="1"/>
        <w:rPr>
          <w:rFonts w:ascii="宋体" w:cs="Times New Roman" w:hAnsiTheme="minorHAnsi"/>
          <w:b/>
          <w:bCs/>
          <w:color w:val="auto"/>
          <w:sz w:val="24"/>
          <w:szCs w:val="24"/>
          <w:highlight w:val="none"/>
        </w:rPr>
      </w:pPr>
      <w:r>
        <w:rPr>
          <w:rFonts w:hint="eastAsia" w:ascii="宋体" w:hAnsi="宋体" w:cs="宋体"/>
          <w:b/>
          <w:bCs/>
          <w:color w:val="auto"/>
          <w:sz w:val="24"/>
          <w:szCs w:val="24"/>
          <w:highlight w:val="none"/>
        </w:rPr>
        <w:t>二、合同金额</w:t>
      </w:r>
    </w:p>
    <w:p w14:paraId="31D4A0AF">
      <w:pPr>
        <w:spacing w:line="460" w:lineRule="exact"/>
        <w:ind w:firstLine="480" w:firstLineChars="200"/>
        <w:rPr>
          <w:rFonts w:hAnsi="宋体" w:cs="Times New Roman" w:asciiTheme="minorHAnsi"/>
          <w:color w:val="auto"/>
          <w:sz w:val="24"/>
          <w:szCs w:val="24"/>
          <w:highlight w:val="none"/>
        </w:rPr>
      </w:pPr>
      <w:r>
        <w:rPr>
          <w:rFonts w:hint="eastAsia" w:hAnsi="宋体" w:cs="宋体"/>
          <w:color w:val="auto"/>
          <w:sz w:val="24"/>
          <w:szCs w:val="24"/>
          <w:highlight w:val="none"/>
        </w:rPr>
        <w:t>本合同金额为（大写）：</w:t>
      </w:r>
      <w:r>
        <w:rPr>
          <w:rFonts w:hAnsi="宋体"/>
          <w:color w:val="auto"/>
          <w:sz w:val="24"/>
          <w:szCs w:val="24"/>
          <w:highlight w:val="none"/>
        </w:rPr>
        <w:t>_________________________________</w:t>
      </w:r>
      <w:r>
        <w:rPr>
          <w:rFonts w:hint="eastAsia" w:hAnsi="宋体" w:cs="宋体"/>
          <w:color w:val="auto"/>
          <w:sz w:val="24"/>
          <w:szCs w:val="24"/>
          <w:highlight w:val="none"/>
        </w:rPr>
        <w:t>元（￥</w:t>
      </w:r>
      <w:r>
        <w:rPr>
          <w:rFonts w:hAnsi="宋体"/>
          <w:color w:val="auto"/>
          <w:sz w:val="24"/>
          <w:szCs w:val="24"/>
          <w:highlight w:val="none"/>
        </w:rPr>
        <w:t>_______________</w:t>
      </w:r>
      <w:r>
        <w:rPr>
          <w:rFonts w:hint="eastAsia" w:hAnsi="宋体" w:cs="宋体"/>
          <w:color w:val="auto"/>
          <w:sz w:val="24"/>
          <w:szCs w:val="24"/>
          <w:highlight w:val="none"/>
        </w:rPr>
        <w:t>元）人民币。</w:t>
      </w:r>
    </w:p>
    <w:p w14:paraId="435A4406">
      <w:pPr>
        <w:spacing w:line="460" w:lineRule="exact"/>
        <w:ind w:firstLine="482" w:firstLineChars="200"/>
        <w:outlineLvl w:val="1"/>
        <w:rPr>
          <w:rFonts w:ascii="宋体" w:cs="Times New Roman" w:hAnsiTheme="minorHAnsi"/>
          <w:color w:val="auto"/>
          <w:sz w:val="24"/>
          <w:szCs w:val="24"/>
          <w:highlight w:val="none"/>
        </w:rPr>
      </w:pPr>
      <w:r>
        <w:rPr>
          <w:rFonts w:hint="eastAsia" w:ascii="宋体" w:hAnsi="宋体" w:cs="宋体"/>
          <w:b/>
          <w:bCs/>
          <w:color w:val="auto"/>
          <w:sz w:val="24"/>
          <w:szCs w:val="24"/>
          <w:highlight w:val="none"/>
        </w:rPr>
        <w:t>三、技术资料</w:t>
      </w:r>
    </w:p>
    <w:p w14:paraId="73725C94">
      <w:pPr>
        <w:spacing w:line="460" w:lineRule="exact"/>
        <w:ind w:firstLine="480" w:firstLineChars="200"/>
        <w:outlineLvl w:val="2"/>
        <w:rPr>
          <w:rFonts w:ascii="宋体" w:cs="Times New Roman"/>
          <w:color w:val="auto"/>
          <w:sz w:val="24"/>
          <w:szCs w:val="24"/>
          <w:highlight w:val="none"/>
        </w:rPr>
      </w:pPr>
      <w:r>
        <w:rPr>
          <w:rFonts w:hint="eastAsia" w:ascii="宋体" w:hAnsi="宋体" w:cs="宋体"/>
          <w:color w:val="auto"/>
          <w:sz w:val="24"/>
          <w:szCs w:val="24"/>
          <w:highlight w:val="none"/>
        </w:rPr>
        <w:t>1</w:t>
      </w:r>
      <w:r>
        <w:rPr>
          <w:rFonts w:hint="eastAsia" w:ascii="宋体" w:cs="宋体"/>
          <w:color w:val="auto"/>
          <w:sz w:val="24"/>
          <w:szCs w:val="24"/>
          <w:highlight w:val="none"/>
        </w:rPr>
        <w:t>.</w:t>
      </w:r>
      <w:r>
        <w:rPr>
          <w:rFonts w:hint="eastAsia" w:ascii="宋体" w:hAnsi="宋体" w:cs="宋体"/>
          <w:color w:val="auto"/>
          <w:sz w:val="24"/>
          <w:szCs w:val="24"/>
          <w:highlight w:val="none"/>
        </w:rPr>
        <w:t>乙方应按磋商文件规定的时间向甲方提供有关技术资料。</w:t>
      </w:r>
    </w:p>
    <w:p w14:paraId="7EF4C384">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2</w:t>
      </w:r>
      <w:r>
        <w:rPr>
          <w:rFonts w:hint="eastAsia" w:ascii="宋体" w:cs="宋体"/>
          <w:color w:val="auto"/>
          <w:sz w:val="24"/>
          <w:szCs w:val="24"/>
          <w:highlight w:val="none"/>
        </w:rPr>
        <w:t>.</w:t>
      </w:r>
      <w:r>
        <w:rPr>
          <w:rFonts w:hint="eastAsia" w:ascii="宋体" w:hAnsi="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1C5BFDD">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四、知识产权</w:t>
      </w:r>
    </w:p>
    <w:p w14:paraId="6861DAD6">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乙方应保证提供服务过程中不会侵犯任何第三方的知识产权。</w:t>
      </w:r>
    </w:p>
    <w:p w14:paraId="0875049D">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五、转包或分包</w:t>
      </w:r>
    </w:p>
    <w:p w14:paraId="18B11528">
      <w:pPr>
        <w:spacing w:line="460" w:lineRule="exact"/>
        <w:ind w:firstLine="480" w:firstLineChars="200"/>
        <w:outlineLvl w:val="2"/>
        <w:rPr>
          <w:rFonts w:ascii="宋体" w:cs="Times New Roman"/>
          <w:color w:val="auto"/>
          <w:sz w:val="24"/>
          <w:szCs w:val="24"/>
          <w:highlight w:val="none"/>
        </w:rPr>
      </w:pPr>
      <w:r>
        <w:rPr>
          <w:rFonts w:hint="eastAsia" w:ascii="宋体" w:hAnsi="宋体" w:cs="宋体"/>
          <w:color w:val="auto"/>
          <w:sz w:val="24"/>
          <w:szCs w:val="24"/>
          <w:highlight w:val="none"/>
        </w:rPr>
        <w:t>1</w:t>
      </w:r>
      <w:r>
        <w:rPr>
          <w:rFonts w:hint="eastAsia" w:ascii="宋体" w:cs="宋体"/>
          <w:color w:val="auto"/>
          <w:sz w:val="24"/>
          <w:szCs w:val="24"/>
          <w:highlight w:val="none"/>
        </w:rPr>
        <w:t>.</w:t>
      </w:r>
      <w:r>
        <w:rPr>
          <w:rFonts w:hint="eastAsia" w:ascii="宋体" w:hAnsi="宋体" w:cs="宋体"/>
          <w:color w:val="auto"/>
          <w:sz w:val="24"/>
          <w:szCs w:val="24"/>
          <w:highlight w:val="none"/>
        </w:rPr>
        <w:t>本合同范围的服务，应由乙方直接供应，不得转让他人供应。</w:t>
      </w:r>
    </w:p>
    <w:p w14:paraId="6AEFC29A">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2</w:t>
      </w:r>
      <w:r>
        <w:rPr>
          <w:rFonts w:hint="eastAsia" w:ascii="宋体" w:cs="宋体"/>
          <w:color w:val="auto"/>
          <w:sz w:val="24"/>
          <w:szCs w:val="24"/>
          <w:highlight w:val="none"/>
        </w:rPr>
        <w:t>.</w:t>
      </w:r>
      <w:r>
        <w:rPr>
          <w:rFonts w:hint="eastAsia" w:ascii="宋体" w:hAnsi="宋体" w:cs="宋体"/>
          <w:color w:val="auto"/>
          <w:sz w:val="24"/>
          <w:szCs w:val="24"/>
          <w:highlight w:val="none"/>
        </w:rPr>
        <w:t>如有转让和未经甲方同意的分包行为，甲方有权解除合同，没收履约保证金并追究乙方的违约责任。</w:t>
      </w:r>
    </w:p>
    <w:p w14:paraId="18363A0B">
      <w:pPr>
        <w:spacing w:line="460" w:lineRule="exact"/>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六、合同履行时间</w:t>
      </w:r>
    </w:p>
    <w:p w14:paraId="72EF9104">
      <w:pPr>
        <w:spacing w:line="460" w:lineRule="exact"/>
        <w:ind w:firstLine="480" w:firstLineChars="200"/>
        <w:outlineLvl w:val="2"/>
        <w:rPr>
          <w:rFonts w:asciiTheme="minorHAnsi" w:hAnsiTheme="minorHAnsi" w:cstheme="minorBidi"/>
          <w:bCs/>
          <w:color w:val="auto"/>
          <w:sz w:val="24"/>
          <w:szCs w:val="22"/>
          <w:highlight w:val="none"/>
        </w:rPr>
      </w:pPr>
      <w:r>
        <w:rPr>
          <w:rFonts w:hint="eastAsia" w:ascii="宋体" w:hAnsi="宋体" w:cs="宋体"/>
          <w:color w:val="auto"/>
          <w:sz w:val="24"/>
          <w:szCs w:val="24"/>
          <w:highlight w:val="none"/>
        </w:rPr>
        <w:t>1</w:t>
      </w:r>
      <w:r>
        <w:rPr>
          <w:rFonts w:hint="eastAsia" w:ascii="宋体" w:cs="宋体"/>
          <w:color w:val="auto"/>
          <w:sz w:val="24"/>
          <w:szCs w:val="24"/>
          <w:highlight w:val="none"/>
        </w:rPr>
        <w:t>.</w:t>
      </w:r>
      <w:r>
        <w:rPr>
          <w:rFonts w:hint="eastAsia" w:ascii="宋体" w:hAnsi="宋体" w:cs="宋体"/>
          <w:color w:val="auto"/>
          <w:sz w:val="24"/>
          <w:szCs w:val="24"/>
          <w:highlight w:val="none"/>
        </w:rPr>
        <w:t>履行时间：</w:t>
      </w:r>
    </w:p>
    <w:p w14:paraId="554442FA">
      <w:pPr>
        <w:spacing w:line="460" w:lineRule="exact"/>
        <w:ind w:firstLine="482" w:firstLineChars="200"/>
        <w:outlineLvl w:val="1"/>
        <w:rPr>
          <w:rFonts w:hAnsi="宋体" w:cs="宋体"/>
          <w:b/>
          <w:bCs/>
          <w:color w:val="auto"/>
          <w:sz w:val="24"/>
          <w:szCs w:val="24"/>
          <w:highlight w:val="none"/>
        </w:rPr>
      </w:pPr>
      <w:r>
        <w:rPr>
          <w:rFonts w:hint="eastAsia" w:hAnsi="宋体" w:cs="宋体"/>
          <w:b/>
          <w:bCs/>
          <w:color w:val="auto"/>
          <w:sz w:val="24"/>
          <w:szCs w:val="24"/>
          <w:highlight w:val="none"/>
        </w:rPr>
        <w:t>七、履约保证金</w:t>
      </w:r>
    </w:p>
    <w:p w14:paraId="1BBE0023">
      <w:pPr>
        <w:pStyle w:val="35"/>
        <w:spacing w:before="156" w:after="156"/>
        <w:ind w:firstLine="600" w:firstLineChars="250"/>
        <w:rPr>
          <w:rFonts w:hAnsi="宋体"/>
          <w:color w:val="auto"/>
          <w:highlight w:val="none"/>
        </w:rPr>
      </w:pPr>
      <w:r>
        <w:rPr>
          <w:rFonts w:hint="eastAsia" w:hAnsi="宋体"/>
          <w:color w:val="auto"/>
          <w:highlight w:val="none"/>
        </w:rPr>
        <w:t>无</w:t>
      </w:r>
    </w:p>
    <w:p w14:paraId="22941A8E">
      <w:pPr>
        <w:spacing w:line="360" w:lineRule="auto"/>
        <w:ind w:firstLine="482" w:firstLineChars="200"/>
        <w:outlineLvl w:val="1"/>
        <w:rPr>
          <w:rFonts w:ascii="宋体" w:cs="Times New Roman" w:hAnsiTheme="minorHAnsi"/>
          <w:b/>
          <w:bCs/>
          <w:color w:val="auto"/>
          <w:sz w:val="24"/>
          <w:szCs w:val="24"/>
          <w:highlight w:val="none"/>
        </w:rPr>
      </w:pPr>
      <w:r>
        <w:rPr>
          <w:rFonts w:hint="eastAsia" w:ascii="宋体" w:hAnsi="宋体" w:cs="宋体"/>
          <w:b/>
          <w:bCs/>
          <w:color w:val="auto"/>
          <w:sz w:val="24"/>
          <w:szCs w:val="24"/>
          <w:highlight w:val="none"/>
        </w:rPr>
        <w:t>八、款项支付</w:t>
      </w:r>
    </w:p>
    <w:p w14:paraId="6FD7772F">
      <w:pPr>
        <w:pStyle w:val="23"/>
        <w:spacing w:line="360" w:lineRule="auto"/>
        <w:ind w:firstLine="480" w:firstLineChars="200"/>
        <w:rPr>
          <w:rFonts w:cs="宋体" w:asciiTheme="majorEastAsia" w:hAnsiTheme="majorEastAsia" w:eastAsiaTheme="majorEastAsia"/>
          <w:b w:val="0"/>
          <w:color w:val="auto"/>
          <w:sz w:val="24"/>
          <w:highlight w:val="none"/>
        </w:rPr>
      </w:pPr>
      <w:r>
        <w:rPr>
          <w:rFonts w:hint="eastAsia" w:cs="宋体" w:asciiTheme="majorEastAsia" w:hAnsiTheme="majorEastAsia" w:eastAsiaTheme="majorEastAsia"/>
          <w:b w:val="0"/>
          <w:color w:val="auto"/>
          <w:sz w:val="24"/>
          <w:highlight w:val="none"/>
        </w:rPr>
        <w:t>1.根据《保障中小企业款项支付条例》、省财政厅《浙江省财政厅关于进一步发挥政府采购政策功能全力推动经济稳进提质的通知》（浙财采监【2022】3号）要求，制定如下付款方式：合同签订生效及具备实施条件后7工作日内支付合同总价的20%；项目验收合格后付清。</w:t>
      </w:r>
    </w:p>
    <w:p w14:paraId="459C622B">
      <w:pPr>
        <w:pStyle w:val="23"/>
        <w:spacing w:line="360" w:lineRule="auto"/>
        <w:ind w:firstLine="480" w:firstLineChars="200"/>
        <w:rPr>
          <w:rFonts w:ascii="宋体" w:hAnsi="宋体" w:cs="宋体" w:eastAsiaTheme="minorEastAsia"/>
          <w:b w:val="0"/>
          <w:bCs w:val="0"/>
          <w:color w:val="auto"/>
          <w:sz w:val="24"/>
          <w:szCs w:val="24"/>
          <w:highlight w:val="none"/>
        </w:rPr>
      </w:pPr>
      <w:r>
        <w:rPr>
          <w:rFonts w:hint="eastAsia" w:ascii="宋体" w:hAnsi="宋体" w:cs="宋体" w:eastAsiaTheme="minorEastAsia"/>
          <w:b w:val="0"/>
          <w:bCs w:val="0"/>
          <w:color w:val="auto"/>
          <w:sz w:val="24"/>
          <w:szCs w:val="24"/>
          <w:highlight w:val="none"/>
        </w:rPr>
        <w:t>2.当采购数量与实际使用不一致时，乙方应根据实际情况，合同的最终结算金额按实际使用量乘以成交单价进行计算。</w:t>
      </w:r>
    </w:p>
    <w:p w14:paraId="33716114">
      <w:pPr>
        <w:pStyle w:val="23"/>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九、税费</w:t>
      </w:r>
    </w:p>
    <w:p w14:paraId="15162380">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本合同执行中相关的一切税费均由乙方负担。</w:t>
      </w:r>
    </w:p>
    <w:p w14:paraId="08ED55F2">
      <w:pPr>
        <w:spacing w:line="360" w:lineRule="auto"/>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十、质量保证及后续服务</w:t>
      </w:r>
    </w:p>
    <w:p w14:paraId="1FA52FA5">
      <w:pPr>
        <w:spacing w:line="460" w:lineRule="exact"/>
        <w:ind w:firstLine="480" w:firstLineChars="200"/>
        <w:outlineLvl w:val="2"/>
        <w:rPr>
          <w:rFonts w:ascii="宋体" w:cs="Times New Roman"/>
          <w:color w:val="auto"/>
          <w:sz w:val="24"/>
          <w:szCs w:val="24"/>
          <w:highlight w:val="none"/>
        </w:rPr>
      </w:pPr>
      <w:r>
        <w:rPr>
          <w:rFonts w:hint="eastAsia" w:ascii="宋体" w:hAnsi="宋体" w:cs="宋体"/>
          <w:color w:val="auto"/>
          <w:sz w:val="24"/>
          <w:szCs w:val="24"/>
          <w:highlight w:val="none"/>
        </w:rPr>
        <w:t>1．乙方应按磋商文件规定向甲方提供服务。</w:t>
      </w:r>
    </w:p>
    <w:p w14:paraId="49FFDF72">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2．乙方提供的服务不到要求者，根据实际情况，经双方协商，可按以下办法处理：</w:t>
      </w:r>
    </w:p>
    <w:p w14:paraId="79A211B2">
      <w:pPr>
        <w:spacing w:line="460" w:lineRule="exact"/>
        <w:ind w:firstLine="480" w:firstLineChars="200"/>
        <w:rPr>
          <w:rFonts w:ascii="宋体" w:cs="Times New Roman"/>
          <w:color w:val="auto"/>
          <w:sz w:val="24"/>
          <w:szCs w:val="24"/>
          <w:highlight w:val="none"/>
        </w:rPr>
      </w:pPr>
      <w:r>
        <w:rPr>
          <w:rFonts w:hint="eastAsia" w:ascii="宋体" w:cs="宋体"/>
          <w:color w:val="auto"/>
          <w:sz w:val="24"/>
          <w:szCs w:val="24"/>
          <w:highlight w:val="none"/>
        </w:rPr>
        <w:t>⑴</w:t>
      </w:r>
      <w:r>
        <w:rPr>
          <w:rFonts w:hint="eastAsia" w:ascii="宋体" w:hAnsi="宋体" w:cs="宋体"/>
          <w:color w:val="auto"/>
          <w:sz w:val="24"/>
          <w:szCs w:val="24"/>
          <w:highlight w:val="none"/>
        </w:rPr>
        <w:t>重做：由乙方承担所发生的全部费用。</w:t>
      </w:r>
    </w:p>
    <w:p w14:paraId="195EDAE2">
      <w:pPr>
        <w:spacing w:line="460" w:lineRule="exact"/>
        <w:ind w:firstLine="480" w:firstLineChars="200"/>
        <w:rPr>
          <w:rFonts w:ascii="宋体" w:cs="Times New Roman"/>
          <w:color w:val="auto"/>
          <w:sz w:val="24"/>
          <w:szCs w:val="24"/>
          <w:highlight w:val="none"/>
        </w:rPr>
      </w:pPr>
      <w:r>
        <w:rPr>
          <w:rFonts w:hint="eastAsia" w:ascii="宋体" w:cs="宋体"/>
          <w:color w:val="auto"/>
          <w:sz w:val="24"/>
          <w:szCs w:val="24"/>
          <w:highlight w:val="none"/>
        </w:rPr>
        <w:t>⑵</w:t>
      </w:r>
      <w:r>
        <w:rPr>
          <w:rFonts w:hint="eastAsia" w:ascii="宋体" w:hAnsi="宋体" w:cs="宋体"/>
          <w:color w:val="auto"/>
          <w:sz w:val="24"/>
          <w:szCs w:val="24"/>
          <w:highlight w:val="none"/>
        </w:rPr>
        <w:t>贬值处理：由甲乙双方合议定价。</w:t>
      </w:r>
    </w:p>
    <w:p w14:paraId="3A3FCA2F">
      <w:pPr>
        <w:spacing w:line="460" w:lineRule="exact"/>
        <w:ind w:firstLine="480" w:firstLineChars="200"/>
        <w:rPr>
          <w:rFonts w:ascii="宋体" w:cs="Times New Roman"/>
          <w:color w:val="auto"/>
          <w:sz w:val="24"/>
          <w:szCs w:val="24"/>
          <w:highlight w:val="none"/>
        </w:rPr>
      </w:pPr>
      <w:r>
        <w:rPr>
          <w:rFonts w:hint="eastAsia" w:ascii="宋体" w:cs="宋体"/>
          <w:color w:val="auto"/>
          <w:sz w:val="24"/>
          <w:szCs w:val="24"/>
          <w:highlight w:val="none"/>
        </w:rPr>
        <w:t>⑶</w:t>
      </w:r>
      <w:r>
        <w:rPr>
          <w:rFonts w:hint="eastAsia" w:ascii="宋体" w:hAnsi="宋体" w:cs="宋体"/>
          <w:color w:val="auto"/>
          <w:sz w:val="24"/>
          <w:szCs w:val="24"/>
          <w:highlight w:val="none"/>
        </w:rPr>
        <w:t>解除合同。</w:t>
      </w:r>
    </w:p>
    <w:p w14:paraId="69275ECC">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十一、违约责任</w:t>
      </w:r>
    </w:p>
    <w:p w14:paraId="5C15A8CC">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1．甲方无正当理由拒绝接受服务的，甲方向乙方偿付合同款项百分之五作为违约金。</w:t>
      </w:r>
    </w:p>
    <w:p w14:paraId="0DAED4AE">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2．甲方无故逾期验收和办理款项支付手续的，甲方应按逾期付款总额每日万分之五向乙方支付违约金。</w:t>
      </w:r>
    </w:p>
    <w:p w14:paraId="6B7BBF4E">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5AFB239">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十二、不可抗力事件处理</w:t>
      </w:r>
    </w:p>
    <w:p w14:paraId="764E7063">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1．在合同有效期内，任何一方因不可抗力事件导致不能履行合同，则合同履行期可延长，其延长期与不可抗力影响期相同。</w:t>
      </w:r>
    </w:p>
    <w:p w14:paraId="4D36270F">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2．不可抗力事件发生后，应立即通知对方，并寄送有关权威机构出具的证明。</w:t>
      </w:r>
    </w:p>
    <w:p w14:paraId="3174620F">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3．不可抗力事件延续120天以上，双方应通过友好协商，确定是否继续履行合同。</w:t>
      </w:r>
    </w:p>
    <w:p w14:paraId="2461429D">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十三、诉讼</w:t>
      </w:r>
    </w:p>
    <w:p w14:paraId="60BFA092">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双方在执行合同中所发生的一切争议，应通过协商解决。如协商不成，可向甲方所在地法院起诉。</w:t>
      </w:r>
    </w:p>
    <w:p w14:paraId="54C3BAAD">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十四、合同生效及其他</w:t>
      </w:r>
    </w:p>
    <w:p w14:paraId="19E4D193">
      <w:pPr>
        <w:spacing w:line="460" w:lineRule="exact"/>
        <w:ind w:firstLine="480" w:firstLineChars="200"/>
        <w:outlineLvl w:val="2"/>
        <w:rPr>
          <w:rFonts w:ascii="宋体" w:cs="Times New Roman"/>
          <w:color w:val="auto"/>
          <w:sz w:val="24"/>
          <w:szCs w:val="24"/>
          <w:highlight w:val="none"/>
        </w:rPr>
      </w:pPr>
      <w:r>
        <w:rPr>
          <w:rFonts w:hint="eastAsia" w:ascii="宋体" w:hAnsi="宋体" w:cs="宋体"/>
          <w:color w:val="auto"/>
          <w:sz w:val="24"/>
          <w:szCs w:val="24"/>
          <w:highlight w:val="none"/>
        </w:rPr>
        <w:t>1．合同经双方法定代表人或授权代表签字并加盖单位公章后生效。</w:t>
      </w:r>
    </w:p>
    <w:p w14:paraId="51D058E1">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7E863234">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3．本合同未尽事宜，遵照《中华人民共和国民法典》有关条文执行。</w:t>
      </w:r>
    </w:p>
    <w:p w14:paraId="00AA7849">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4．合同正本一式五份，甲乙双方各执两份，</w:t>
      </w:r>
      <w:r>
        <w:rPr>
          <w:rFonts w:hint="eastAsia" w:ascii="宋体" w:hAnsi="宋体" w:cs="宋体"/>
          <w:color w:val="auto"/>
          <w:kern w:val="0"/>
          <w:sz w:val="24"/>
          <w:szCs w:val="24"/>
          <w:highlight w:val="none"/>
        </w:rPr>
        <w:t>浙江华耀建设咨询有限公司</w:t>
      </w:r>
      <w:r>
        <w:rPr>
          <w:rFonts w:hint="eastAsia" w:ascii="宋体" w:hAnsi="宋体" w:cs="宋体"/>
          <w:color w:val="auto"/>
          <w:sz w:val="24"/>
          <w:szCs w:val="24"/>
          <w:highlight w:val="none"/>
        </w:rPr>
        <w:t>（招标代理机构）执一份备案。</w:t>
      </w:r>
    </w:p>
    <w:p w14:paraId="4B051A94">
      <w:pPr>
        <w:spacing w:line="460" w:lineRule="exact"/>
        <w:ind w:firstLine="482" w:firstLineChars="200"/>
        <w:rPr>
          <w:rFonts w:ascii="宋体" w:cs="Times New Roman"/>
          <w:b/>
          <w:bCs/>
          <w:color w:val="auto"/>
          <w:sz w:val="24"/>
          <w:szCs w:val="24"/>
          <w:highlight w:val="none"/>
        </w:rPr>
      </w:pPr>
    </w:p>
    <w:p w14:paraId="16E1BDB2">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十五、补充条款</w:t>
      </w:r>
    </w:p>
    <w:p w14:paraId="219548A5">
      <w:pPr>
        <w:spacing w:line="460" w:lineRule="exact"/>
        <w:rPr>
          <w:rFonts w:ascii="宋体" w:cs="Times New Roman"/>
          <w:color w:val="auto"/>
          <w:sz w:val="24"/>
          <w:szCs w:val="24"/>
          <w:highlight w:val="none"/>
        </w:rPr>
      </w:pPr>
    </w:p>
    <w:p w14:paraId="0A308FBB">
      <w:pPr>
        <w:tabs>
          <w:tab w:val="left" w:pos="1440"/>
        </w:tabs>
        <w:spacing w:line="460" w:lineRule="exact"/>
        <w:rPr>
          <w:rFonts w:ascii="宋体" w:cs="Times New Roman"/>
          <w:color w:val="auto"/>
          <w:sz w:val="24"/>
          <w:szCs w:val="24"/>
          <w:highlight w:val="none"/>
        </w:rPr>
      </w:pPr>
    </w:p>
    <w:p w14:paraId="58186FDB">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甲方：                         乙方：</w:t>
      </w:r>
    </w:p>
    <w:p w14:paraId="1F16889B">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地址：                         地址：</w:t>
      </w:r>
    </w:p>
    <w:p w14:paraId="3C27908B">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法定（授权）代表人：           法定（授权）代表人：</w:t>
      </w:r>
    </w:p>
    <w:p w14:paraId="1F0FF0AE">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邮编：                         邮编：</w:t>
      </w:r>
    </w:p>
    <w:p w14:paraId="25F4A1A2">
      <w:pPr>
        <w:spacing w:line="460" w:lineRule="exact"/>
        <w:ind w:right="420" w:rightChars="200"/>
        <w:rPr>
          <w:rFonts w:ascii="宋体" w:hAnsi="宋体" w:cs="宋体"/>
          <w:color w:val="auto"/>
          <w:sz w:val="24"/>
          <w:szCs w:val="24"/>
          <w:highlight w:val="none"/>
        </w:rPr>
      </w:pPr>
      <w:r>
        <w:rPr>
          <w:rFonts w:hint="eastAsia" w:ascii="宋体" w:hAnsi="宋体" w:cs="宋体"/>
          <w:color w:val="auto"/>
          <w:sz w:val="24"/>
          <w:szCs w:val="24"/>
          <w:highlight w:val="none"/>
        </w:rPr>
        <w:t>日期：                         日期：</w:t>
      </w:r>
      <w:bookmarkEnd w:id="77"/>
      <w:bookmarkEnd w:id="78"/>
    </w:p>
    <w:p w14:paraId="733F6DFA">
      <w:pPr>
        <w:pStyle w:val="35"/>
        <w:snapToGrid w:val="0"/>
        <w:spacing w:beforeLines="0" w:afterLines="0" w:line="360" w:lineRule="auto"/>
        <w:rPr>
          <w:rFonts w:cs="Times New Roman"/>
          <w:color w:val="auto"/>
          <w:highlight w:val="none"/>
        </w:rPr>
      </w:pPr>
    </w:p>
    <w:p w14:paraId="355C612D">
      <w:pPr>
        <w:pStyle w:val="35"/>
        <w:snapToGrid w:val="0"/>
        <w:spacing w:beforeLines="0" w:afterLines="0" w:line="360" w:lineRule="auto"/>
        <w:rPr>
          <w:rFonts w:cs="Times New Roman"/>
          <w:color w:val="auto"/>
          <w:highlight w:val="none"/>
        </w:rPr>
      </w:pPr>
    </w:p>
    <w:p w14:paraId="4E36B0FF">
      <w:pPr>
        <w:pStyle w:val="35"/>
        <w:snapToGrid w:val="0"/>
        <w:spacing w:beforeLines="0" w:afterLines="0" w:line="360" w:lineRule="auto"/>
        <w:rPr>
          <w:rFonts w:cs="Times New Roman"/>
          <w:color w:val="auto"/>
          <w:highlight w:val="none"/>
        </w:rPr>
      </w:pPr>
    </w:p>
    <w:p w14:paraId="160DE9B2">
      <w:pPr>
        <w:pStyle w:val="35"/>
        <w:snapToGrid w:val="0"/>
        <w:spacing w:beforeLines="0" w:afterLines="0" w:line="360" w:lineRule="auto"/>
        <w:rPr>
          <w:rFonts w:cs="Times New Roman"/>
          <w:color w:val="auto"/>
          <w:highlight w:val="none"/>
        </w:rPr>
      </w:pPr>
    </w:p>
    <w:p w14:paraId="43463DC7">
      <w:pPr>
        <w:pStyle w:val="35"/>
        <w:snapToGrid w:val="0"/>
        <w:spacing w:beforeLines="0" w:afterLines="0" w:line="360" w:lineRule="auto"/>
        <w:rPr>
          <w:rFonts w:cs="Times New Roman"/>
          <w:color w:val="auto"/>
          <w:highlight w:val="none"/>
        </w:rPr>
      </w:pPr>
    </w:p>
    <w:p w14:paraId="042751BD">
      <w:pPr>
        <w:pStyle w:val="35"/>
        <w:snapToGrid w:val="0"/>
        <w:spacing w:beforeLines="0" w:afterLines="0" w:line="360" w:lineRule="auto"/>
        <w:rPr>
          <w:rFonts w:cs="Times New Roman"/>
          <w:color w:val="auto"/>
          <w:highlight w:val="none"/>
        </w:rPr>
      </w:pPr>
    </w:p>
    <w:p w14:paraId="1A345D3F">
      <w:pPr>
        <w:pStyle w:val="35"/>
        <w:snapToGrid w:val="0"/>
        <w:spacing w:beforeLines="0" w:afterLines="0" w:line="360" w:lineRule="auto"/>
        <w:rPr>
          <w:rFonts w:cs="Times New Roman"/>
          <w:color w:val="auto"/>
          <w:highlight w:val="none"/>
        </w:rPr>
      </w:pPr>
    </w:p>
    <w:p w14:paraId="382F6617">
      <w:pPr>
        <w:pStyle w:val="35"/>
        <w:snapToGrid w:val="0"/>
        <w:spacing w:beforeLines="0" w:afterLines="0" w:line="360" w:lineRule="auto"/>
        <w:rPr>
          <w:rFonts w:cs="Times New Roman"/>
          <w:color w:val="auto"/>
          <w:highlight w:val="none"/>
        </w:rPr>
      </w:pPr>
    </w:p>
    <w:p w14:paraId="40D1E079">
      <w:pPr>
        <w:pStyle w:val="35"/>
        <w:snapToGrid w:val="0"/>
        <w:spacing w:beforeLines="0" w:afterLines="0" w:line="360" w:lineRule="auto"/>
        <w:rPr>
          <w:rFonts w:cs="Times New Roman"/>
          <w:color w:val="auto"/>
          <w:highlight w:val="none"/>
        </w:rPr>
      </w:pPr>
    </w:p>
    <w:p w14:paraId="4D67745C">
      <w:pPr>
        <w:pStyle w:val="35"/>
        <w:snapToGrid w:val="0"/>
        <w:spacing w:beforeLines="0" w:afterLines="0" w:line="360" w:lineRule="auto"/>
        <w:rPr>
          <w:rFonts w:cs="Times New Roman"/>
          <w:color w:val="auto"/>
          <w:highlight w:val="none"/>
        </w:rPr>
      </w:pPr>
    </w:p>
    <w:p w14:paraId="2745C6D6">
      <w:pPr>
        <w:pStyle w:val="35"/>
        <w:snapToGrid w:val="0"/>
        <w:spacing w:beforeLines="0" w:afterLines="0" w:line="360" w:lineRule="auto"/>
        <w:rPr>
          <w:rFonts w:cs="Times New Roman"/>
          <w:color w:val="auto"/>
          <w:highlight w:val="none"/>
        </w:rPr>
      </w:pPr>
    </w:p>
    <w:p w14:paraId="363E9E81">
      <w:pPr>
        <w:pStyle w:val="35"/>
        <w:snapToGrid w:val="0"/>
        <w:spacing w:beforeLines="0" w:afterLines="0" w:line="360" w:lineRule="auto"/>
        <w:rPr>
          <w:rFonts w:cs="Times New Roman"/>
          <w:color w:val="auto"/>
          <w:highlight w:val="none"/>
        </w:rPr>
      </w:pPr>
    </w:p>
    <w:p w14:paraId="5FD851CD">
      <w:pPr>
        <w:pStyle w:val="35"/>
        <w:snapToGrid w:val="0"/>
        <w:spacing w:beforeLines="0" w:afterLines="0" w:line="360" w:lineRule="auto"/>
        <w:rPr>
          <w:rFonts w:cs="Times New Roman"/>
          <w:color w:val="auto"/>
          <w:highlight w:val="none"/>
        </w:rPr>
      </w:pPr>
    </w:p>
    <w:p w14:paraId="38905132">
      <w:pPr>
        <w:pStyle w:val="35"/>
        <w:snapToGrid w:val="0"/>
        <w:spacing w:beforeLines="0" w:afterLines="0" w:line="360" w:lineRule="auto"/>
        <w:rPr>
          <w:rFonts w:cs="Times New Roman"/>
          <w:color w:val="auto"/>
          <w:highlight w:val="none"/>
        </w:rPr>
      </w:pPr>
    </w:p>
    <w:p w14:paraId="3042CF53">
      <w:pPr>
        <w:pStyle w:val="3"/>
        <w:spacing w:before="120" w:after="120" w:line="240" w:lineRule="auto"/>
        <w:jc w:val="center"/>
        <w:rPr>
          <w:rFonts w:ascii="宋体"/>
          <w:color w:val="auto"/>
          <w:sz w:val="32"/>
          <w:szCs w:val="32"/>
          <w:highlight w:val="none"/>
        </w:rPr>
      </w:pPr>
      <w:bookmarkStart w:id="79" w:name="_Toc68613999"/>
      <w:r>
        <w:rPr>
          <w:rFonts w:hint="eastAsia" w:ascii="宋体" w:hAnsi="宋体" w:cs="宋体"/>
          <w:color w:val="auto"/>
          <w:sz w:val="32"/>
          <w:szCs w:val="32"/>
          <w:highlight w:val="none"/>
        </w:rPr>
        <w:t>第四章响应文件格式</w:t>
      </w:r>
      <w:bookmarkEnd w:id="79"/>
    </w:p>
    <w:p w14:paraId="7054BEF6">
      <w:pPr>
        <w:snapToGrid w:val="0"/>
        <w:spacing w:before="156" w:beforeLines="50" w:after="50" w:line="400" w:lineRule="exact"/>
        <w:outlineLvl w:val="1"/>
        <w:rPr>
          <w:rFonts w:ascii="宋体" w:cs="Times New Roman"/>
          <w:b/>
          <w:bCs/>
          <w:color w:val="auto"/>
          <w:sz w:val="24"/>
          <w:szCs w:val="24"/>
          <w:highlight w:val="none"/>
        </w:rPr>
      </w:pPr>
      <w:bookmarkStart w:id="80" w:name="_Toc68614000"/>
      <w:r>
        <w:rPr>
          <w:rFonts w:hint="eastAsia" w:ascii="宋体" w:hAnsi="宋体" w:cs="宋体"/>
          <w:b/>
          <w:bCs/>
          <w:color w:val="auto"/>
          <w:sz w:val="24"/>
          <w:szCs w:val="24"/>
          <w:highlight w:val="none"/>
        </w:rPr>
        <w:t>一、响应文件封面格式</w:t>
      </w:r>
      <w:bookmarkEnd w:id="80"/>
    </w:p>
    <w:p w14:paraId="254F786F">
      <w:pPr>
        <w:snapToGrid w:val="0"/>
        <w:spacing w:before="156" w:beforeLines="50" w:after="50" w:line="400" w:lineRule="exact"/>
        <w:jc w:val="center"/>
        <w:rPr>
          <w:rFonts w:ascii="宋体" w:cs="Times New Roman"/>
          <w:color w:val="auto"/>
          <w:sz w:val="24"/>
          <w:szCs w:val="24"/>
          <w:highlight w:val="none"/>
        </w:rPr>
      </w:pPr>
    </w:p>
    <w:p w14:paraId="07ECCE98">
      <w:pPr>
        <w:snapToGrid w:val="0"/>
        <w:spacing w:before="156" w:beforeLines="50" w:after="50" w:line="400" w:lineRule="exact"/>
        <w:jc w:val="center"/>
        <w:rPr>
          <w:rFonts w:ascii="宋体" w:cs="Times New Roman"/>
          <w:color w:val="auto"/>
          <w:sz w:val="24"/>
          <w:szCs w:val="24"/>
          <w:highlight w:val="none"/>
        </w:rPr>
      </w:pPr>
    </w:p>
    <w:p w14:paraId="139997CD">
      <w:pPr>
        <w:snapToGrid w:val="0"/>
        <w:spacing w:before="156" w:beforeLines="50" w:after="50" w:line="400" w:lineRule="exact"/>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响应文件</w:t>
      </w:r>
    </w:p>
    <w:p w14:paraId="0020BA2D">
      <w:pPr>
        <w:snapToGrid w:val="0"/>
        <w:spacing w:before="156" w:beforeLines="50" w:after="50" w:line="400" w:lineRule="exact"/>
        <w:rPr>
          <w:rFonts w:ascii="宋体" w:cs="Times New Roman"/>
          <w:color w:val="auto"/>
          <w:sz w:val="24"/>
          <w:szCs w:val="24"/>
          <w:highlight w:val="none"/>
        </w:rPr>
      </w:pPr>
    </w:p>
    <w:p w14:paraId="29E7BA7B">
      <w:pPr>
        <w:snapToGrid w:val="0"/>
        <w:spacing w:before="156" w:beforeLines="50" w:after="50" w:line="400" w:lineRule="exact"/>
        <w:rPr>
          <w:rFonts w:ascii="宋体" w:cs="Times New Roman"/>
          <w:color w:val="auto"/>
          <w:sz w:val="24"/>
          <w:szCs w:val="24"/>
          <w:highlight w:val="none"/>
        </w:rPr>
      </w:pPr>
    </w:p>
    <w:p w14:paraId="50C39E43">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项目名称：</w:t>
      </w:r>
    </w:p>
    <w:p w14:paraId="5CA1FDBC">
      <w:pPr>
        <w:snapToGrid w:val="0"/>
        <w:spacing w:before="156" w:beforeLines="50" w:after="50" w:line="400" w:lineRule="exact"/>
        <w:rPr>
          <w:rFonts w:ascii="宋体" w:cs="Times New Roman"/>
          <w:color w:val="auto"/>
          <w:sz w:val="24"/>
          <w:szCs w:val="24"/>
          <w:highlight w:val="none"/>
        </w:rPr>
      </w:pPr>
    </w:p>
    <w:p w14:paraId="4D9FB8F7">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项目编号：</w:t>
      </w:r>
    </w:p>
    <w:p w14:paraId="297132CF">
      <w:pPr>
        <w:snapToGrid w:val="0"/>
        <w:spacing w:before="156" w:beforeLines="50" w:after="50" w:line="400" w:lineRule="exact"/>
        <w:rPr>
          <w:rFonts w:ascii="宋体" w:cs="Times New Roman"/>
          <w:color w:val="auto"/>
          <w:sz w:val="24"/>
          <w:szCs w:val="24"/>
          <w:highlight w:val="none"/>
        </w:rPr>
      </w:pPr>
    </w:p>
    <w:p w14:paraId="31BD9C2D">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响应文件名称：</w:t>
      </w:r>
    </w:p>
    <w:p w14:paraId="39D9030A">
      <w:pPr>
        <w:snapToGrid w:val="0"/>
        <w:spacing w:before="156" w:beforeLines="50" w:after="50" w:line="400" w:lineRule="exact"/>
        <w:rPr>
          <w:rFonts w:ascii="宋体" w:cs="Times New Roman"/>
          <w:color w:val="auto"/>
          <w:sz w:val="24"/>
          <w:szCs w:val="24"/>
          <w:highlight w:val="none"/>
        </w:rPr>
      </w:pPr>
    </w:p>
    <w:p w14:paraId="126FEAC0">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供应商名称：</w:t>
      </w:r>
    </w:p>
    <w:p w14:paraId="42F76B65">
      <w:pPr>
        <w:snapToGrid w:val="0"/>
        <w:spacing w:before="156" w:beforeLines="50" w:after="50" w:line="400" w:lineRule="exact"/>
        <w:rPr>
          <w:rFonts w:ascii="宋体" w:cs="Times New Roman"/>
          <w:color w:val="auto"/>
          <w:sz w:val="24"/>
          <w:szCs w:val="24"/>
          <w:highlight w:val="none"/>
        </w:rPr>
      </w:pPr>
    </w:p>
    <w:p w14:paraId="315DE1AA">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供应商地址：</w:t>
      </w:r>
    </w:p>
    <w:p w14:paraId="5B8F648D">
      <w:pPr>
        <w:snapToGrid w:val="0"/>
        <w:spacing w:before="156" w:beforeLines="50" w:after="50" w:line="400" w:lineRule="exact"/>
        <w:rPr>
          <w:rFonts w:ascii="宋体" w:cs="Times New Roman"/>
          <w:color w:val="auto"/>
          <w:sz w:val="24"/>
          <w:szCs w:val="24"/>
          <w:highlight w:val="none"/>
        </w:rPr>
      </w:pPr>
    </w:p>
    <w:p w14:paraId="6B809DEF">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在年月日时分之前不得启封</w:t>
      </w:r>
    </w:p>
    <w:p w14:paraId="3D2BED45">
      <w:pPr>
        <w:snapToGrid w:val="0"/>
        <w:spacing w:before="156" w:beforeLines="50" w:after="50" w:line="400" w:lineRule="exact"/>
        <w:ind w:firstLine="4080" w:firstLineChars="1700"/>
        <w:rPr>
          <w:rFonts w:ascii="宋体" w:cs="Times New Roman"/>
          <w:color w:val="auto"/>
          <w:sz w:val="24"/>
          <w:szCs w:val="24"/>
          <w:highlight w:val="none"/>
        </w:rPr>
      </w:pPr>
    </w:p>
    <w:p w14:paraId="1AB5A9BE">
      <w:pPr>
        <w:snapToGrid w:val="0"/>
        <w:spacing w:before="156" w:beforeLines="50" w:after="50" w:line="400" w:lineRule="exact"/>
        <w:ind w:firstLine="645"/>
        <w:jc w:val="center"/>
        <w:rPr>
          <w:rFonts w:ascii="宋体" w:cs="Times New Roman"/>
          <w:color w:val="auto"/>
          <w:sz w:val="24"/>
          <w:szCs w:val="24"/>
          <w:highlight w:val="none"/>
        </w:rPr>
      </w:pPr>
    </w:p>
    <w:p w14:paraId="720259FD">
      <w:pPr>
        <w:snapToGrid w:val="0"/>
        <w:spacing w:before="156" w:beforeLines="50" w:after="50" w:line="400" w:lineRule="exact"/>
        <w:ind w:right="480" w:firstLine="645"/>
        <w:jc w:val="right"/>
        <w:rPr>
          <w:rFonts w:ascii="宋体" w:cs="Times New Roman"/>
          <w:color w:val="auto"/>
          <w:sz w:val="24"/>
          <w:szCs w:val="24"/>
          <w:highlight w:val="none"/>
        </w:rPr>
      </w:pPr>
      <w:r>
        <w:rPr>
          <w:rFonts w:hint="eastAsia" w:ascii="宋体" w:hAnsi="宋体" w:cs="宋体"/>
          <w:color w:val="auto"/>
          <w:sz w:val="24"/>
          <w:szCs w:val="24"/>
          <w:highlight w:val="none"/>
        </w:rPr>
        <w:t>年月日</w:t>
      </w:r>
    </w:p>
    <w:p w14:paraId="1A1CEB1F">
      <w:pPr>
        <w:snapToGrid w:val="0"/>
        <w:spacing w:before="156" w:beforeLines="50" w:after="50" w:line="400" w:lineRule="exact"/>
        <w:rPr>
          <w:rFonts w:ascii="宋体" w:cs="Times New Roman"/>
          <w:b/>
          <w:bCs/>
          <w:color w:val="auto"/>
          <w:sz w:val="24"/>
          <w:szCs w:val="24"/>
          <w:highlight w:val="none"/>
        </w:rPr>
      </w:pPr>
    </w:p>
    <w:p w14:paraId="33C8357E">
      <w:pPr>
        <w:snapToGrid w:val="0"/>
        <w:spacing w:before="156" w:beforeLines="50" w:after="50" w:line="400" w:lineRule="exact"/>
        <w:rPr>
          <w:rFonts w:ascii="宋体" w:cs="Times New Roman"/>
          <w:b/>
          <w:bCs/>
          <w:color w:val="auto"/>
          <w:sz w:val="24"/>
          <w:szCs w:val="24"/>
          <w:highlight w:val="none"/>
        </w:rPr>
      </w:pPr>
    </w:p>
    <w:p w14:paraId="55225F18">
      <w:pPr>
        <w:widowControl/>
        <w:spacing w:line="400" w:lineRule="exact"/>
        <w:rPr>
          <w:rFonts w:ascii="宋体" w:cs="Times New Roman"/>
          <w:b/>
          <w:bCs/>
          <w:color w:val="auto"/>
          <w:sz w:val="24"/>
          <w:szCs w:val="24"/>
          <w:highlight w:val="none"/>
        </w:rPr>
      </w:pPr>
      <w:r>
        <w:rPr>
          <w:rFonts w:ascii="宋体" w:cs="Times New Roman"/>
          <w:color w:val="auto"/>
          <w:highlight w:val="none"/>
        </w:rPr>
        <w:br w:type="page"/>
      </w:r>
      <w:r>
        <w:rPr>
          <w:rFonts w:hint="eastAsia" w:ascii="宋体" w:hAnsi="宋体" w:cs="宋体"/>
          <w:b/>
          <w:bCs/>
          <w:color w:val="auto"/>
          <w:sz w:val="24"/>
          <w:szCs w:val="24"/>
          <w:highlight w:val="none"/>
        </w:rPr>
        <w:t>二、报价文件目录：</w:t>
      </w:r>
    </w:p>
    <w:p w14:paraId="37C9BC7B">
      <w:pPr>
        <w:spacing w:line="460" w:lineRule="exact"/>
        <w:jc w:val="left"/>
        <w:rPr>
          <w:rFonts w:asci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）磋商报价一览表（首次报价</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505F993D">
      <w:pPr>
        <w:spacing w:line="460" w:lineRule="exact"/>
        <w:jc w:val="left"/>
        <w:rPr>
          <w:rFonts w:asci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）磋商报价明细表；</w:t>
      </w:r>
    </w:p>
    <w:p w14:paraId="7548585E">
      <w:pPr>
        <w:spacing w:line="460" w:lineRule="exact"/>
        <w:jc w:val="left"/>
        <w:rPr>
          <w:rFonts w:asci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）采购代理服务费承诺函；</w:t>
      </w:r>
    </w:p>
    <w:p w14:paraId="5F26A119">
      <w:pPr>
        <w:spacing w:line="460" w:lineRule="exact"/>
        <w:jc w:val="left"/>
        <w:rPr>
          <w:rFonts w:asci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）供应商针对报价需要说明的其他文件和说明。</w:t>
      </w:r>
    </w:p>
    <w:p w14:paraId="1A2F23BC">
      <w:pPr>
        <w:snapToGrid w:val="0"/>
        <w:spacing w:before="156" w:beforeLines="50" w:after="50" w:line="400" w:lineRule="exact"/>
        <w:rPr>
          <w:rFonts w:ascii="宋体" w:cs="Times New Roman"/>
          <w:color w:val="auto"/>
          <w:highlight w:val="none"/>
        </w:rPr>
      </w:pPr>
    </w:p>
    <w:p w14:paraId="2C7E230F">
      <w:pPr>
        <w:snapToGrid w:val="0"/>
        <w:spacing w:before="156" w:beforeLines="50" w:after="50" w:line="400" w:lineRule="exact"/>
        <w:rPr>
          <w:rFonts w:ascii="宋体" w:cs="Times New Roman"/>
          <w:color w:val="auto"/>
          <w:highlight w:val="none"/>
        </w:rPr>
      </w:pPr>
    </w:p>
    <w:p w14:paraId="798C9EF3">
      <w:pPr>
        <w:snapToGrid w:val="0"/>
        <w:spacing w:before="156" w:beforeLines="50" w:after="50" w:line="400" w:lineRule="exact"/>
        <w:rPr>
          <w:rFonts w:ascii="宋体" w:cs="Times New Roman"/>
          <w:color w:val="auto"/>
          <w:highlight w:val="none"/>
        </w:rPr>
      </w:pPr>
    </w:p>
    <w:p w14:paraId="5835AE56">
      <w:pPr>
        <w:snapToGrid w:val="0"/>
        <w:spacing w:before="156" w:beforeLines="50" w:after="50" w:line="400" w:lineRule="exact"/>
        <w:rPr>
          <w:rFonts w:ascii="宋体" w:cs="Times New Roman"/>
          <w:color w:val="auto"/>
          <w:highlight w:val="none"/>
        </w:rPr>
      </w:pPr>
    </w:p>
    <w:p w14:paraId="24CF92CC">
      <w:pPr>
        <w:snapToGrid w:val="0"/>
        <w:spacing w:before="156" w:beforeLines="50" w:after="50" w:line="400" w:lineRule="exact"/>
        <w:rPr>
          <w:rFonts w:ascii="宋体" w:cs="Times New Roman"/>
          <w:color w:val="auto"/>
          <w:highlight w:val="none"/>
        </w:rPr>
      </w:pPr>
    </w:p>
    <w:p w14:paraId="43C29426">
      <w:pPr>
        <w:snapToGrid w:val="0"/>
        <w:spacing w:before="156" w:beforeLines="50" w:after="50" w:line="400" w:lineRule="exact"/>
        <w:rPr>
          <w:rFonts w:ascii="宋体" w:cs="Times New Roman"/>
          <w:color w:val="auto"/>
          <w:highlight w:val="none"/>
        </w:rPr>
      </w:pPr>
    </w:p>
    <w:p w14:paraId="0EE180CE">
      <w:pPr>
        <w:snapToGrid w:val="0"/>
        <w:spacing w:before="156" w:beforeLines="50" w:after="50" w:line="400" w:lineRule="exact"/>
        <w:rPr>
          <w:rFonts w:ascii="宋体" w:cs="Times New Roman"/>
          <w:color w:val="auto"/>
          <w:highlight w:val="none"/>
        </w:rPr>
      </w:pPr>
    </w:p>
    <w:p w14:paraId="28566EDF">
      <w:pPr>
        <w:snapToGrid w:val="0"/>
        <w:spacing w:before="156" w:beforeLines="50" w:after="50" w:line="400" w:lineRule="exact"/>
        <w:rPr>
          <w:rFonts w:ascii="宋体" w:cs="Times New Roman"/>
          <w:color w:val="auto"/>
          <w:highlight w:val="none"/>
        </w:rPr>
      </w:pPr>
    </w:p>
    <w:p w14:paraId="1ADE8521">
      <w:pPr>
        <w:snapToGrid w:val="0"/>
        <w:spacing w:before="156" w:beforeLines="50" w:after="50" w:line="400" w:lineRule="exact"/>
        <w:rPr>
          <w:rFonts w:ascii="宋体" w:cs="Times New Roman"/>
          <w:color w:val="auto"/>
          <w:highlight w:val="none"/>
        </w:rPr>
      </w:pPr>
    </w:p>
    <w:p w14:paraId="6708F949">
      <w:pPr>
        <w:snapToGrid w:val="0"/>
        <w:spacing w:before="156" w:beforeLines="50" w:after="50" w:line="400" w:lineRule="exact"/>
        <w:rPr>
          <w:rFonts w:ascii="宋体" w:cs="Times New Roman"/>
          <w:color w:val="auto"/>
          <w:highlight w:val="none"/>
        </w:rPr>
      </w:pPr>
    </w:p>
    <w:p w14:paraId="27F4CBB9">
      <w:pPr>
        <w:snapToGrid w:val="0"/>
        <w:spacing w:before="156" w:beforeLines="50" w:after="50" w:line="400" w:lineRule="exact"/>
        <w:rPr>
          <w:rFonts w:ascii="宋体" w:cs="Times New Roman"/>
          <w:color w:val="auto"/>
          <w:highlight w:val="none"/>
        </w:rPr>
      </w:pPr>
    </w:p>
    <w:p w14:paraId="08F90698">
      <w:pPr>
        <w:snapToGrid w:val="0"/>
        <w:spacing w:before="156" w:beforeLines="50" w:after="50" w:line="400" w:lineRule="exact"/>
        <w:rPr>
          <w:rFonts w:ascii="宋体" w:cs="Times New Roman"/>
          <w:color w:val="auto"/>
          <w:highlight w:val="none"/>
        </w:rPr>
      </w:pPr>
    </w:p>
    <w:p w14:paraId="686F0331">
      <w:pPr>
        <w:snapToGrid w:val="0"/>
        <w:spacing w:before="156" w:beforeLines="50" w:after="50" w:line="400" w:lineRule="exact"/>
        <w:rPr>
          <w:rFonts w:ascii="宋体" w:cs="Times New Roman"/>
          <w:color w:val="auto"/>
          <w:highlight w:val="none"/>
        </w:rPr>
      </w:pPr>
    </w:p>
    <w:p w14:paraId="22901AC0">
      <w:pPr>
        <w:snapToGrid w:val="0"/>
        <w:spacing w:before="156" w:beforeLines="50" w:after="50" w:line="400" w:lineRule="exact"/>
        <w:rPr>
          <w:rFonts w:ascii="宋体" w:cs="Times New Roman"/>
          <w:color w:val="auto"/>
          <w:highlight w:val="none"/>
        </w:rPr>
      </w:pPr>
    </w:p>
    <w:p w14:paraId="37650C36">
      <w:pPr>
        <w:snapToGrid w:val="0"/>
        <w:spacing w:before="156" w:beforeLines="50" w:after="50" w:line="400" w:lineRule="exact"/>
        <w:rPr>
          <w:rFonts w:ascii="宋体" w:cs="Times New Roman"/>
          <w:color w:val="auto"/>
          <w:highlight w:val="none"/>
        </w:rPr>
      </w:pPr>
    </w:p>
    <w:p w14:paraId="7E81614E">
      <w:pPr>
        <w:snapToGrid w:val="0"/>
        <w:spacing w:before="156" w:beforeLines="50" w:after="50" w:line="400" w:lineRule="exact"/>
        <w:rPr>
          <w:rFonts w:ascii="宋体" w:cs="Times New Roman"/>
          <w:color w:val="auto"/>
          <w:highlight w:val="none"/>
        </w:rPr>
      </w:pPr>
    </w:p>
    <w:p w14:paraId="271EC89A">
      <w:pPr>
        <w:snapToGrid w:val="0"/>
        <w:spacing w:before="156" w:beforeLines="50" w:after="50" w:line="400" w:lineRule="exact"/>
        <w:rPr>
          <w:rFonts w:ascii="宋体" w:hAnsi="宋体" w:cs="宋体"/>
          <w:color w:val="auto"/>
          <w:sz w:val="24"/>
          <w:szCs w:val="24"/>
          <w:highlight w:val="none"/>
        </w:rPr>
      </w:pPr>
    </w:p>
    <w:p w14:paraId="104B79A3">
      <w:pPr>
        <w:snapToGrid w:val="0"/>
        <w:spacing w:before="156" w:beforeLines="50" w:after="50" w:line="400" w:lineRule="exact"/>
        <w:rPr>
          <w:rFonts w:ascii="宋体" w:hAnsi="宋体" w:cs="宋体"/>
          <w:color w:val="auto"/>
          <w:sz w:val="24"/>
          <w:szCs w:val="24"/>
          <w:highlight w:val="none"/>
        </w:rPr>
      </w:pPr>
    </w:p>
    <w:p w14:paraId="7D1DFBAC">
      <w:pPr>
        <w:snapToGrid w:val="0"/>
        <w:spacing w:before="156" w:beforeLines="50" w:after="50" w:line="400" w:lineRule="exact"/>
        <w:rPr>
          <w:rFonts w:ascii="宋体" w:hAnsi="宋体" w:cs="宋体"/>
          <w:color w:val="auto"/>
          <w:sz w:val="24"/>
          <w:szCs w:val="24"/>
          <w:highlight w:val="none"/>
        </w:rPr>
      </w:pPr>
    </w:p>
    <w:p w14:paraId="150D2B45">
      <w:pPr>
        <w:snapToGrid w:val="0"/>
        <w:spacing w:before="156" w:beforeLines="50" w:after="50" w:line="400" w:lineRule="exact"/>
        <w:rPr>
          <w:rFonts w:ascii="宋体" w:hAnsi="宋体" w:cs="宋体"/>
          <w:color w:val="auto"/>
          <w:sz w:val="24"/>
          <w:szCs w:val="24"/>
          <w:highlight w:val="none"/>
        </w:rPr>
      </w:pPr>
    </w:p>
    <w:p w14:paraId="1BE38CFC">
      <w:pPr>
        <w:snapToGrid w:val="0"/>
        <w:spacing w:before="156" w:beforeLines="50" w:after="50" w:line="400" w:lineRule="exact"/>
        <w:rPr>
          <w:rFonts w:ascii="宋体" w:hAnsi="宋体" w:cs="宋体"/>
          <w:color w:val="auto"/>
          <w:sz w:val="24"/>
          <w:szCs w:val="24"/>
          <w:highlight w:val="none"/>
        </w:rPr>
      </w:pPr>
    </w:p>
    <w:p w14:paraId="1C948F30">
      <w:pPr>
        <w:snapToGrid w:val="0"/>
        <w:spacing w:before="156" w:beforeLines="50" w:after="50" w:line="400" w:lineRule="exact"/>
        <w:rPr>
          <w:rFonts w:ascii="宋体" w:hAnsi="宋体" w:cs="宋体"/>
          <w:b/>
          <w:bCs/>
          <w:color w:val="auto"/>
          <w:sz w:val="36"/>
          <w:szCs w:val="36"/>
          <w:highlight w:val="none"/>
        </w:rPr>
      </w:pPr>
      <w:r>
        <w:rPr>
          <w:rFonts w:ascii="宋体" w:hAnsi="宋体" w:cs="宋体"/>
          <w:b/>
          <w:bCs/>
          <w:color w:val="auto"/>
          <w:sz w:val="36"/>
          <w:szCs w:val="36"/>
          <w:highlight w:val="none"/>
        </w:rPr>
        <w:t>1</w:t>
      </w:r>
      <w:r>
        <w:rPr>
          <w:rFonts w:hint="eastAsia" w:ascii="宋体" w:hAnsi="宋体" w:cs="宋体"/>
          <w:b/>
          <w:bCs/>
          <w:color w:val="auto"/>
          <w:sz w:val="36"/>
          <w:szCs w:val="36"/>
          <w:highlight w:val="none"/>
        </w:rPr>
        <w:t>、磋商报价一览表（首次报价）</w:t>
      </w:r>
    </w:p>
    <w:p w14:paraId="63FEA3F0">
      <w:pPr>
        <w:spacing w:line="360" w:lineRule="auto"/>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（该表格装入响应文件正本内</w:t>
      </w:r>
      <w:r>
        <w:rPr>
          <w:rFonts w:ascii="宋体" w:hAnsi="宋体" w:cs="宋体"/>
          <w:b/>
          <w:bCs/>
          <w:color w:val="auto"/>
          <w:sz w:val="36"/>
          <w:szCs w:val="36"/>
          <w:highlight w:val="none"/>
        </w:rPr>
        <w:t>)</w:t>
      </w:r>
    </w:p>
    <w:p w14:paraId="007B7F82">
      <w:pPr>
        <w:spacing w:line="360" w:lineRule="auto"/>
        <w:rPr>
          <w:rFonts w:ascii="宋体" w:cs="Times New Roman"/>
          <w:color w:val="auto"/>
          <w:sz w:val="28"/>
          <w:szCs w:val="28"/>
          <w:highlight w:val="none"/>
        </w:rPr>
      </w:pPr>
    </w:p>
    <w:p w14:paraId="6EE0AB09">
      <w:pPr>
        <w:ind w:firstLine="309"/>
        <w:rPr>
          <w:rFonts w:ascii="宋体" w:cs="宋体"/>
          <w:color w:val="auto"/>
          <w:sz w:val="28"/>
          <w:szCs w:val="28"/>
          <w:highlight w:val="none"/>
        </w:rPr>
      </w:pPr>
      <w:r>
        <w:rPr>
          <w:rFonts w:hint="eastAsia" w:ascii="宋体" w:hAnsi="宋体" w:cs="宋体"/>
          <w:color w:val="auto"/>
          <w:sz w:val="28"/>
          <w:szCs w:val="28"/>
          <w:highlight w:val="none"/>
        </w:rPr>
        <w:t>供应商全称（加盖公章）：磋商文件编号：</w:t>
      </w:r>
    </w:p>
    <w:tbl>
      <w:tblPr>
        <w:tblStyle w:val="6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672"/>
        <w:gridCol w:w="5974"/>
      </w:tblGrid>
      <w:tr w14:paraId="20CF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trPr>
        <w:tc>
          <w:tcPr>
            <w:tcW w:w="2369" w:type="dxa"/>
            <w:gridSpan w:val="2"/>
            <w:vAlign w:val="center"/>
          </w:tcPr>
          <w:p w14:paraId="46BD4ABD">
            <w:pPr>
              <w:jc w:val="center"/>
              <w:rPr>
                <w:rFonts w:ascii="宋体" w:cs="宋体"/>
                <w:color w:val="auto"/>
                <w:sz w:val="28"/>
                <w:szCs w:val="28"/>
                <w:highlight w:val="none"/>
              </w:rPr>
            </w:pPr>
            <w:r>
              <w:rPr>
                <w:rFonts w:hint="eastAsia" w:ascii="宋体" w:hAnsi="宋体" w:cs="宋体"/>
                <w:color w:val="auto"/>
                <w:sz w:val="28"/>
                <w:szCs w:val="28"/>
                <w:highlight w:val="none"/>
              </w:rPr>
              <w:t>项目名称</w:t>
            </w:r>
          </w:p>
        </w:tc>
        <w:tc>
          <w:tcPr>
            <w:tcW w:w="5974" w:type="dxa"/>
            <w:vAlign w:val="center"/>
          </w:tcPr>
          <w:p w14:paraId="60236FB9">
            <w:pPr>
              <w:jc w:val="center"/>
              <w:rPr>
                <w:rFonts w:ascii="宋体" w:cs="宋体"/>
                <w:color w:val="auto"/>
                <w:sz w:val="28"/>
                <w:szCs w:val="28"/>
                <w:highlight w:val="none"/>
              </w:rPr>
            </w:pPr>
          </w:p>
        </w:tc>
      </w:tr>
      <w:tr w14:paraId="4106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697" w:type="dxa"/>
            <w:vMerge w:val="restart"/>
            <w:vAlign w:val="center"/>
          </w:tcPr>
          <w:p w14:paraId="53AAD049">
            <w:pPr>
              <w:jc w:val="center"/>
              <w:rPr>
                <w:rFonts w:ascii="宋体" w:cs="宋体"/>
                <w:color w:val="auto"/>
                <w:sz w:val="28"/>
                <w:szCs w:val="28"/>
                <w:highlight w:val="none"/>
              </w:rPr>
            </w:pPr>
            <w:r>
              <w:rPr>
                <w:rFonts w:hint="eastAsia" w:ascii="宋体" w:hAnsi="宋体" w:cs="宋体"/>
                <w:color w:val="auto"/>
                <w:sz w:val="28"/>
                <w:szCs w:val="28"/>
                <w:highlight w:val="none"/>
              </w:rPr>
              <w:t>磋商总报价</w:t>
            </w:r>
          </w:p>
          <w:p w14:paraId="77694A34">
            <w:pPr>
              <w:jc w:val="center"/>
              <w:rPr>
                <w:rFonts w:ascii="宋体" w:cs="宋体"/>
                <w:color w:val="auto"/>
                <w:sz w:val="28"/>
                <w:szCs w:val="28"/>
                <w:highlight w:val="none"/>
              </w:rPr>
            </w:pPr>
            <w:r>
              <w:rPr>
                <w:rFonts w:hint="eastAsia" w:ascii="宋体" w:hAnsi="宋体" w:cs="宋体"/>
                <w:color w:val="auto"/>
                <w:sz w:val="28"/>
                <w:szCs w:val="28"/>
                <w:highlight w:val="none"/>
              </w:rPr>
              <w:t>人民币（元）</w:t>
            </w:r>
          </w:p>
        </w:tc>
        <w:tc>
          <w:tcPr>
            <w:tcW w:w="672" w:type="dxa"/>
            <w:vAlign w:val="center"/>
          </w:tcPr>
          <w:p w14:paraId="682EBECF">
            <w:pPr>
              <w:jc w:val="center"/>
              <w:rPr>
                <w:rFonts w:ascii="宋体" w:cs="宋体"/>
                <w:color w:val="auto"/>
                <w:sz w:val="28"/>
                <w:szCs w:val="28"/>
                <w:highlight w:val="none"/>
              </w:rPr>
            </w:pPr>
            <w:r>
              <w:rPr>
                <w:rFonts w:hint="eastAsia" w:ascii="宋体" w:hAnsi="宋体" w:cs="宋体"/>
                <w:color w:val="auto"/>
                <w:sz w:val="28"/>
                <w:szCs w:val="28"/>
                <w:highlight w:val="none"/>
              </w:rPr>
              <w:t>小写</w:t>
            </w:r>
          </w:p>
        </w:tc>
        <w:tc>
          <w:tcPr>
            <w:tcW w:w="5974" w:type="dxa"/>
            <w:vAlign w:val="center"/>
          </w:tcPr>
          <w:p w14:paraId="303C404B">
            <w:pPr>
              <w:jc w:val="center"/>
              <w:rPr>
                <w:rFonts w:ascii="宋体" w:cs="宋体"/>
                <w:color w:val="auto"/>
                <w:sz w:val="28"/>
                <w:szCs w:val="28"/>
                <w:highlight w:val="none"/>
              </w:rPr>
            </w:pPr>
          </w:p>
        </w:tc>
      </w:tr>
      <w:tr w14:paraId="2D0A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697" w:type="dxa"/>
            <w:vMerge w:val="continue"/>
            <w:vAlign w:val="center"/>
          </w:tcPr>
          <w:p w14:paraId="3942FD0A">
            <w:pPr>
              <w:jc w:val="center"/>
              <w:rPr>
                <w:rFonts w:ascii="宋体" w:cs="宋体"/>
                <w:color w:val="auto"/>
                <w:sz w:val="28"/>
                <w:szCs w:val="28"/>
                <w:highlight w:val="none"/>
              </w:rPr>
            </w:pPr>
          </w:p>
        </w:tc>
        <w:tc>
          <w:tcPr>
            <w:tcW w:w="672" w:type="dxa"/>
            <w:vAlign w:val="center"/>
          </w:tcPr>
          <w:p w14:paraId="7CAC5A7A">
            <w:pPr>
              <w:jc w:val="center"/>
              <w:rPr>
                <w:rFonts w:ascii="宋体" w:cs="宋体"/>
                <w:color w:val="auto"/>
                <w:sz w:val="28"/>
                <w:szCs w:val="28"/>
                <w:highlight w:val="none"/>
              </w:rPr>
            </w:pPr>
            <w:r>
              <w:rPr>
                <w:rFonts w:hint="eastAsia" w:ascii="宋体" w:hAnsi="宋体" w:cs="宋体"/>
                <w:color w:val="auto"/>
                <w:sz w:val="28"/>
                <w:szCs w:val="28"/>
                <w:highlight w:val="none"/>
              </w:rPr>
              <w:t>大写</w:t>
            </w:r>
          </w:p>
        </w:tc>
        <w:tc>
          <w:tcPr>
            <w:tcW w:w="5974" w:type="dxa"/>
            <w:vAlign w:val="center"/>
          </w:tcPr>
          <w:p w14:paraId="52CBE5D9">
            <w:pPr>
              <w:jc w:val="center"/>
              <w:rPr>
                <w:rFonts w:ascii="宋体" w:cs="宋体"/>
                <w:color w:val="auto"/>
                <w:sz w:val="28"/>
                <w:szCs w:val="28"/>
                <w:highlight w:val="none"/>
              </w:rPr>
            </w:pPr>
          </w:p>
        </w:tc>
      </w:tr>
    </w:tbl>
    <w:p w14:paraId="51942AE1">
      <w:pPr>
        <w:spacing w:line="360" w:lineRule="auto"/>
        <w:rPr>
          <w:rFonts w:ascii="宋体" w:cs="宋体"/>
          <w:color w:val="auto"/>
          <w:sz w:val="28"/>
          <w:szCs w:val="28"/>
          <w:highlight w:val="none"/>
        </w:rPr>
      </w:pPr>
      <w:r>
        <w:rPr>
          <w:rFonts w:hint="eastAsia" w:ascii="宋体" w:hAnsi="宋体" w:cs="宋体"/>
          <w:color w:val="auto"/>
          <w:sz w:val="28"/>
          <w:szCs w:val="28"/>
          <w:highlight w:val="none"/>
        </w:rPr>
        <w:t>法定代表人或其授权代理人签字或盖章：</w:t>
      </w:r>
    </w:p>
    <w:p w14:paraId="1D4F4C4A">
      <w:pPr>
        <w:spacing w:line="360" w:lineRule="auto"/>
        <w:rPr>
          <w:rFonts w:ascii="宋体" w:cs="Times New Roman"/>
          <w:color w:val="auto"/>
          <w:sz w:val="28"/>
          <w:szCs w:val="28"/>
          <w:highlight w:val="none"/>
        </w:rPr>
      </w:pPr>
      <w:r>
        <w:rPr>
          <w:rFonts w:hint="eastAsia" w:ascii="宋体" w:hAnsi="宋体" w:cs="宋体"/>
          <w:color w:val="auto"/>
          <w:sz w:val="28"/>
          <w:szCs w:val="28"/>
          <w:highlight w:val="none"/>
        </w:rPr>
        <w:t>日期：年月日</w:t>
      </w:r>
    </w:p>
    <w:p w14:paraId="7C26485C">
      <w:pPr>
        <w:rPr>
          <w:rFonts w:ascii="宋体" w:cs="Times New Roman"/>
          <w:color w:val="auto"/>
          <w:sz w:val="28"/>
          <w:szCs w:val="28"/>
          <w:highlight w:val="none"/>
        </w:rPr>
      </w:pPr>
    </w:p>
    <w:p w14:paraId="3A6E6501">
      <w:pPr>
        <w:rPr>
          <w:rFonts w:ascii="宋体" w:cs="Times New Roman"/>
          <w:b/>
          <w:bCs/>
          <w:color w:val="auto"/>
          <w:sz w:val="28"/>
          <w:szCs w:val="28"/>
          <w:highlight w:val="none"/>
        </w:rPr>
      </w:pPr>
      <w:r>
        <w:rPr>
          <w:rFonts w:hint="eastAsia" w:ascii="宋体" w:hAnsi="宋体" w:cs="宋体"/>
          <w:b/>
          <w:bCs/>
          <w:color w:val="auto"/>
          <w:sz w:val="28"/>
          <w:szCs w:val="28"/>
          <w:highlight w:val="none"/>
        </w:rPr>
        <w:t>注：磋商过程中的《磋商报价一览表》由采购机构另行提供。</w:t>
      </w:r>
    </w:p>
    <w:p w14:paraId="22672B29">
      <w:pPr>
        <w:snapToGrid w:val="0"/>
        <w:spacing w:before="50" w:after="50" w:line="320" w:lineRule="exact"/>
        <w:jc w:val="left"/>
        <w:rPr>
          <w:rFonts w:cs="Times New Roman"/>
          <w:color w:val="auto"/>
          <w:sz w:val="24"/>
          <w:szCs w:val="24"/>
          <w:highlight w:val="none"/>
        </w:rPr>
      </w:pPr>
    </w:p>
    <w:p w14:paraId="2CACD49C">
      <w:pPr>
        <w:snapToGrid w:val="0"/>
        <w:spacing w:before="50" w:after="50" w:line="320" w:lineRule="exact"/>
        <w:jc w:val="left"/>
        <w:rPr>
          <w:rFonts w:cs="Times New Roman"/>
          <w:color w:val="auto"/>
          <w:sz w:val="24"/>
          <w:szCs w:val="24"/>
          <w:highlight w:val="none"/>
        </w:rPr>
      </w:pPr>
    </w:p>
    <w:p w14:paraId="2D3A2306">
      <w:pPr>
        <w:snapToGrid w:val="0"/>
        <w:spacing w:before="50" w:after="50" w:line="320" w:lineRule="exact"/>
        <w:jc w:val="left"/>
        <w:rPr>
          <w:rFonts w:cs="Times New Roman"/>
          <w:color w:val="auto"/>
          <w:sz w:val="24"/>
          <w:szCs w:val="24"/>
          <w:highlight w:val="none"/>
        </w:rPr>
      </w:pPr>
    </w:p>
    <w:p w14:paraId="3DC00ECD">
      <w:pPr>
        <w:snapToGrid w:val="0"/>
        <w:spacing w:before="50" w:after="50" w:line="320" w:lineRule="exact"/>
        <w:jc w:val="left"/>
        <w:rPr>
          <w:rFonts w:cs="Times New Roman"/>
          <w:color w:val="auto"/>
          <w:sz w:val="24"/>
          <w:szCs w:val="24"/>
          <w:highlight w:val="none"/>
        </w:rPr>
      </w:pPr>
    </w:p>
    <w:p w14:paraId="1AFC3382">
      <w:pPr>
        <w:snapToGrid w:val="0"/>
        <w:spacing w:before="50" w:after="50" w:line="320" w:lineRule="exact"/>
        <w:jc w:val="left"/>
        <w:rPr>
          <w:rFonts w:cs="Times New Roman"/>
          <w:color w:val="auto"/>
          <w:sz w:val="24"/>
          <w:szCs w:val="24"/>
          <w:highlight w:val="none"/>
        </w:rPr>
      </w:pPr>
    </w:p>
    <w:p w14:paraId="39F990C3">
      <w:pPr>
        <w:snapToGrid w:val="0"/>
        <w:spacing w:before="50" w:after="50" w:line="320" w:lineRule="exact"/>
        <w:jc w:val="left"/>
        <w:rPr>
          <w:rFonts w:cs="Times New Roman"/>
          <w:color w:val="auto"/>
          <w:sz w:val="24"/>
          <w:szCs w:val="24"/>
          <w:highlight w:val="none"/>
        </w:rPr>
      </w:pPr>
    </w:p>
    <w:p w14:paraId="5E3D87D6">
      <w:pPr>
        <w:snapToGrid w:val="0"/>
        <w:spacing w:before="50" w:after="50" w:line="320" w:lineRule="exact"/>
        <w:jc w:val="left"/>
        <w:rPr>
          <w:rFonts w:cs="Times New Roman"/>
          <w:color w:val="auto"/>
          <w:sz w:val="24"/>
          <w:szCs w:val="24"/>
          <w:highlight w:val="none"/>
        </w:rPr>
      </w:pPr>
    </w:p>
    <w:p w14:paraId="3D4A3A56">
      <w:pPr>
        <w:widowControl/>
        <w:spacing w:line="400" w:lineRule="exact"/>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、磋商报价明细表</w:t>
      </w:r>
      <w:r>
        <w:rPr>
          <w:rFonts w:hint="eastAsia" w:hAnsi="宋体" w:cs="宋体"/>
          <w:color w:val="auto"/>
          <w:sz w:val="24"/>
          <w:szCs w:val="24"/>
          <w:highlight w:val="none"/>
        </w:rPr>
        <w:t>格式：</w:t>
      </w:r>
    </w:p>
    <w:p w14:paraId="41E7CF2E">
      <w:pPr>
        <w:jc w:val="center"/>
        <w:rPr>
          <w:rFonts w:ascii="宋体" w:cs="Times New Roman"/>
          <w:b/>
          <w:bCs/>
          <w:color w:val="auto"/>
          <w:sz w:val="24"/>
          <w:szCs w:val="24"/>
          <w:highlight w:val="none"/>
        </w:rPr>
      </w:pPr>
      <w:r>
        <w:rPr>
          <w:rFonts w:hint="eastAsia" w:ascii="宋体" w:hAnsi="宋体" w:cs="宋体"/>
          <w:b/>
          <w:bCs/>
          <w:color w:val="auto"/>
          <w:sz w:val="36"/>
          <w:szCs w:val="36"/>
          <w:highlight w:val="none"/>
        </w:rPr>
        <w:t>磋商报价明细表</w:t>
      </w:r>
    </w:p>
    <w:p w14:paraId="42E24DF5">
      <w:pPr>
        <w:snapToGrid w:val="0"/>
        <w:spacing w:before="50" w:after="50"/>
        <w:rPr>
          <w:rFonts w:ascii="宋体" w:cs="Times New Roman"/>
          <w:b/>
          <w:bCs/>
          <w:color w:val="auto"/>
          <w:sz w:val="24"/>
          <w:szCs w:val="24"/>
          <w:highlight w:val="none"/>
        </w:rPr>
      </w:pPr>
    </w:p>
    <w:tbl>
      <w:tblPr>
        <w:tblStyle w:val="63"/>
        <w:tblW w:w="8946" w:type="dxa"/>
        <w:tblInd w:w="93" w:type="dxa"/>
        <w:tblLayout w:type="fixed"/>
        <w:tblCellMar>
          <w:top w:w="0" w:type="dxa"/>
          <w:left w:w="108" w:type="dxa"/>
          <w:bottom w:w="0" w:type="dxa"/>
          <w:right w:w="108" w:type="dxa"/>
        </w:tblCellMar>
      </w:tblPr>
      <w:tblGrid>
        <w:gridCol w:w="724"/>
        <w:gridCol w:w="3260"/>
        <w:gridCol w:w="1843"/>
        <w:gridCol w:w="1276"/>
        <w:gridCol w:w="1843"/>
      </w:tblGrid>
      <w:tr w14:paraId="37638C63">
        <w:tblPrEx>
          <w:tblCellMar>
            <w:top w:w="0" w:type="dxa"/>
            <w:left w:w="108" w:type="dxa"/>
            <w:bottom w:w="0" w:type="dxa"/>
            <w:right w:w="108" w:type="dxa"/>
          </w:tblCellMar>
        </w:tblPrEx>
        <w:trPr>
          <w:trHeight w:val="270" w:hRule="atLeast"/>
        </w:trPr>
        <w:tc>
          <w:tcPr>
            <w:tcW w:w="724" w:type="dxa"/>
            <w:vMerge w:val="restart"/>
            <w:tcBorders>
              <w:top w:val="single" w:color="000000" w:sz="8" w:space="0"/>
              <w:left w:val="single" w:color="000000" w:sz="8" w:space="0"/>
              <w:bottom w:val="single" w:color="000000" w:sz="8" w:space="0"/>
              <w:right w:val="single" w:color="000000" w:sz="8" w:space="0"/>
            </w:tcBorders>
            <w:shd w:val="clear" w:color="000000" w:fill="F2F2F2"/>
          </w:tcPr>
          <w:p w14:paraId="69B545D5">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260" w:type="dxa"/>
            <w:vMerge w:val="restart"/>
            <w:tcBorders>
              <w:top w:val="single" w:color="000000" w:sz="8" w:space="0"/>
              <w:left w:val="single" w:color="000000" w:sz="8" w:space="0"/>
              <w:bottom w:val="single" w:color="000000" w:sz="8" w:space="0"/>
              <w:right w:val="single" w:color="000000" w:sz="8" w:space="0"/>
            </w:tcBorders>
            <w:shd w:val="clear" w:color="000000" w:fill="F2F2F2"/>
          </w:tcPr>
          <w:p w14:paraId="26A9AB9A">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名称</w:t>
            </w:r>
          </w:p>
        </w:tc>
        <w:tc>
          <w:tcPr>
            <w:tcW w:w="1843" w:type="dxa"/>
            <w:tcBorders>
              <w:top w:val="single" w:color="000000" w:sz="8" w:space="0"/>
              <w:left w:val="nil"/>
              <w:bottom w:val="nil"/>
              <w:right w:val="single" w:color="000000" w:sz="8" w:space="0"/>
            </w:tcBorders>
            <w:shd w:val="clear" w:color="000000" w:fill="F2F2F2"/>
          </w:tcPr>
          <w:p w14:paraId="3F208622">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单价</w:t>
            </w:r>
          </w:p>
        </w:tc>
        <w:tc>
          <w:tcPr>
            <w:tcW w:w="1276" w:type="dxa"/>
            <w:tcBorders>
              <w:top w:val="single" w:color="000000" w:sz="8" w:space="0"/>
              <w:left w:val="nil"/>
              <w:bottom w:val="nil"/>
              <w:right w:val="single" w:color="000000" w:sz="8" w:space="0"/>
            </w:tcBorders>
            <w:shd w:val="clear" w:color="000000" w:fill="F2F2F2"/>
          </w:tcPr>
          <w:p w14:paraId="032DE8EC">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843" w:type="dxa"/>
            <w:tcBorders>
              <w:top w:val="single" w:color="000000" w:sz="8" w:space="0"/>
              <w:left w:val="nil"/>
              <w:bottom w:val="nil"/>
              <w:right w:val="single" w:color="000000" w:sz="8" w:space="0"/>
            </w:tcBorders>
            <w:shd w:val="clear" w:color="000000" w:fill="F2F2F2"/>
          </w:tcPr>
          <w:p w14:paraId="73F06963">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合计</w:t>
            </w:r>
          </w:p>
        </w:tc>
      </w:tr>
      <w:tr w14:paraId="54C8FA4D">
        <w:tblPrEx>
          <w:tblCellMar>
            <w:top w:w="0" w:type="dxa"/>
            <w:left w:w="108" w:type="dxa"/>
            <w:bottom w:w="0" w:type="dxa"/>
            <w:right w:w="108" w:type="dxa"/>
          </w:tblCellMar>
        </w:tblPrEx>
        <w:trPr>
          <w:trHeight w:val="525" w:hRule="atLeast"/>
        </w:trPr>
        <w:tc>
          <w:tcPr>
            <w:tcW w:w="7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28A2AB">
            <w:pPr>
              <w:spacing w:line="360" w:lineRule="auto"/>
              <w:rPr>
                <w:rFonts w:ascii="宋体" w:hAnsi="宋体" w:cs="宋体"/>
                <w:b/>
                <w:bCs/>
                <w:color w:val="auto"/>
                <w:sz w:val="24"/>
                <w:szCs w:val="24"/>
                <w:highlight w:val="none"/>
              </w:rPr>
            </w:pPr>
          </w:p>
        </w:tc>
        <w:tc>
          <w:tcPr>
            <w:tcW w:w="32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769589">
            <w:pPr>
              <w:spacing w:line="360" w:lineRule="auto"/>
              <w:rPr>
                <w:rFonts w:ascii="宋体" w:hAnsi="宋体" w:cs="宋体"/>
                <w:b/>
                <w:bCs/>
                <w:color w:val="auto"/>
                <w:sz w:val="24"/>
                <w:szCs w:val="24"/>
                <w:highlight w:val="none"/>
              </w:rPr>
            </w:pPr>
          </w:p>
        </w:tc>
        <w:tc>
          <w:tcPr>
            <w:tcW w:w="1843" w:type="dxa"/>
            <w:tcBorders>
              <w:top w:val="nil"/>
              <w:left w:val="nil"/>
              <w:bottom w:val="single" w:color="000000" w:sz="8" w:space="0"/>
              <w:right w:val="single" w:color="000000" w:sz="8" w:space="0"/>
            </w:tcBorders>
            <w:shd w:val="clear" w:color="000000" w:fill="F2F2F2"/>
          </w:tcPr>
          <w:p w14:paraId="6EE41E2B">
            <w:pPr>
              <w:spacing w:line="360" w:lineRule="auto"/>
              <w:rPr>
                <w:rFonts w:ascii="宋体" w:hAnsi="宋体" w:cs="宋体"/>
                <w:b/>
                <w:bCs/>
                <w:color w:val="auto"/>
                <w:sz w:val="24"/>
                <w:szCs w:val="24"/>
                <w:highlight w:val="none"/>
              </w:rPr>
            </w:pPr>
          </w:p>
        </w:tc>
        <w:tc>
          <w:tcPr>
            <w:tcW w:w="1276" w:type="dxa"/>
            <w:tcBorders>
              <w:top w:val="nil"/>
              <w:left w:val="nil"/>
              <w:bottom w:val="single" w:color="000000" w:sz="8" w:space="0"/>
              <w:right w:val="single" w:color="000000" w:sz="8" w:space="0"/>
            </w:tcBorders>
            <w:shd w:val="clear" w:color="000000" w:fill="F2F2F2"/>
          </w:tcPr>
          <w:p w14:paraId="281D57C0">
            <w:pPr>
              <w:spacing w:line="360" w:lineRule="auto"/>
              <w:jc w:val="center"/>
              <w:rPr>
                <w:rFonts w:ascii="宋体" w:hAnsi="宋体" w:cs="宋体"/>
                <w:b/>
                <w:bCs/>
                <w:color w:val="auto"/>
                <w:sz w:val="24"/>
                <w:szCs w:val="24"/>
                <w:highlight w:val="none"/>
              </w:rPr>
            </w:pPr>
          </w:p>
        </w:tc>
        <w:tc>
          <w:tcPr>
            <w:tcW w:w="1843" w:type="dxa"/>
            <w:tcBorders>
              <w:top w:val="nil"/>
              <w:left w:val="nil"/>
              <w:bottom w:val="single" w:color="000000" w:sz="8" w:space="0"/>
              <w:right w:val="single" w:color="000000" w:sz="8" w:space="0"/>
            </w:tcBorders>
            <w:shd w:val="clear" w:color="000000" w:fill="F2F2F2"/>
          </w:tcPr>
          <w:p w14:paraId="7544CE1D">
            <w:pPr>
              <w:spacing w:line="360" w:lineRule="auto"/>
              <w:jc w:val="center"/>
              <w:rPr>
                <w:rFonts w:ascii="宋体" w:hAnsi="宋体" w:cs="宋体"/>
                <w:b/>
                <w:bCs/>
                <w:color w:val="auto"/>
                <w:sz w:val="24"/>
                <w:szCs w:val="24"/>
                <w:highlight w:val="none"/>
              </w:rPr>
            </w:pPr>
          </w:p>
        </w:tc>
      </w:tr>
      <w:tr w14:paraId="63DEB21C">
        <w:tblPrEx>
          <w:tblCellMar>
            <w:top w:w="0" w:type="dxa"/>
            <w:left w:w="108" w:type="dxa"/>
            <w:bottom w:w="0" w:type="dxa"/>
            <w:right w:w="108" w:type="dxa"/>
          </w:tblCellMar>
        </w:tblPrEx>
        <w:trPr>
          <w:trHeight w:val="1035" w:hRule="atLeast"/>
        </w:trPr>
        <w:tc>
          <w:tcPr>
            <w:tcW w:w="724" w:type="dxa"/>
            <w:tcBorders>
              <w:top w:val="nil"/>
              <w:left w:val="single" w:color="000000" w:sz="8" w:space="0"/>
              <w:bottom w:val="single" w:color="000000" w:sz="8" w:space="0"/>
              <w:right w:val="single" w:color="000000" w:sz="8" w:space="0"/>
            </w:tcBorders>
            <w:vAlign w:val="center"/>
          </w:tcPr>
          <w:p w14:paraId="799E96D2">
            <w:pPr>
              <w:spacing w:line="360" w:lineRule="auto"/>
              <w:rPr>
                <w:rFonts w:ascii="宋体" w:hAnsi="宋体"/>
                <w:color w:val="auto"/>
                <w:sz w:val="24"/>
                <w:szCs w:val="24"/>
                <w:highlight w:val="none"/>
              </w:rPr>
            </w:pPr>
          </w:p>
        </w:tc>
        <w:tc>
          <w:tcPr>
            <w:tcW w:w="3260" w:type="dxa"/>
            <w:tcBorders>
              <w:top w:val="nil"/>
              <w:left w:val="nil"/>
              <w:bottom w:val="single" w:color="000000" w:sz="8" w:space="0"/>
              <w:right w:val="single" w:color="000000" w:sz="8" w:space="0"/>
            </w:tcBorders>
            <w:vAlign w:val="center"/>
          </w:tcPr>
          <w:p w14:paraId="588A5D76">
            <w:pPr>
              <w:spacing w:line="360" w:lineRule="auto"/>
              <w:rPr>
                <w:rFonts w:ascii="宋体" w:hAnsi="宋体"/>
                <w:color w:val="auto"/>
                <w:sz w:val="24"/>
                <w:szCs w:val="24"/>
                <w:highlight w:val="none"/>
              </w:rPr>
            </w:pPr>
          </w:p>
        </w:tc>
        <w:tc>
          <w:tcPr>
            <w:tcW w:w="1843" w:type="dxa"/>
            <w:tcBorders>
              <w:top w:val="nil"/>
              <w:left w:val="nil"/>
              <w:bottom w:val="single" w:color="000000" w:sz="8" w:space="0"/>
              <w:right w:val="single" w:color="000000" w:sz="8" w:space="0"/>
            </w:tcBorders>
            <w:vAlign w:val="center"/>
          </w:tcPr>
          <w:p w14:paraId="137AAF4C">
            <w:pPr>
              <w:spacing w:line="360" w:lineRule="auto"/>
              <w:jc w:val="right"/>
              <w:rPr>
                <w:rFonts w:ascii="宋体" w:hAnsi="宋体" w:cs="宋体"/>
                <w:color w:val="auto"/>
                <w:sz w:val="24"/>
                <w:szCs w:val="24"/>
                <w:highlight w:val="none"/>
              </w:rPr>
            </w:pPr>
          </w:p>
        </w:tc>
        <w:tc>
          <w:tcPr>
            <w:tcW w:w="1276" w:type="dxa"/>
            <w:tcBorders>
              <w:top w:val="nil"/>
              <w:left w:val="nil"/>
              <w:bottom w:val="single" w:color="000000" w:sz="8" w:space="0"/>
              <w:right w:val="single" w:color="000000" w:sz="8" w:space="0"/>
            </w:tcBorders>
            <w:vAlign w:val="center"/>
          </w:tcPr>
          <w:p w14:paraId="304AEF78">
            <w:pPr>
              <w:spacing w:line="360" w:lineRule="auto"/>
              <w:jc w:val="right"/>
              <w:rPr>
                <w:rFonts w:ascii="宋体" w:hAnsi="宋体" w:cs="宋体"/>
                <w:color w:val="auto"/>
                <w:sz w:val="24"/>
                <w:szCs w:val="24"/>
                <w:highlight w:val="none"/>
              </w:rPr>
            </w:pPr>
          </w:p>
        </w:tc>
        <w:tc>
          <w:tcPr>
            <w:tcW w:w="1843" w:type="dxa"/>
            <w:tcBorders>
              <w:top w:val="nil"/>
              <w:left w:val="nil"/>
              <w:bottom w:val="single" w:color="000000" w:sz="8" w:space="0"/>
              <w:right w:val="single" w:color="000000" w:sz="8" w:space="0"/>
            </w:tcBorders>
            <w:vAlign w:val="center"/>
          </w:tcPr>
          <w:p w14:paraId="1FB87D21">
            <w:pPr>
              <w:spacing w:line="360" w:lineRule="auto"/>
              <w:jc w:val="right"/>
              <w:rPr>
                <w:rFonts w:ascii="宋体" w:hAnsi="宋体" w:cs="宋体"/>
                <w:bCs/>
                <w:color w:val="auto"/>
                <w:sz w:val="24"/>
                <w:szCs w:val="24"/>
                <w:highlight w:val="none"/>
              </w:rPr>
            </w:pPr>
          </w:p>
        </w:tc>
      </w:tr>
      <w:tr w14:paraId="1AB2EBFA">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14:paraId="7F17059C">
            <w:pPr>
              <w:spacing w:line="360" w:lineRule="auto"/>
              <w:jc w:val="center"/>
              <w:rPr>
                <w:rFonts w:ascii="宋体" w:hAnsi="宋体" w:cs="宋体"/>
                <w:color w:val="auto"/>
                <w:sz w:val="24"/>
                <w:szCs w:val="24"/>
                <w:highlight w:val="none"/>
              </w:rPr>
            </w:pPr>
          </w:p>
        </w:tc>
        <w:tc>
          <w:tcPr>
            <w:tcW w:w="3260" w:type="dxa"/>
            <w:tcBorders>
              <w:top w:val="nil"/>
              <w:left w:val="nil"/>
              <w:bottom w:val="single" w:color="000000" w:sz="8" w:space="0"/>
              <w:right w:val="single" w:color="000000" w:sz="8" w:space="0"/>
            </w:tcBorders>
            <w:vAlign w:val="center"/>
          </w:tcPr>
          <w:p w14:paraId="08A43699">
            <w:pPr>
              <w:spacing w:line="360" w:lineRule="auto"/>
              <w:rPr>
                <w:rFonts w:ascii="宋体" w:hAnsi="宋体"/>
                <w:color w:val="auto"/>
                <w:sz w:val="24"/>
                <w:szCs w:val="24"/>
                <w:highlight w:val="none"/>
              </w:rPr>
            </w:pPr>
          </w:p>
        </w:tc>
        <w:tc>
          <w:tcPr>
            <w:tcW w:w="1843" w:type="dxa"/>
            <w:tcBorders>
              <w:top w:val="nil"/>
              <w:left w:val="nil"/>
              <w:bottom w:val="single" w:color="000000" w:sz="8" w:space="0"/>
              <w:right w:val="single" w:color="000000" w:sz="8" w:space="0"/>
            </w:tcBorders>
            <w:vAlign w:val="center"/>
          </w:tcPr>
          <w:p w14:paraId="7FBFE5EE">
            <w:pPr>
              <w:spacing w:line="360" w:lineRule="auto"/>
              <w:jc w:val="right"/>
              <w:rPr>
                <w:rFonts w:ascii="宋体" w:hAnsi="宋体" w:cs="宋体"/>
                <w:color w:val="auto"/>
                <w:sz w:val="24"/>
                <w:szCs w:val="24"/>
                <w:highlight w:val="none"/>
              </w:rPr>
            </w:pPr>
          </w:p>
        </w:tc>
        <w:tc>
          <w:tcPr>
            <w:tcW w:w="1276" w:type="dxa"/>
            <w:tcBorders>
              <w:top w:val="nil"/>
              <w:left w:val="nil"/>
              <w:bottom w:val="single" w:color="000000" w:sz="8" w:space="0"/>
              <w:right w:val="single" w:color="000000" w:sz="8" w:space="0"/>
            </w:tcBorders>
            <w:vAlign w:val="center"/>
          </w:tcPr>
          <w:p w14:paraId="2CFB859A">
            <w:pPr>
              <w:spacing w:line="360" w:lineRule="auto"/>
              <w:jc w:val="right"/>
              <w:rPr>
                <w:rFonts w:ascii="宋体" w:hAnsi="宋体" w:cs="宋体"/>
                <w:color w:val="auto"/>
                <w:sz w:val="24"/>
                <w:szCs w:val="24"/>
                <w:highlight w:val="none"/>
              </w:rPr>
            </w:pPr>
          </w:p>
        </w:tc>
        <w:tc>
          <w:tcPr>
            <w:tcW w:w="1843" w:type="dxa"/>
            <w:tcBorders>
              <w:top w:val="nil"/>
              <w:left w:val="nil"/>
              <w:bottom w:val="single" w:color="000000" w:sz="8" w:space="0"/>
              <w:right w:val="single" w:color="000000" w:sz="8" w:space="0"/>
            </w:tcBorders>
            <w:vAlign w:val="center"/>
          </w:tcPr>
          <w:p w14:paraId="729C80E3">
            <w:pPr>
              <w:spacing w:line="360" w:lineRule="auto"/>
              <w:jc w:val="right"/>
              <w:rPr>
                <w:rFonts w:ascii="宋体" w:hAnsi="宋体" w:cs="宋体"/>
                <w:bCs/>
                <w:color w:val="auto"/>
                <w:sz w:val="24"/>
                <w:szCs w:val="24"/>
                <w:highlight w:val="none"/>
              </w:rPr>
            </w:pPr>
          </w:p>
        </w:tc>
      </w:tr>
      <w:tr w14:paraId="71F2E5A5">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14:paraId="63E81E90">
            <w:pPr>
              <w:spacing w:line="360" w:lineRule="auto"/>
              <w:jc w:val="center"/>
              <w:rPr>
                <w:rFonts w:ascii="宋体" w:hAnsi="宋体" w:cs="宋体"/>
                <w:color w:val="auto"/>
                <w:sz w:val="24"/>
                <w:szCs w:val="24"/>
                <w:highlight w:val="none"/>
              </w:rPr>
            </w:pPr>
          </w:p>
        </w:tc>
        <w:tc>
          <w:tcPr>
            <w:tcW w:w="3260" w:type="dxa"/>
            <w:tcBorders>
              <w:top w:val="nil"/>
              <w:left w:val="nil"/>
              <w:bottom w:val="single" w:color="000000" w:sz="8" w:space="0"/>
              <w:right w:val="single" w:color="000000" w:sz="8" w:space="0"/>
            </w:tcBorders>
            <w:vAlign w:val="center"/>
          </w:tcPr>
          <w:p w14:paraId="54C403B2">
            <w:pPr>
              <w:spacing w:line="360" w:lineRule="auto"/>
              <w:rPr>
                <w:rFonts w:ascii="宋体" w:hAnsi="宋体"/>
                <w:color w:val="auto"/>
                <w:sz w:val="24"/>
                <w:szCs w:val="24"/>
                <w:highlight w:val="none"/>
              </w:rPr>
            </w:pPr>
          </w:p>
        </w:tc>
        <w:tc>
          <w:tcPr>
            <w:tcW w:w="1843" w:type="dxa"/>
            <w:tcBorders>
              <w:top w:val="nil"/>
              <w:left w:val="nil"/>
              <w:bottom w:val="single" w:color="000000" w:sz="8" w:space="0"/>
              <w:right w:val="single" w:color="000000" w:sz="8" w:space="0"/>
            </w:tcBorders>
            <w:vAlign w:val="center"/>
          </w:tcPr>
          <w:p w14:paraId="03849FF0">
            <w:pPr>
              <w:spacing w:line="360" w:lineRule="auto"/>
              <w:jc w:val="right"/>
              <w:rPr>
                <w:rFonts w:ascii="宋体" w:hAnsi="宋体" w:cs="宋体"/>
                <w:color w:val="auto"/>
                <w:sz w:val="24"/>
                <w:szCs w:val="24"/>
                <w:highlight w:val="none"/>
              </w:rPr>
            </w:pPr>
          </w:p>
        </w:tc>
        <w:tc>
          <w:tcPr>
            <w:tcW w:w="1276" w:type="dxa"/>
            <w:tcBorders>
              <w:top w:val="nil"/>
              <w:left w:val="nil"/>
              <w:bottom w:val="single" w:color="000000" w:sz="8" w:space="0"/>
              <w:right w:val="single" w:color="000000" w:sz="8" w:space="0"/>
            </w:tcBorders>
            <w:vAlign w:val="center"/>
          </w:tcPr>
          <w:p w14:paraId="5C5AC7BB">
            <w:pPr>
              <w:spacing w:line="360" w:lineRule="auto"/>
              <w:jc w:val="right"/>
              <w:rPr>
                <w:rFonts w:ascii="宋体" w:hAnsi="宋体" w:cs="宋体"/>
                <w:color w:val="auto"/>
                <w:sz w:val="24"/>
                <w:szCs w:val="24"/>
                <w:highlight w:val="none"/>
              </w:rPr>
            </w:pPr>
          </w:p>
        </w:tc>
        <w:tc>
          <w:tcPr>
            <w:tcW w:w="1843" w:type="dxa"/>
            <w:tcBorders>
              <w:top w:val="nil"/>
              <w:left w:val="nil"/>
              <w:bottom w:val="single" w:color="000000" w:sz="8" w:space="0"/>
              <w:right w:val="single" w:color="000000" w:sz="8" w:space="0"/>
            </w:tcBorders>
            <w:vAlign w:val="center"/>
          </w:tcPr>
          <w:p w14:paraId="085F28D4">
            <w:pPr>
              <w:spacing w:line="360" w:lineRule="auto"/>
              <w:jc w:val="right"/>
              <w:rPr>
                <w:rFonts w:ascii="宋体" w:hAnsi="宋体" w:cs="宋体"/>
                <w:bCs/>
                <w:color w:val="auto"/>
                <w:sz w:val="24"/>
                <w:szCs w:val="24"/>
                <w:highlight w:val="none"/>
              </w:rPr>
            </w:pPr>
          </w:p>
        </w:tc>
      </w:tr>
      <w:tr w14:paraId="14AFD1AF">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14:paraId="0D4B9495">
            <w:pPr>
              <w:spacing w:line="360" w:lineRule="auto"/>
              <w:jc w:val="center"/>
              <w:rPr>
                <w:rFonts w:ascii="宋体" w:hAnsi="宋体" w:cs="宋体"/>
                <w:color w:val="auto"/>
                <w:sz w:val="24"/>
                <w:szCs w:val="24"/>
                <w:highlight w:val="none"/>
              </w:rPr>
            </w:pPr>
          </w:p>
        </w:tc>
        <w:tc>
          <w:tcPr>
            <w:tcW w:w="3260" w:type="dxa"/>
            <w:tcBorders>
              <w:top w:val="nil"/>
              <w:left w:val="nil"/>
              <w:bottom w:val="single" w:color="000000" w:sz="8" w:space="0"/>
              <w:right w:val="single" w:color="000000" w:sz="8" w:space="0"/>
            </w:tcBorders>
            <w:vAlign w:val="center"/>
          </w:tcPr>
          <w:p w14:paraId="294EF02D">
            <w:pPr>
              <w:spacing w:line="360" w:lineRule="auto"/>
              <w:rPr>
                <w:rFonts w:ascii="宋体" w:hAnsi="宋体"/>
                <w:color w:val="auto"/>
                <w:sz w:val="24"/>
                <w:szCs w:val="24"/>
                <w:highlight w:val="none"/>
              </w:rPr>
            </w:pPr>
          </w:p>
        </w:tc>
        <w:tc>
          <w:tcPr>
            <w:tcW w:w="1843" w:type="dxa"/>
            <w:tcBorders>
              <w:top w:val="nil"/>
              <w:left w:val="nil"/>
              <w:bottom w:val="single" w:color="000000" w:sz="8" w:space="0"/>
              <w:right w:val="single" w:color="000000" w:sz="8" w:space="0"/>
            </w:tcBorders>
            <w:vAlign w:val="center"/>
          </w:tcPr>
          <w:p w14:paraId="15D3F1B0">
            <w:pPr>
              <w:spacing w:line="360" w:lineRule="auto"/>
              <w:jc w:val="right"/>
              <w:rPr>
                <w:rFonts w:ascii="宋体" w:hAnsi="宋体" w:cs="宋体"/>
                <w:color w:val="auto"/>
                <w:sz w:val="24"/>
                <w:szCs w:val="24"/>
                <w:highlight w:val="none"/>
              </w:rPr>
            </w:pPr>
          </w:p>
        </w:tc>
        <w:tc>
          <w:tcPr>
            <w:tcW w:w="1276" w:type="dxa"/>
            <w:tcBorders>
              <w:top w:val="nil"/>
              <w:left w:val="nil"/>
              <w:bottom w:val="single" w:color="000000" w:sz="8" w:space="0"/>
              <w:right w:val="single" w:color="000000" w:sz="8" w:space="0"/>
            </w:tcBorders>
            <w:vAlign w:val="center"/>
          </w:tcPr>
          <w:p w14:paraId="0BC700A7">
            <w:pPr>
              <w:spacing w:line="360" w:lineRule="auto"/>
              <w:jc w:val="right"/>
              <w:rPr>
                <w:rFonts w:ascii="宋体" w:hAnsi="宋体" w:cs="宋体"/>
                <w:color w:val="auto"/>
                <w:sz w:val="24"/>
                <w:szCs w:val="24"/>
                <w:highlight w:val="none"/>
              </w:rPr>
            </w:pPr>
          </w:p>
        </w:tc>
        <w:tc>
          <w:tcPr>
            <w:tcW w:w="1843" w:type="dxa"/>
            <w:tcBorders>
              <w:top w:val="nil"/>
              <w:left w:val="nil"/>
              <w:bottom w:val="single" w:color="000000" w:sz="8" w:space="0"/>
              <w:right w:val="single" w:color="000000" w:sz="8" w:space="0"/>
            </w:tcBorders>
            <w:vAlign w:val="center"/>
          </w:tcPr>
          <w:p w14:paraId="34C05E5F">
            <w:pPr>
              <w:spacing w:line="360" w:lineRule="auto"/>
              <w:jc w:val="right"/>
              <w:rPr>
                <w:rFonts w:ascii="宋体" w:hAnsi="宋体" w:cs="宋体"/>
                <w:bCs/>
                <w:color w:val="auto"/>
                <w:sz w:val="24"/>
                <w:szCs w:val="24"/>
                <w:highlight w:val="none"/>
              </w:rPr>
            </w:pPr>
          </w:p>
        </w:tc>
      </w:tr>
      <w:tr w14:paraId="3255B370">
        <w:tblPrEx>
          <w:tblCellMar>
            <w:top w:w="0" w:type="dxa"/>
            <w:left w:w="108" w:type="dxa"/>
            <w:bottom w:w="0" w:type="dxa"/>
            <w:right w:w="108" w:type="dxa"/>
          </w:tblCellMar>
        </w:tblPrEx>
        <w:trPr>
          <w:trHeight w:val="780" w:hRule="atLeast"/>
        </w:trPr>
        <w:tc>
          <w:tcPr>
            <w:tcW w:w="3984" w:type="dxa"/>
            <w:gridSpan w:val="2"/>
            <w:tcBorders>
              <w:top w:val="nil"/>
              <w:left w:val="single" w:color="000000" w:sz="8" w:space="0"/>
              <w:bottom w:val="single" w:color="000000" w:sz="8" w:space="0"/>
              <w:right w:val="single" w:color="000000" w:sz="8" w:space="0"/>
            </w:tcBorders>
            <w:vAlign w:val="center"/>
          </w:tcPr>
          <w:p w14:paraId="63DD9DFF">
            <w:pPr>
              <w:spacing w:line="360" w:lineRule="auto"/>
              <w:rPr>
                <w:rFonts w:ascii="宋体" w:hAnsi="宋体"/>
                <w:color w:val="auto"/>
                <w:sz w:val="24"/>
                <w:szCs w:val="24"/>
                <w:highlight w:val="none"/>
              </w:rPr>
            </w:pPr>
            <w:r>
              <w:rPr>
                <w:rFonts w:hint="eastAsia" w:ascii="宋体" w:hAnsi="宋体"/>
                <w:color w:val="auto"/>
                <w:sz w:val="24"/>
                <w:szCs w:val="24"/>
                <w:highlight w:val="none"/>
              </w:rPr>
              <w:t>总价</w:t>
            </w:r>
          </w:p>
        </w:tc>
        <w:tc>
          <w:tcPr>
            <w:tcW w:w="4962" w:type="dxa"/>
            <w:gridSpan w:val="3"/>
            <w:tcBorders>
              <w:top w:val="nil"/>
              <w:left w:val="nil"/>
              <w:bottom w:val="single" w:color="000000" w:sz="8" w:space="0"/>
              <w:right w:val="single" w:color="000000" w:sz="8" w:space="0"/>
            </w:tcBorders>
            <w:vAlign w:val="center"/>
          </w:tcPr>
          <w:p w14:paraId="014FE4F4">
            <w:pPr>
              <w:wordWrap w:val="0"/>
              <w:spacing w:line="360" w:lineRule="auto"/>
              <w:jc w:val="right"/>
              <w:rPr>
                <w:rFonts w:ascii="宋体" w:hAnsi="宋体" w:cs="宋体"/>
                <w:bCs/>
                <w:color w:val="auto"/>
                <w:sz w:val="24"/>
                <w:szCs w:val="24"/>
                <w:highlight w:val="none"/>
              </w:rPr>
            </w:pPr>
            <w:r>
              <w:rPr>
                <w:rFonts w:hint="eastAsia" w:ascii="宋体" w:hAnsi="宋体" w:cs="宋体"/>
                <w:bCs/>
                <w:color w:val="auto"/>
                <w:sz w:val="24"/>
                <w:szCs w:val="24"/>
                <w:highlight w:val="none"/>
              </w:rPr>
              <w:t>人民币元整（￥）</w:t>
            </w:r>
          </w:p>
        </w:tc>
      </w:tr>
    </w:tbl>
    <w:p w14:paraId="7353804E">
      <w:pPr>
        <w:tabs>
          <w:tab w:val="left" w:pos="1418"/>
        </w:tabs>
        <w:snapToGrid w:val="0"/>
        <w:spacing w:before="50" w:after="50"/>
        <w:ind w:left="1418" w:hanging="567"/>
        <w:jc w:val="center"/>
        <w:rPr>
          <w:rFonts w:ascii="宋体" w:cs="Times New Roman"/>
          <w:color w:val="auto"/>
          <w:sz w:val="24"/>
          <w:szCs w:val="24"/>
          <w:highlight w:val="none"/>
        </w:rPr>
      </w:pPr>
    </w:p>
    <w:p w14:paraId="185ECB33">
      <w:pPr>
        <w:tabs>
          <w:tab w:val="left" w:pos="1418"/>
        </w:tabs>
        <w:snapToGrid w:val="0"/>
        <w:spacing w:before="50" w:after="50"/>
        <w:ind w:left="1418" w:hanging="567"/>
        <w:jc w:val="center"/>
        <w:rPr>
          <w:rFonts w:ascii="宋体" w:cs="Times New Roman"/>
          <w:color w:val="auto"/>
          <w:sz w:val="24"/>
          <w:szCs w:val="24"/>
          <w:highlight w:val="none"/>
        </w:rPr>
      </w:pPr>
    </w:p>
    <w:p w14:paraId="248E9D99">
      <w:pPr>
        <w:tabs>
          <w:tab w:val="left" w:pos="1418"/>
        </w:tabs>
        <w:snapToGrid w:val="0"/>
        <w:spacing w:before="50" w:after="50"/>
        <w:ind w:left="1418" w:hanging="567"/>
        <w:jc w:val="center"/>
        <w:rPr>
          <w:rFonts w:ascii="宋体" w:cs="Times New Roman"/>
          <w:color w:val="auto"/>
          <w:sz w:val="24"/>
          <w:szCs w:val="24"/>
          <w:highlight w:val="none"/>
        </w:rPr>
      </w:pPr>
    </w:p>
    <w:p w14:paraId="18AE20BC">
      <w:pPr>
        <w:tabs>
          <w:tab w:val="left" w:pos="1418"/>
        </w:tabs>
        <w:snapToGrid w:val="0"/>
        <w:spacing w:before="50" w:after="50"/>
        <w:ind w:left="1418" w:hanging="567"/>
        <w:jc w:val="center"/>
        <w:rPr>
          <w:rFonts w:ascii="宋体" w:cs="Times New Roman"/>
          <w:color w:val="auto"/>
          <w:sz w:val="24"/>
          <w:szCs w:val="24"/>
          <w:highlight w:val="none"/>
        </w:rPr>
      </w:pPr>
    </w:p>
    <w:p w14:paraId="0AE2C833">
      <w:pPr>
        <w:tabs>
          <w:tab w:val="left" w:pos="1418"/>
        </w:tabs>
        <w:snapToGrid w:val="0"/>
        <w:spacing w:before="50" w:after="50"/>
        <w:ind w:left="1418" w:hanging="567"/>
        <w:jc w:val="center"/>
        <w:rPr>
          <w:rFonts w:ascii="宋体" w:cs="Times New Roman"/>
          <w:color w:val="auto"/>
          <w:sz w:val="24"/>
          <w:szCs w:val="24"/>
          <w:highlight w:val="none"/>
        </w:rPr>
      </w:pPr>
    </w:p>
    <w:p w14:paraId="6DDDB098">
      <w:pPr>
        <w:snapToGrid w:val="0"/>
        <w:spacing w:before="50" w:after="50"/>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授权代表签名：</w:t>
      </w:r>
    </w:p>
    <w:p w14:paraId="213DF5AA">
      <w:pPr>
        <w:snapToGrid w:val="0"/>
        <w:spacing w:before="50" w:after="50"/>
        <w:rPr>
          <w:rFonts w:ascii="宋体" w:cs="Times New Roman"/>
          <w:color w:val="auto"/>
          <w:sz w:val="24"/>
          <w:szCs w:val="24"/>
          <w:highlight w:val="none"/>
        </w:rPr>
      </w:pPr>
      <w:r>
        <w:rPr>
          <w:rFonts w:hint="eastAsia" w:ascii="宋体" w:hAnsi="宋体" w:cs="宋体"/>
          <w:color w:val="auto"/>
          <w:spacing w:val="20"/>
          <w:sz w:val="24"/>
          <w:szCs w:val="24"/>
          <w:highlight w:val="none"/>
        </w:rPr>
        <w:t>供应商盖章：日期：</w:t>
      </w:r>
    </w:p>
    <w:p w14:paraId="77CD82A2">
      <w:pPr>
        <w:rPr>
          <w:rFonts w:ascii="宋体" w:cs="Times New Roman"/>
          <w:b/>
          <w:bCs/>
          <w:color w:val="auto"/>
          <w:sz w:val="36"/>
          <w:szCs w:val="36"/>
          <w:highlight w:val="none"/>
        </w:rPr>
      </w:pPr>
    </w:p>
    <w:p w14:paraId="4A0CAF4C">
      <w:pPr>
        <w:rPr>
          <w:rFonts w:ascii="宋体" w:cs="Times New Roman"/>
          <w:b/>
          <w:bCs/>
          <w:color w:val="auto"/>
          <w:sz w:val="36"/>
          <w:szCs w:val="36"/>
          <w:highlight w:val="none"/>
        </w:rPr>
      </w:pPr>
    </w:p>
    <w:p w14:paraId="701AD390">
      <w:pPr>
        <w:rPr>
          <w:rFonts w:ascii="宋体" w:cs="Times New Roman"/>
          <w:b/>
          <w:bCs/>
          <w:color w:val="auto"/>
          <w:sz w:val="36"/>
          <w:szCs w:val="36"/>
          <w:highlight w:val="none"/>
        </w:rPr>
      </w:pPr>
    </w:p>
    <w:p w14:paraId="033A7BD2">
      <w:pPr>
        <w:rPr>
          <w:rFonts w:ascii="宋体" w:cs="Times New Roman"/>
          <w:b/>
          <w:bCs/>
          <w:color w:val="auto"/>
          <w:sz w:val="36"/>
          <w:szCs w:val="36"/>
          <w:highlight w:val="none"/>
        </w:rPr>
      </w:pPr>
    </w:p>
    <w:p w14:paraId="05155FF0">
      <w:pPr>
        <w:rPr>
          <w:rFonts w:ascii="宋体" w:cs="Times New Roman"/>
          <w:b/>
          <w:bCs/>
          <w:color w:val="auto"/>
          <w:sz w:val="36"/>
          <w:szCs w:val="36"/>
          <w:highlight w:val="none"/>
        </w:rPr>
      </w:pPr>
    </w:p>
    <w:p w14:paraId="64AB7D41">
      <w:pPr>
        <w:rPr>
          <w:rFonts w:ascii="宋体" w:cs="Times New Roman"/>
          <w:b/>
          <w:bCs/>
          <w:color w:val="auto"/>
          <w:sz w:val="36"/>
          <w:szCs w:val="36"/>
          <w:highlight w:val="none"/>
        </w:rPr>
      </w:pPr>
    </w:p>
    <w:p w14:paraId="2FD4C844">
      <w:pPr>
        <w:rPr>
          <w:rFonts w:ascii="宋体" w:cs="Times New Roman"/>
          <w:b/>
          <w:bCs/>
          <w:color w:val="auto"/>
          <w:sz w:val="36"/>
          <w:szCs w:val="36"/>
          <w:highlight w:val="none"/>
        </w:rPr>
      </w:pPr>
    </w:p>
    <w:p w14:paraId="7E7E065B">
      <w:pPr>
        <w:snapToGrid w:val="0"/>
        <w:spacing w:before="50" w:after="50" w:line="360" w:lineRule="auto"/>
        <w:jc w:val="center"/>
        <w:rPr>
          <w:rFonts w:cs="Times New Roman"/>
          <w:color w:val="auto"/>
          <w:sz w:val="24"/>
          <w:szCs w:val="24"/>
          <w:highlight w:val="none"/>
        </w:rPr>
      </w:pPr>
      <w:r>
        <w:rPr>
          <w:rFonts w:ascii="宋体" w:hAnsi="宋体" w:cs="宋体"/>
          <w:b/>
          <w:bCs/>
          <w:color w:val="auto"/>
          <w:sz w:val="28"/>
          <w:szCs w:val="28"/>
          <w:highlight w:val="none"/>
        </w:rPr>
        <w:t>3.</w:t>
      </w:r>
      <w:r>
        <w:rPr>
          <w:rFonts w:hint="eastAsia" w:cs="宋体"/>
          <w:color w:val="auto"/>
          <w:sz w:val="24"/>
          <w:szCs w:val="24"/>
          <w:highlight w:val="none"/>
        </w:rPr>
        <w:t>采购代理服务费承诺函</w:t>
      </w:r>
    </w:p>
    <w:p w14:paraId="475DEE65">
      <w:pPr>
        <w:spacing w:line="760" w:lineRule="exact"/>
        <w:jc w:val="center"/>
        <w:rPr>
          <w:rFonts w:cs="Times New Roman"/>
          <w:b/>
          <w:bCs/>
          <w:color w:val="auto"/>
          <w:sz w:val="32"/>
          <w:szCs w:val="32"/>
          <w:highlight w:val="none"/>
        </w:rPr>
      </w:pPr>
    </w:p>
    <w:p w14:paraId="650B0575">
      <w:pPr>
        <w:tabs>
          <w:tab w:val="left" w:pos="2996"/>
        </w:tabs>
        <w:spacing w:line="360" w:lineRule="auto"/>
        <w:ind w:firstLine="480" w:firstLineChars="200"/>
        <w:rPr>
          <w:rFonts w:cs="Times New Roman"/>
          <w:color w:val="auto"/>
          <w:sz w:val="24"/>
          <w:szCs w:val="24"/>
          <w:highlight w:val="none"/>
        </w:rPr>
      </w:pPr>
      <w:r>
        <w:rPr>
          <w:rFonts w:hint="eastAsia" w:cs="宋体"/>
          <w:color w:val="auto"/>
          <w:sz w:val="24"/>
          <w:szCs w:val="24"/>
          <w:highlight w:val="none"/>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14:paraId="6C0C3F4B">
      <w:pPr>
        <w:spacing w:line="480" w:lineRule="auto"/>
        <w:rPr>
          <w:rFonts w:cs="Times New Roman"/>
          <w:color w:val="auto"/>
          <w:sz w:val="24"/>
          <w:szCs w:val="24"/>
          <w:highlight w:val="none"/>
        </w:rPr>
      </w:pPr>
    </w:p>
    <w:p w14:paraId="03A17BF2">
      <w:pPr>
        <w:spacing w:line="480" w:lineRule="auto"/>
        <w:rPr>
          <w:rFonts w:cs="Times New Roman"/>
          <w:color w:val="auto"/>
          <w:sz w:val="24"/>
          <w:szCs w:val="24"/>
          <w:highlight w:val="none"/>
        </w:rPr>
      </w:pPr>
    </w:p>
    <w:p w14:paraId="7938B503">
      <w:pPr>
        <w:spacing w:line="360" w:lineRule="auto"/>
        <w:rPr>
          <w:rFonts w:cs="Times New Roman"/>
          <w:color w:val="auto"/>
          <w:sz w:val="24"/>
          <w:szCs w:val="24"/>
          <w:highlight w:val="none"/>
        </w:rPr>
      </w:pPr>
    </w:p>
    <w:p w14:paraId="019FF703">
      <w:pPr>
        <w:ind w:firstLine="480" w:firstLineChars="200"/>
        <w:rPr>
          <w:rFonts w:cs="Times New Roman"/>
          <w:color w:val="auto"/>
          <w:sz w:val="24"/>
          <w:szCs w:val="24"/>
          <w:highlight w:val="none"/>
        </w:rPr>
      </w:pPr>
    </w:p>
    <w:p w14:paraId="07BED1DE">
      <w:pPr>
        <w:ind w:firstLine="480" w:firstLineChars="200"/>
        <w:rPr>
          <w:rFonts w:cs="Times New Roman"/>
          <w:color w:val="auto"/>
          <w:sz w:val="24"/>
          <w:szCs w:val="24"/>
          <w:highlight w:val="none"/>
        </w:rPr>
      </w:pPr>
    </w:p>
    <w:p w14:paraId="0A8857C4">
      <w:pPr>
        <w:ind w:firstLine="480" w:firstLineChars="200"/>
        <w:rPr>
          <w:rFonts w:cs="Times New Roman"/>
          <w:color w:val="auto"/>
          <w:sz w:val="24"/>
          <w:szCs w:val="24"/>
          <w:highlight w:val="none"/>
        </w:rPr>
      </w:pPr>
    </w:p>
    <w:p w14:paraId="201BA42C">
      <w:pPr>
        <w:ind w:firstLine="480" w:firstLineChars="200"/>
        <w:rPr>
          <w:rFonts w:cs="Times New Roman"/>
          <w:color w:val="auto"/>
          <w:sz w:val="24"/>
          <w:szCs w:val="24"/>
          <w:highlight w:val="none"/>
        </w:rPr>
      </w:pPr>
    </w:p>
    <w:p w14:paraId="239A7423">
      <w:pPr>
        <w:ind w:firstLine="480" w:firstLineChars="200"/>
        <w:rPr>
          <w:rFonts w:cs="Times New Roman"/>
          <w:color w:val="auto"/>
          <w:sz w:val="24"/>
          <w:szCs w:val="24"/>
          <w:highlight w:val="none"/>
        </w:rPr>
      </w:pPr>
    </w:p>
    <w:p w14:paraId="33BFE0D8">
      <w:pPr>
        <w:pStyle w:val="19"/>
        <w:spacing w:line="500" w:lineRule="exact"/>
        <w:ind w:firstLine="1454" w:firstLineChars="606"/>
        <w:rPr>
          <w:rFonts w:ascii="宋体" w:cs="Times New Roman"/>
          <w:color w:val="auto"/>
          <w:sz w:val="24"/>
          <w:szCs w:val="24"/>
          <w:highlight w:val="none"/>
        </w:rPr>
      </w:pPr>
      <w:r>
        <w:rPr>
          <w:rFonts w:hint="eastAsia" w:ascii="宋体" w:hAnsi="宋体" w:cs="宋体"/>
          <w:color w:val="auto"/>
          <w:sz w:val="24"/>
          <w:szCs w:val="24"/>
          <w:highlight w:val="none"/>
        </w:rPr>
        <w:t>供应商：（盖章）</w:t>
      </w:r>
    </w:p>
    <w:p w14:paraId="7A0F06EE">
      <w:pPr>
        <w:pStyle w:val="19"/>
        <w:spacing w:line="500" w:lineRule="exact"/>
        <w:ind w:firstLine="374" w:firstLineChars="156"/>
        <w:rPr>
          <w:rFonts w:ascii="宋体" w:cs="Times New Roman"/>
          <w:color w:val="auto"/>
          <w:sz w:val="24"/>
          <w:szCs w:val="24"/>
          <w:highlight w:val="none"/>
        </w:rPr>
      </w:pPr>
    </w:p>
    <w:p w14:paraId="0F5BD268">
      <w:pPr>
        <w:pStyle w:val="19"/>
        <w:spacing w:line="500" w:lineRule="exact"/>
        <w:ind w:firstLine="1334" w:firstLineChars="556"/>
        <w:rPr>
          <w:rFonts w:ascii="宋体" w:cs="Times New Roman"/>
          <w:color w:val="auto"/>
          <w:sz w:val="24"/>
          <w:szCs w:val="24"/>
          <w:highlight w:val="none"/>
        </w:rPr>
      </w:pPr>
      <w:r>
        <w:rPr>
          <w:rFonts w:hint="eastAsia" w:ascii="宋体" w:hAnsi="宋体" w:cs="宋体"/>
          <w:color w:val="auto"/>
          <w:sz w:val="24"/>
          <w:szCs w:val="24"/>
          <w:highlight w:val="none"/>
        </w:rPr>
        <w:t>法定代表人或其授权代理人（签名或盖章）</w:t>
      </w:r>
    </w:p>
    <w:p w14:paraId="672BA83E">
      <w:pPr>
        <w:pStyle w:val="19"/>
        <w:spacing w:line="500" w:lineRule="exact"/>
        <w:ind w:firstLine="374" w:firstLineChars="156"/>
        <w:jc w:val="center"/>
        <w:rPr>
          <w:rFonts w:ascii="宋体" w:cs="Times New Roman"/>
          <w:color w:val="auto"/>
          <w:sz w:val="24"/>
          <w:szCs w:val="24"/>
          <w:highlight w:val="none"/>
        </w:rPr>
      </w:pPr>
    </w:p>
    <w:p w14:paraId="6B324DA6">
      <w:pPr>
        <w:pStyle w:val="19"/>
        <w:spacing w:line="500" w:lineRule="exact"/>
        <w:ind w:left="840" w:firstLine="374" w:firstLineChars="156"/>
        <w:rPr>
          <w:rFonts w:ascii="宋体" w:cs="Times New Roman"/>
          <w:color w:val="auto"/>
          <w:sz w:val="24"/>
          <w:szCs w:val="24"/>
          <w:highlight w:val="none"/>
        </w:rPr>
      </w:pPr>
      <w:r>
        <w:rPr>
          <w:rFonts w:hint="eastAsia" w:ascii="宋体" w:hAnsi="宋体" w:cs="宋体"/>
          <w:color w:val="auto"/>
          <w:sz w:val="24"/>
          <w:szCs w:val="24"/>
          <w:highlight w:val="none"/>
        </w:rPr>
        <w:t>日期：年月日</w:t>
      </w:r>
    </w:p>
    <w:p w14:paraId="3BF370CB">
      <w:pPr>
        <w:pStyle w:val="19"/>
        <w:spacing w:line="500" w:lineRule="exact"/>
        <w:ind w:left="840" w:firstLine="374" w:firstLineChars="156"/>
        <w:rPr>
          <w:rFonts w:ascii="宋体" w:cs="Times New Roman"/>
          <w:color w:val="auto"/>
          <w:sz w:val="24"/>
          <w:szCs w:val="24"/>
          <w:highlight w:val="none"/>
        </w:rPr>
      </w:pPr>
    </w:p>
    <w:p w14:paraId="0564E9AD">
      <w:pPr>
        <w:pStyle w:val="19"/>
        <w:spacing w:line="500" w:lineRule="exact"/>
        <w:ind w:left="840" w:firstLine="374" w:firstLineChars="156"/>
        <w:rPr>
          <w:rFonts w:ascii="宋体" w:cs="Times New Roman"/>
          <w:color w:val="auto"/>
          <w:sz w:val="24"/>
          <w:szCs w:val="24"/>
          <w:highlight w:val="none"/>
        </w:rPr>
      </w:pPr>
    </w:p>
    <w:p w14:paraId="0E9EC4BC">
      <w:pPr>
        <w:pStyle w:val="35"/>
        <w:pBdr>
          <w:bottom w:val="single" w:color="auto" w:sz="6" w:space="1"/>
        </w:pBdr>
        <w:snapToGrid w:val="0"/>
        <w:spacing w:beforeLines="0" w:afterLines="0" w:line="360" w:lineRule="auto"/>
        <w:rPr>
          <w:color w:val="auto"/>
          <w:highlight w:val="none"/>
        </w:rPr>
      </w:pPr>
    </w:p>
    <w:p w14:paraId="01569039">
      <w:pPr>
        <w:pStyle w:val="19"/>
        <w:spacing w:line="500" w:lineRule="exact"/>
        <w:ind w:firstLine="0"/>
        <w:jc w:val="left"/>
        <w:rPr>
          <w:rFonts w:ascii="宋体" w:hAnsi="宋体"/>
          <w:color w:val="auto"/>
          <w:sz w:val="24"/>
          <w:szCs w:val="24"/>
          <w:highlight w:val="none"/>
        </w:rPr>
      </w:pPr>
    </w:p>
    <w:p w14:paraId="5EF77579">
      <w:pPr>
        <w:pStyle w:val="19"/>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258C496C">
      <w:pPr>
        <w:snapToGrid w:val="0"/>
        <w:jc w:val="left"/>
        <w:rPr>
          <w:rFonts w:ascii="宋体" w:hAnsi="宋体"/>
          <w:color w:val="auto"/>
          <w:sz w:val="24"/>
          <w:highlight w:val="none"/>
        </w:rPr>
      </w:pPr>
    </w:p>
    <w:p w14:paraId="25469B84">
      <w:pPr>
        <w:snapToGrid w:val="0"/>
        <w:jc w:val="left"/>
        <w:rPr>
          <w:rFonts w:ascii="宋体" w:hAnsi="宋体"/>
          <w:color w:val="auto"/>
          <w:sz w:val="24"/>
          <w:highlight w:val="none"/>
        </w:rPr>
      </w:pPr>
    </w:p>
    <w:p w14:paraId="3F72EF01">
      <w:pPr>
        <w:snapToGrid w:val="0"/>
        <w:rPr>
          <w:rFonts w:ascii="宋体" w:hAnsi="宋体"/>
          <w:color w:val="auto"/>
          <w:sz w:val="24"/>
          <w:highlight w:val="none"/>
        </w:rPr>
      </w:pPr>
      <w:r>
        <w:rPr>
          <w:rFonts w:hint="eastAsia" w:ascii="宋体" w:hAnsi="宋体"/>
          <w:color w:val="auto"/>
          <w:sz w:val="24"/>
          <w:highlight w:val="none"/>
        </w:rPr>
        <w:t>单位名称：浙江华耀建设咨询有限公司龙溪北路分公司</w:t>
      </w:r>
    </w:p>
    <w:p w14:paraId="2BB056D6">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7DFE9FC5">
      <w:pPr>
        <w:tabs>
          <w:tab w:val="left" w:pos="1418"/>
        </w:tabs>
        <w:snapToGrid w:val="0"/>
        <w:spacing w:before="50" w:after="50"/>
        <w:rPr>
          <w:rFonts w:ascii="宋体" w:hAnsi="宋体"/>
          <w:color w:val="auto"/>
          <w:spacing w:val="20"/>
          <w:sz w:val="24"/>
          <w:szCs w:val="20"/>
          <w:highlight w:val="none"/>
          <w:u w:val="single"/>
        </w:rPr>
      </w:pPr>
      <w:r>
        <w:rPr>
          <w:rFonts w:hint="eastAsia" w:ascii="宋体" w:hAnsi="宋体"/>
          <w:color w:val="auto"/>
          <w:sz w:val="24"/>
          <w:highlight w:val="none"/>
        </w:rPr>
        <w:t>银行账号：1205210409001029749</w:t>
      </w:r>
    </w:p>
    <w:p w14:paraId="7E6FDFB8">
      <w:pPr>
        <w:pStyle w:val="35"/>
        <w:snapToGrid w:val="0"/>
        <w:spacing w:beforeLines="0" w:afterLines="0" w:line="360" w:lineRule="auto"/>
        <w:rPr>
          <w:color w:val="auto"/>
          <w:highlight w:val="none"/>
        </w:rPr>
      </w:pPr>
    </w:p>
    <w:p w14:paraId="608D873B">
      <w:pPr>
        <w:pStyle w:val="35"/>
        <w:snapToGrid w:val="0"/>
        <w:spacing w:beforeLines="0" w:afterLines="0" w:line="360" w:lineRule="auto"/>
        <w:rPr>
          <w:color w:val="auto"/>
          <w:highlight w:val="none"/>
        </w:rPr>
      </w:pPr>
    </w:p>
    <w:p w14:paraId="7086F301">
      <w:pPr>
        <w:widowControl/>
        <w:numPr>
          <w:ilvl w:val="0"/>
          <w:numId w:val="3"/>
        </w:numPr>
        <w:spacing w:line="360" w:lineRule="auto"/>
        <w:rPr>
          <w:rFonts w:ascii="宋体" w:cs="Times New Roman"/>
          <w:b/>
          <w:bCs/>
          <w:color w:val="auto"/>
          <w:sz w:val="24"/>
          <w:szCs w:val="24"/>
          <w:highlight w:val="none"/>
        </w:rPr>
      </w:pPr>
      <w:r>
        <w:rPr>
          <w:rFonts w:hint="eastAsia" w:ascii="宋体" w:hAnsi="宋体" w:cs="宋体"/>
          <w:b/>
          <w:bCs/>
          <w:color w:val="auto"/>
          <w:sz w:val="24"/>
          <w:szCs w:val="24"/>
          <w:highlight w:val="none"/>
        </w:rPr>
        <w:t>资格文件（参考第三章磋商须知“响应文件的组成”）</w:t>
      </w:r>
    </w:p>
    <w:p w14:paraId="428D9FA8">
      <w:pPr>
        <w:snapToGrid w:val="0"/>
        <w:spacing w:before="50" w:after="156" w:afterLines="50" w:line="400" w:lineRule="exact"/>
        <w:jc w:val="left"/>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磋商声明书格式：</w:t>
      </w:r>
    </w:p>
    <w:p w14:paraId="0BC57389">
      <w:pPr>
        <w:snapToGrid w:val="0"/>
        <w:spacing w:before="156" w:beforeLines="50" w:after="50" w:line="400" w:lineRule="exact"/>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磋商声明书</w:t>
      </w:r>
    </w:p>
    <w:p w14:paraId="54C05F24">
      <w:pPr>
        <w:snapToGrid w:val="0"/>
        <w:spacing w:before="156" w:beforeLines="50" w:after="50" w:line="440" w:lineRule="exact"/>
        <w:rPr>
          <w:rFonts w:ascii="宋体" w:cs="Times New Roman"/>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（磋商采购单位名称）：</w:t>
      </w:r>
    </w:p>
    <w:p w14:paraId="313931D9">
      <w:pPr>
        <w:snapToGrid w:val="0"/>
        <w:spacing w:before="156" w:beforeLines="50" w:after="50" w:line="440" w:lineRule="exact"/>
        <w:ind w:firstLine="720" w:firstLineChars="300"/>
        <w:rPr>
          <w:rFonts w:ascii="宋体" w:cs="Times New Roman"/>
          <w:color w:val="auto"/>
          <w:sz w:val="24"/>
          <w:szCs w:val="24"/>
          <w:highlight w:val="none"/>
        </w:rPr>
      </w:pP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（供应商名称）系中华人民共和国合法企业，经营地址。</w:t>
      </w:r>
    </w:p>
    <w:p w14:paraId="0ABDA611">
      <w:pPr>
        <w:snapToGrid w:val="0"/>
        <w:spacing w:before="156" w:beforeLines="50" w:after="50" w:line="440" w:lineRule="exact"/>
        <w:ind w:firstLine="645"/>
        <w:rPr>
          <w:rFonts w:ascii="宋体" w:cs="Times New Roman"/>
          <w:color w:val="auto"/>
          <w:sz w:val="24"/>
          <w:szCs w:val="24"/>
          <w:highlight w:val="none"/>
        </w:rPr>
      </w:pPr>
      <w:r>
        <w:rPr>
          <w:rFonts w:hint="eastAsia" w:ascii="宋体" w:hAnsi="宋体" w:cs="宋体"/>
          <w:color w:val="auto"/>
          <w:sz w:val="24"/>
          <w:szCs w:val="24"/>
          <w:highlight w:val="none"/>
        </w:rPr>
        <w:t>我</w:t>
      </w:r>
      <w:r>
        <w:rPr>
          <w:rFonts w:ascii="宋体" w:hAnsi="宋体" w:cs="宋体"/>
          <w:color w:val="auto"/>
          <w:sz w:val="24"/>
          <w:szCs w:val="24"/>
          <w:highlight w:val="none"/>
        </w:rPr>
        <w:t>___</w:t>
      </w:r>
      <w:r>
        <w:rPr>
          <w:rFonts w:ascii="宋体" w:hAnsi="宋体" w:cs="宋体"/>
          <w:color w:val="auto"/>
          <w:sz w:val="24"/>
          <w:szCs w:val="24"/>
          <w:highlight w:val="none"/>
          <w:u w:val="single"/>
        </w:rPr>
        <w:t xml:space="preserve">    _</w:t>
      </w:r>
      <w:r>
        <w:rPr>
          <w:rFonts w:ascii="宋体" w:hAnsi="宋体" w:cs="宋体"/>
          <w:color w:val="auto"/>
          <w:sz w:val="24"/>
          <w:szCs w:val="24"/>
          <w:highlight w:val="none"/>
        </w:rPr>
        <w:t>_</w:t>
      </w:r>
      <w:r>
        <w:rPr>
          <w:rFonts w:hint="eastAsia" w:ascii="宋体" w:hAnsi="宋体" w:cs="宋体"/>
          <w:color w:val="auto"/>
          <w:sz w:val="24"/>
          <w:szCs w:val="24"/>
          <w:highlight w:val="none"/>
        </w:rPr>
        <w:t>（姓名）系</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（供应商名称）的法定代表人，我方愿意参加贵方组织的</w:t>
      </w:r>
      <w:r>
        <w:rPr>
          <w:rFonts w:ascii="宋体" w:hAnsi="宋体" w:cs="宋体"/>
          <w:color w:val="auto"/>
          <w:sz w:val="24"/>
          <w:szCs w:val="24"/>
          <w:highlight w:val="none"/>
        </w:rPr>
        <w:t>_____</w:t>
      </w:r>
      <w:r>
        <w:rPr>
          <w:rFonts w:ascii="宋体" w:hAnsi="宋体" w:cs="宋体"/>
          <w:color w:val="auto"/>
          <w:sz w:val="24"/>
          <w:szCs w:val="24"/>
          <w:highlight w:val="none"/>
          <w:u w:val="single"/>
        </w:rPr>
        <w:t>_              _     _</w:t>
      </w:r>
      <w:r>
        <w:rPr>
          <w:rFonts w:ascii="宋体" w:hAnsi="宋体" w:cs="宋体"/>
          <w:color w:val="auto"/>
          <w:sz w:val="24"/>
          <w:szCs w:val="24"/>
          <w:highlight w:val="none"/>
        </w:rPr>
        <w:t>_</w:t>
      </w:r>
      <w:r>
        <w:rPr>
          <w:rFonts w:hint="eastAsia" w:ascii="宋体" w:hAnsi="宋体" w:cs="宋体"/>
          <w:color w:val="auto"/>
          <w:sz w:val="24"/>
          <w:szCs w:val="24"/>
          <w:highlight w:val="none"/>
        </w:rPr>
        <w:t>项目的磋商，为便于贵方公正、择优地确定成交人及其磋商产品和服务，我方就本次磋商有关事项郑重声明如下：</w:t>
      </w:r>
    </w:p>
    <w:p w14:paraId="5AE119DE">
      <w:pPr>
        <w:pStyle w:val="35"/>
        <w:spacing w:before="156" w:after="156" w:line="500" w:lineRule="exact"/>
        <w:ind w:firstLine="480" w:firstLineChars="200"/>
        <w:rPr>
          <w:rFonts w:hAnsi="宋体" w:cs="Times New Roman"/>
          <w:color w:val="auto"/>
          <w:highlight w:val="none"/>
        </w:rPr>
      </w:pPr>
      <w:r>
        <w:rPr>
          <w:rFonts w:hAnsi="宋体"/>
          <w:color w:val="auto"/>
          <w:highlight w:val="none"/>
        </w:rPr>
        <w:t>1</w:t>
      </w:r>
      <w:r>
        <w:rPr>
          <w:rFonts w:hint="eastAsia" w:hAnsi="宋体"/>
          <w:color w:val="auto"/>
          <w:highlight w:val="none"/>
        </w:rPr>
        <w:t>、我方已详细审查全部竞争性磋商文件，同意竞争性磋商文件的各项要求。</w:t>
      </w:r>
    </w:p>
    <w:p w14:paraId="70A38EE9">
      <w:pPr>
        <w:pStyle w:val="35"/>
        <w:spacing w:before="156" w:after="156" w:line="500" w:lineRule="exact"/>
        <w:ind w:firstLine="480" w:firstLineChars="200"/>
        <w:rPr>
          <w:rFonts w:hAnsi="宋体" w:cs="Times New Roman"/>
          <w:color w:val="auto"/>
          <w:highlight w:val="none"/>
        </w:rPr>
      </w:pPr>
      <w:r>
        <w:rPr>
          <w:rFonts w:hAnsi="宋体"/>
          <w:color w:val="auto"/>
          <w:highlight w:val="none"/>
        </w:rPr>
        <w:t>2</w:t>
      </w:r>
      <w:r>
        <w:rPr>
          <w:rFonts w:hint="eastAsia" w:hAnsi="宋体"/>
          <w:color w:val="auto"/>
          <w:highlight w:val="none"/>
        </w:rPr>
        <w:t>、我方向贵方提交的所有响应文件、资料都是准确的和真实的。</w:t>
      </w:r>
    </w:p>
    <w:p w14:paraId="5771D892">
      <w:pPr>
        <w:pStyle w:val="35"/>
        <w:spacing w:before="156" w:after="156" w:line="500" w:lineRule="exact"/>
        <w:ind w:firstLine="480" w:firstLineChars="200"/>
        <w:rPr>
          <w:rFonts w:hAnsi="宋体" w:cs="Times New Roman"/>
          <w:color w:val="auto"/>
          <w:highlight w:val="none"/>
        </w:rPr>
      </w:pPr>
      <w:r>
        <w:rPr>
          <w:rFonts w:hAnsi="宋体"/>
          <w:color w:val="auto"/>
          <w:highlight w:val="none"/>
        </w:rPr>
        <w:t>3</w:t>
      </w:r>
      <w:r>
        <w:rPr>
          <w:rFonts w:hint="eastAsia" w:hAnsi="宋体"/>
          <w:color w:val="auto"/>
          <w:highlight w:val="none"/>
        </w:rPr>
        <w:t>、若成交，我方将按竞争性磋商文件规定履行合同责任和义务。</w:t>
      </w:r>
    </w:p>
    <w:p w14:paraId="35E6686D">
      <w:pPr>
        <w:pStyle w:val="35"/>
        <w:spacing w:before="156" w:after="156" w:line="500" w:lineRule="exact"/>
        <w:ind w:firstLine="480" w:firstLineChars="200"/>
        <w:rPr>
          <w:rFonts w:hAnsi="宋体" w:cs="Times New Roman"/>
          <w:color w:val="auto"/>
          <w:highlight w:val="none"/>
        </w:rPr>
      </w:pPr>
      <w:r>
        <w:rPr>
          <w:rFonts w:hAnsi="宋体"/>
          <w:color w:val="auto"/>
          <w:highlight w:val="none"/>
        </w:rPr>
        <w:t>4</w:t>
      </w:r>
      <w:r>
        <w:rPr>
          <w:rFonts w:hint="eastAsia" w:hAnsi="宋体"/>
          <w:color w:val="auto"/>
          <w:highlight w:val="none"/>
        </w:rPr>
        <w:t>、我方不是采购人的附属机构；在获知本项目采购信息后，与采购人聘请的为此项目提供咨询服务的公司及其附属机构没有任何联系。</w:t>
      </w:r>
    </w:p>
    <w:p w14:paraId="4D571A04">
      <w:pPr>
        <w:pStyle w:val="35"/>
        <w:spacing w:before="156" w:after="156" w:line="500" w:lineRule="exact"/>
        <w:ind w:firstLine="480" w:firstLineChars="200"/>
        <w:rPr>
          <w:rFonts w:hAnsi="宋体" w:cs="Times New Roman"/>
          <w:color w:val="auto"/>
          <w:highlight w:val="none"/>
        </w:rPr>
      </w:pPr>
      <w:r>
        <w:rPr>
          <w:rFonts w:hAnsi="宋体"/>
          <w:color w:val="auto"/>
          <w:highlight w:val="none"/>
        </w:rPr>
        <w:t>5</w:t>
      </w:r>
      <w:r>
        <w:rPr>
          <w:rFonts w:hint="eastAsia" w:hAnsi="宋体"/>
          <w:color w:val="auto"/>
          <w:highlight w:val="none"/>
        </w:rPr>
        <w:t>、响应文件自开标日起有效期为</w:t>
      </w:r>
      <w:r>
        <w:rPr>
          <w:rFonts w:hAnsi="宋体"/>
          <w:color w:val="auto"/>
          <w:highlight w:val="none"/>
        </w:rPr>
        <w:t>60</w:t>
      </w:r>
      <w:r>
        <w:rPr>
          <w:rFonts w:hint="eastAsia" w:hAnsi="宋体"/>
          <w:color w:val="auto"/>
          <w:highlight w:val="none"/>
        </w:rPr>
        <w:t>天。</w:t>
      </w:r>
    </w:p>
    <w:p w14:paraId="34675128">
      <w:pPr>
        <w:pStyle w:val="35"/>
        <w:spacing w:before="156" w:after="156" w:line="500" w:lineRule="exact"/>
        <w:ind w:firstLine="480" w:firstLineChars="200"/>
        <w:rPr>
          <w:rFonts w:hAnsi="宋体" w:cs="Times New Roman"/>
          <w:color w:val="auto"/>
          <w:highlight w:val="none"/>
        </w:rPr>
      </w:pPr>
      <w:r>
        <w:rPr>
          <w:rFonts w:hAnsi="宋体"/>
          <w:color w:val="auto"/>
          <w:highlight w:val="none"/>
        </w:rPr>
        <w:t>6</w:t>
      </w:r>
      <w:r>
        <w:rPr>
          <w:rFonts w:hint="eastAsia" w:hAnsi="宋体"/>
          <w:color w:val="auto"/>
          <w:highlight w:val="none"/>
        </w:rPr>
        <w:t>、我方参与本项目前</w:t>
      </w:r>
      <w:r>
        <w:rPr>
          <w:rFonts w:hAnsi="宋体"/>
          <w:color w:val="auto"/>
          <w:highlight w:val="none"/>
        </w:rPr>
        <w:t>3</w:t>
      </w:r>
      <w:r>
        <w:rPr>
          <w:rFonts w:hint="eastAsia" w:hAnsi="宋体"/>
          <w:color w:val="auto"/>
          <w:highlight w:val="none"/>
        </w:rPr>
        <w:t>年内的经营活动中没有重大违法记录；</w:t>
      </w:r>
    </w:p>
    <w:p w14:paraId="085EDCE4">
      <w:pPr>
        <w:pStyle w:val="35"/>
        <w:spacing w:before="156" w:after="156" w:line="500" w:lineRule="exact"/>
        <w:ind w:firstLine="480" w:firstLineChars="200"/>
        <w:rPr>
          <w:rFonts w:hAnsi="宋体" w:cs="Times New Roman"/>
          <w:color w:val="auto"/>
          <w:highlight w:val="none"/>
        </w:rPr>
      </w:pPr>
      <w:r>
        <w:rPr>
          <w:rFonts w:hAnsi="宋体"/>
          <w:color w:val="auto"/>
          <w:highlight w:val="none"/>
        </w:rPr>
        <w:t>7</w:t>
      </w:r>
      <w:r>
        <w:rPr>
          <w:rFonts w:hint="eastAsia" w:hAnsi="宋体"/>
          <w:color w:val="auto"/>
          <w:highlight w:val="none"/>
        </w:rPr>
        <w:t>、我方通过“信用中国”网站（</w:t>
      </w:r>
      <w:r>
        <w:rPr>
          <w:rFonts w:hAnsi="宋体"/>
          <w:color w:val="auto"/>
          <w:highlight w:val="none"/>
        </w:rPr>
        <w:t>www.creditchina.gov.cn</w:t>
      </w:r>
      <w:r>
        <w:rPr>
          <w:rFonts w:hint="eastAsia" w:hAnsi="宋体"/>
          <w:color w:val="auto"/>
          <w:highlight w:val="none"/>
        </w:rPr>
        <w:t>）、中国政府采购网（</w:t>
      </w:r>
      <w:r>
        <w:rPr>
          <w:rFonts w:hAnsi="宋体"/>
          <w:color w:val="auto"/>
          <w:highlight w:val="none"/>
        </w:rPr>
        <w:t>www.ccgp.gov.cn</w:t>
      </w:r>
      <w:r>
        <w:rPr>
          <w:rFonts w:hint="eastAsia" w:hAnsi="宋体"/>
          <w:color w:val="auto"/>
          <w:highlight w:val="none"/>
        </w:rPr>
        <w:t>）查询，未被列入失信被执行人、重大税收违法案件当事人名单、政府采购严重违法失信行为记录名单。</w:t>
      </w:r>
    </w:p>
    <w:p w14:paraId="23177B87">
      <w:pPr>
        <w:pStyle w:val="35"/>
        <w:spacing w:before="156" w:after="156" w:line="500" w:lineRule="exact"/>
        <w:ind w:firstLine="480" w:firstLineChars="200"/>
        <w:rPr>
          <w:rFonts w:hAnsi="宋体" w:cs="Times New Roman"/>
          <w:color w:val="auto"/>
          <w:highlight w:val="none"/>
        </w:rPr>
      </w:pPr>
      <w:r>
        <w:rPr>
          <w:rFonts w:hAnsi="宋体"/>
          <w:color w:val="auto"/>
          <w:highlight w:val="none"/>
        </w:rPr>
        <w:t>8</w:t>
      </w:r>
      <w:r>
        <w:rPr>
          <w:rFonts w:hint="eastAsia" w:hAnsi="宋体"/>
          <w:color w:val="auto"/>
          <w:highlight w:val="none"/>
        </w:rPr>
        <w:t>、以上事项如有虚假或隐瞒，我方愿意承担一切后果，并不再寻求任何旨在减轻或免除法律责任的辩解。</w:t>
      </w:r>
    </w:p>
    <w:p w14:paraId="549082BD">
      <w:pPr>
        <w:snapToGrid w:val="0"/>
        <w:spacing w:before="156" w:beforeLines="50" w:line="400" w:lineRule="exact"/>
        <w:ind w:firstLine="200"/>
        <w:rPr>
          <w:rFonts w:ascii="宋体" w:cs="Times New Roman"/>
          <w:color w:val="auto"/>
          <w:sz w:val="24"/>
          <w:szCs w:val="24"/>
          <w:highlight w:val="none"/>
          <w:u w:val="single"/>
        </w:rPr>
      </w:pPr>
      <w:r>
        <w:rPr>
          <w:rFonts w:hint="eastAsia" w:ascii="宋体" w:hAnsi="宋体" w:cs="宋体"/>
          <w:color w:val="auto"/>
          <w:sz w:val="24"/>
          <w:szCs w:val="24"/>
          <w:highlight w:val="none"/>
        </w:rPr>
        <w:t>法定代表人签字：</w:t>
      </w:r>
    </w:p>
    <w:p w14:paraId="090FC850">
      <w:pPr>
        <w:snapToGrid w:val="0"/>
        <w:spacing w:before="156" w:beforeLines="50" w:after="50" w:line="400" w:lineRule="exact"/>
        <w:ind w:firstLine="240" w:firstLineChars="100"/>
        <w:rPr>
          <w:rFonts w:ascii="宋体" w:cs="Times New Roman"/>
          <w:color w:val="auto"/>
          <w:highlight w:val="none"/>
        </w:rPr>
      </w:pPr>
      <w:r>
        <w:rPr>
          <w:rFonts w:hint="eastAsia" w:ascii="宋体" w:hAnsi="宋体" w:cs="宋体"/>
          <w:color w:val="auto"/>
          <w:sz w:val="24"/>
          <w:szCs w:val="24"/>
          <w:highlight w:val="none"/>
        </w:rPr>
        <w:t>供应商公章：年月日</w:t>
      </w:r>
    </w:p>
    <w:p w14:paraId="5ACCFBCA">
      <w:pPr>
        <w:widowControl/>
        <w:spacing w:line="360" w:lineRule="auto"/>
        <w:ind w:left="720"/>
        <w:rPr>
          <w:rFonts w:ascii="宋体" w:cs="Times New Roman"/>
          <w:b/>
          <w:bCs/>
          <w:color w:val="auto"/>
          <w:sz w:val="24"/>
          <w:szCs w:val="24"/>
          <w:highlight w:val="none"/>
        </w:rPr>
      </w:pPr>
    </w:p>
    <w:p w14:paraId="6652F234">
      <w:pPr>
        <w:widowControl/>
        <w:spacing w:line="360" w:lineRule="auto"/>
        <w:ind w:left="720"/>
        <w:rPr>
          <w:rFonts w:ascii="宋体" w:cs="Times New Roman"/>
          <w:b/>
          <w:bCs/>
          <w:color w:val="auto"/>
          <w:sz w:val="24"/>
          <w:szCs w:val="24"/>
          <w:highlight w:val="none"/>
        </w:rPr>
      </w:pPr>
    </w:p>
    <w:p w14:paraId="4F7CD0DF">
      <w:pPr>
        <w:widowControl/>
        <w:spacing w:line="360" w:lineRule="auto"/>
        <w:ind w:left="720"/>
        <w:rPr>
          <w:rFonts w:ascii="宋体" w:cs="Times New Roman"/>
          <w:b/>
          <w:bCs/>
          <w:color w:val="auto"/>
          <w:sz w:val="24"/>
          <w:szCs w:val="24"/>
          <w:highlight w:val="none"/>
        </w:rPr>
      </w:pPr>
    </w:p>
    <w:p w14:paraId="7CE6FFE7">
      <w:pPr>
        <w:spacing w:line="500" w:lineRule="exact"/>
        <w:rPr>
          <w:rFonts w:ascii="宋体" w:hAnsi="宋体"/>
          <w:color w:val="auto"/>
          <w:sz w:val="24"/>
          <w:highlight w:val="none"/>
        </w:rPr>
      </w:pPr>
      <w:r>
        <w:rPr>
          <w:rFonts w:hint="eastAsia" w:ascii="宋体" w:hAnsi="宋体"/>
          <w:color w:val="auto"/>
          <w:sz w:val="24"/>
          <w:highlight w:val="none"/>
        </w:rPr>
        <w:t>2.法定代表人有效身份证明书格式：</w:t>
      </w:r>
    </w:p>
    <w:p w14:paraId="489D10AC">
      <w:pPr>
        <w:snapToGrid w:val="0"/>
        <w:spacing w:line="360" w:lineRule="auto"/>
        <w:rPr>
          <w:rFonts w:ascii="宋体" w:hAnsi="宋体"/>
          <w:color w:val="auto"/>
          <w:sz w:val="24"/>
          <w:highlight w:val="none"/>
        </w:rPr>
      </w:pPr>
    </w:p>
    <w:p w14:paraId="56F29122">
      <w:pPr>
        <w:snapToGrid w:val="0"/>
        <w:spacing w:line="360" w:lineRule="auto"/>
        <w:jc w:val="center"/>
        <w:rPr>
          <w:rFonts w:ascii="宋体" w:hAnsi="宋体"/>
          <w:color w:val="auto"/>
          <w:sz w:val="24"/>
          <w:highlight w:val="none"/>
        </w:rPr>
      </w:pPr>
      <w:r>
        <w:rPr>
          <w:rFonts w:hint="eastAsia" w:ascii="宋体" w:hAnsi="宋体"/>
          <w:color w:val="auto"/>
          <w:sz w:val="24"/>
          <w:highlight w:val="none"/>
        </w:rPr>
        <w:t>法定代表人有效身份证明书</w:t>
      </w:r>
    </w:p>
    <w:p w14:paraId="7D9FA57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（姓名）是（投标人全称）的法定代表人，身份证号码为 ______________。</w:t>
      </w:r>
    </w:p>
    <w:p w14:paraId="291B143E">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特此证明。</w:t>
      </w:r>
    </w:p>
    <w:p w14:paraId="61CAC115">
      <w:pPr>
        <w:spacing w:line="500" w:lineRule="exact"/>
        <w:jc w:val="left"/>
        <w:rPr>
          <w:rFonts w:ascii="宋体" w:hAnsi="宋体"/>
          <w:color w:val="auto"/>
          <w:sz w:val="24"/>
          <w:highlight w:val="none"/>
        </w:rPr>
      </w:pPr>
    </w:p>
    <w:p w14:paraId="0DC6F293">
      <w:pPr>
        <w:spacing w:line="500" w:lineRule="exact"/>
        <w:jc w:val="left"/>
        <w:rPr>
          <w:rFonts w:ascii="宋体" w:hAnsi="宋体"/>
          <w:color w:val="auto"/>
          <w:sz w:val="24"/>
          <w:highlight w:val="none"/>
        </w:rPr>
      </w:pPr>
    </w:p>
    <w:p w14:paraId="0C128943">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330FA722">
      <w:pPr>
        <w:spacing w:line="500" w:lineRule="exact"/>
        <w:jc w:val="left"/>
        <w:rPr>
          <w:rFonts w:ascii="宋体" w:hAnsi="宋体"/>
          <w:color w:val="auto"/>
          <w:sz w:val="24"/>
          <w:highlight w:val="none"/>
        </w:rPr>
      </w:pPr>
      <w:r>
        <w:rPr>
          <w:rFonts w:hint="eastAsia" w:ascii="宋体" w:hAnsi="宋体"/>
          <w:color w:val="auto"/>
          <w:sz w:val="24"/>
          <w:highlight w:val="none"/>
        </w:rPr>
        <w:t>法定代表人（签名）：</w:t>
      </w:r>
    </w:p>
    <w:p w14:paraId="69315013">
      <w:pPr>
        <w:spacing w:line="500" w:lineRule="exact"/>
        <w:jc w:val="left"/>
        <w:rPr>
          <w:rFonts w:ascii="宋体" w:hAnsi="宋体"/>
          <w:color w:val="auto"/>
          <w:sz w:val="24"/>
          <w:highlight w:val="none"/>
        </w:rPr>
      </w:pPr>
    </w:p>
    <w:p w14:paraId="7445F8C4">
      <w:pPr>
        <w:spacing w:line="500" w:lineRule="exact"/>
        <w:jc w:val="left"/>
        <w:rPr>
          <w:rFonts w:ascii="宋体" w:hAnsi="宋体"/>
          <w:color w:val="auto"/>
          <w:sz w:val="24"/>
          <w:highlight w:val="none"/>
        </w:rPr>
      </w:pPr>
      <w:r>
        <w:rPr>
          <w:rFonts w:hint="eastAsia" w:ascii="宋体" w:hAnsi="宋体"/>
          <w:color w:val="auto"/>
          <w:sz w:val="24"/>
          <w:highlight w:val="none"/>
        </w:rPr>
        <w:t>日期：      年   月   日</w:t>
      </w:r>
    </w:p>
    <w:p w14:paraId="361B71FD">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14:paraId="19A00BDE">
      <w:pPr>
        <w:spacing w:line="500" w:lineRule="exact"/>
        <w:jc w:val="center"/>
        <w:rPr>
          <w:rFonts w:ascii="仿宋" w:hAnsi="仿宋" w:eastAsia="仿宋" w:cs="宋体"/>
          <w:color w:val="auto"/>
          <w:kern w:val="0"/>
          <w:sz w:val="24"/>
          <w:highlight w:val="none"/>
        </w:rPr>
      </w:pPr>
    </w:p>
    <w:p w14:paraId="28615127">
      <w:pPr>
        <w:spacing w:line="500" w:lineRule="exact"/>
        <w:jc w:val="center"/>
        <w:rPr>
          <w:rFonts w:ascii="宋体" w:hAnsi="宋体" w:cs="Times New Roman"/>
          <w:color w:val="auto"/>
          <w:sz w:val="24"/>
          <w:highlight w:val="none"/>
        </w:rPr>
      </w:pPr>
      <w:r>
        <w:rPr>
          <w:rFonts w:hint="eastAsia" w:ascii="宋体" w:hAnsi="宋体"/>
          <w:color w:val="auto"/>
          <w:sz w:val="24"/>
          <w:highlight w:val="none"/>
        </w:rPr>
        <w:t>有效身份证明复印件粘贴处</w:t>
      </w:r>
    </w:p>
    <w:p w14:paraId="25327B3C">
      <w:pPr>
        <w:spacing w:line="500" w:lineRule="exact"/>
        <w:rPr>
          <w:rFonts w:ascii="宋体" w:hAnsi="宋体" w:eastAsiaTheme="minorEastAsia" w:cstheme="minorBidi"/>
          <w:color w:val="auto"/>
          <w:sz w:val="24"/>
          <w:highlight w:val="none"/>
        </w:rPr>
      </w:pPr>
    </w:p>
    <w:p w14:paraId="4C5F1EE5">
      <w:pPr>
        <w:spacing w:line="500" w:lineRule="exact"/>
        <w:rPr>
          <w:rFonts w:ascii="宋体" w:hAnsi="宋体"/>
          <w:color w:val="auto"/>
          <w:sz w:val="24"/>
          <w:highlight w:val="none"/>
        </w:rPr>
      </w:pPr>
    </w:p>
    <w:p w14:paraId="6D516BBB">
      <w:pPr>
        <w:spacing w:line="500" w:lineRule="exact"/>
        <w:rPr>
          <w:rFonts w:ascii="宋体" w:hAnsi="宋体"/>
          <w:color w:val="auto"/>
          <w:sz w:val="24"/>
          <w:highlight w:val="none"/>
        </w:rPr>
      </w:pPr>
      <w:r>
        <w:rPr>
          <w:rFonts w:hint="eastAsia" w:ascii="宋体" w:hAnsi="宋体"/>
          <w:color w:val="auto"/>
          <w:sz w:val="24"/>
          <w:highlight w:val="none"/>
        </w:rPr>
        <w:t>3.法定代表人授权委托书格式：</w:t>
      </w:r>
    </w:p>
    <w:p w14:paraId="7CFEA651">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3A0994C5">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14:paraId="2E78179D">
      <w:pPr>
        <w:snapToGrid w:val="0"/>
        <w:spacing w:line="360" w:lineRule="auto"/>
        <w:ind w:firstLine="720" w:firstLineChars="300"/>
        <w:rPr>
          <w:rFonts w:ascii="宋体" w:hAnsi="宋体"/>
          <w:color w:val="auto"/>
          <w:sz w:val="24"/>
          <w:szCs w:val="20"/>
          <w:highlight w:val="none"/>
        </w:rPr>
      </w:pPr>
      <w:r>
        <w:rPr>
          <w:rFonts w:hint="eastAsia" w:ascii="宋体" w:hAnsi="宋体"/>
          <w:color w:val="auto"/>
          <w:sz w:val="24"/>
          <w:highlight w:val="none"/>
        </w:rPr>
        <w:t>我______</w:t>
      </w:r>
      <w:r>
        <w:rPr>
          <w:rFonts w:hint="eastAsia" w:ascii="宋体" w:hAnsi="宋体"/>
          <w:color w:val="auto"/>
          <w:sz w:val="24"/>
          <w:highlight w:val="none"/>
          <w:u w:val="single"/>
        </w:rPr>
        <w:t>_     _</w:t>
      </w:r>
      <w:r>
        <w:rPr>
          <w:rFonts w:hint="eastAsia" w:ascii="宋体" w:hAnsi="宋体"/>
          <w:color w:val="auto"/>
          <w:sz w:val="24"/>
          <w:highlight w:val="none"/>
        </w:rPr>
        <w:t>_（姓名）系______</w:t>
      </w:r>
      <w:r>
        <w:rPr>
          <w:rFonts w:hint="eastAsia" w:ascii="宋体" w:hAnsi="宋体"/>
          <w:color w:val="auto"/>
          <w:sz w:val="24"/>
          <w:highlight w:val="none"/>
          <w:u w:val="single"/>
        </w:rPr>
        <w:t>_     _</w:t>
      </w:r>
      <w:r>
        <w:rPr>
          <w:rFonts w:hint="eastAsia" w:ascii="宋体" w:hAnsi="宋体"/>
          <w:color w:val="auto"/>
          <w:sz w:val="24"/>
          <w:highlight w:val="none"/>
        </w:rPr>
        <w:t>_（投标人名称）的法定代表人，现授权委托本单位在职职工（姓名）以我方的名义参加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的投标活动，并代表我方全权办理针对上述项目的投标、开标、评标、签约等具体事务和签署相关文件。</w:t>
      </w:r>
    </w:p>
    <w:p w14:paraId="352F242D">
      <w:pPr>
        <w:snapToGrid w:val="0"/>
        <w:spacing w:line="360" w:lineRule="auto"/>
        <w:rPr>
          <w:rFonts w:ascii="宋体" w:hAnsi="宋体"/>
          <w:color w:val="auto"/>
          <w:sz w:val="24"/>
          <w:szCs w:val="20"/>
          <w:highlight w:val="none"/>
        </w:rPr>
      </w:pPr>
      <w:r>
        <w:rPr>
          <w:rFonts w:hint="eastAsia" w:ascii="宋体" w:hAnsi="宋体"/>
          <w:color w:val="auto"/>
          <w:sz w:val="24"/>
          <w:highlight w:val="none"/>
        </w:rPr>
        <w:t>我方对被授权人的签名事项负全部责任。</w:t>
      </w:r>
    </w:p>
    <w:p w14:paraId="4201C533">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0E05519B">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2D83F24">
      <w:pPr>
        <w:snapToGrid w:val="0"/>
        <w:spacing w:line="360" w:lineRule="auto"/>
        <w:rPr>
          <w:rFonts w:ascii="宋体" w:hAnsi="宋体"/>
          <w:color w:val="auto"/>
          <w:sz w:val="24"/>
          <w:szCs w:val="20"/>
          <w:highlight w:val="none"/>
        </w:rPr>
      </w:pPr>
    </w:p>
    <w:p w14:paraId="5C7B1927">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被授权人签名：                    法定代表人签名：</w:t>
      </w:r>
    </w:p>
    <w:p w14:paraId="649F4E4B">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职务：                     职务：</w:t>
      </w:r>
    </w:p>
    <w:p w14:paraId="1BE885BF">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0B55859C">
      <w:pPr>
        <w:snapToGrid w:val="0"/>
        <w:spacing w:line="360" w:lineRule="auto"/>
        <w:rPr>
          <w:rFonts w:ascii="宋体" w:hAnsi="宋体"/>
          <w:color w:val="auto"/>
          <w:sz w:val="24"/>
          <w:szCs w:val="24"/>
          <w:highlight w:val="none"/>
        </w:rPr>
      </w:pPr>
      <w:r>
        <w:rPr>
          <w:rFonts w:hint="eastAsia" w:ascii="宋体" w:hAnsi="宋体"/>
          <w:color w:val="auto"/>
          <w:sz w:val="24"/>
          <w:highlight w:val="none"/>
        </w:rPr>
        <w:t>投标人公章：</w:t>
      </w:r>
    </w:p>
    <w:p w14:paraId="5E8E82C8">
      <w:pPr>
        <w:pStyle w:val="19"/>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0556B659">
      <w:pPr>
        <w:pStyle w:val="19"/>
        <w:spacing w:line="360" w:lineRule="auto"/>
        <w:ind w:firstLine="374" w:firstLineChars="156"/>
        <w:jc w:val="center"/>
        <w:rPr>
          <w:rFonts w:ascii="宋体" w:hAnsi="宋体"/>
          <w:color w:val="auto"/>
          <w:sz w:val="24"/>
          <w:szCs w:val="24"/>
          <w:highlight w:val="none"/>
        </w:rPr>
      </w:pPr>
    </w:p>
    <w:p w14:paraId="781B74BB">
      <w:pPr>
        <w:pStyle w:val="19"/>
        <w:spacing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3F5AABA9">
      <w:pPr>
        <w:snapToGrid w:val="0"/>
        <w:spacing w:line="360" w:lineRule="auto"/>
        <w:rPr>
          <w:rFonts w:ascii="宋体" w:hAnsi="宋体"/>
          <w:color w:val="auto"/>
          <w:sz w:val="24"/>
          <w:szCs w:val="24"/>
          <w:highlight w:val="none"/>
        </w:rPr>
      </w:pPr>
    </w:p>
    <w:p w14:paraId="3637A711">
      <w:pPr>
        <w:snapToGrid w:val="0"/>
        <w:spacing w:line="360" w:lineRule="auto"/>
        <w:rPr>
          <w:rFonts w:ascii="宋体" w:hAnsi="宋体"/>
          <w:color w:val="auto"/>
          <w:sz w:val="24"/>
          <w:szCs w:val="22"/>
          <w:highlight w:val="none"/>
        </w:rPr>
      </w:pPr>
    </w:p>
    <w:p w14:paraId="2E6BCD06">
      <w:pPr>
        <w:snapToGrid w:val="0"/>
        <w:spacing w:line="360" w:lineRule="auto"/>
        <w:jc w:val="center"/>
        <w:rPr>
          <w:rFonts w:ascii="宋体" w:hAnsi="宋体"/>
          <w:color w:val="auto"/>
          <w:sz w:val="24"/>
          <w:highlight w:val="none"/>
        </w:rPr>
      </w:pPr>
      <w:r>
        <w:rPr>
          <w:rFonts w:hint="eastAsia" w:ascii="宋体" w:hAnsi="宋体"/>
          <w:color w:val="auto"/>
          <w:sz w:val="24"/>
          <w:highlight w:val="none"/>
        </w:rPr>
        <w:t>年月日</w:t>
      </w:r>
    </w:p>
    <w:p w14:paraId="5766D0D0">
      <w:pPr>
        <w:snapToGrid w:val="0"/>
        <w:spacing w:before="156" w:beforeLines="50" w:after="50"/>
        <w:rPr>
          <w:rFonts w:ascii="Times New Roman" w:hAnsi="Times New Roman"/>
          <w:color w:val="auto"/>
          <w:sz w:val="24"/>
          <w:highlight w:val="none"/>
        </w:rPr>
      </w:pPr>
      <w:r>
        <w:rPr>
          <w:rFonts w:hint="eastAsia"/>
          <w:color w:val="auto"/>
          <w:sz w:val="24"/>
          <w:highlight w:val="none"/>
        </w:rPr>
        <w:t>附：授权代理人社保证明复印件（社保机构出具的由本单位或分公司为其缴纳的近</w:t>
      </w:r>
      <w:r>
        <w:rPr>
          <w:color w:val="auto"/>
          <w:sz w:val="24"/>
          <w:highlight w:val="none"/>
        </w:rPr>
        <w:t>1</w:t>
      </w:r>
      <w:r>
        <w:rPr>
          <w:rFonts w:hint="eastAsia"/>
          <w:color w:val="auto"/>
          <w:sz w:val="24"/>
          <w:highlight w:val="none"/>
        </w:rPr>
        <w:t>个月的社保证明）</w:t>
      </w:r>
    </w:p>
    <w:p w14:paraId="1381978F">
      <w:pPr>
        <w:snapToGrid w:val="0"/>
        <w:spacing w:line="360" w:lineRule="auto"/>
        <w:rPr>
          <w:rFonts w:ascii="宋体" w:hAnsi="宋体"/>
          <w:color w:val="auto"/>
          <w:highlight w:val="none"/>
        </w:rPr>
      </w:pPr>
    </w:p>
    <w:p w14:paraId="3A0F0225">
      <w:pPr>
        <w:rPr>
          <w:rFonts w:ascii="Times New Roman" w:hAnsi="Times New Roman"/>
          <w:color w:val="auto"/>
          <w:highlight w:val="none"/>
        </w:rPr>
      </w:pPr>
    </w:p>
    <w:p w14:paraId="3F06A6BE">
      <w:pPr>
        <w:snapToGrid w:val="0"/>
        <w:spacing w:line="560" w:lineRule="exact"/>
        <w:rPr>
          <w:rFonts w:asciiTheme="minorHAnsi" w:hAnsiTheme="minorHAnsi"/>
          <w:color w:val="auto"/>
          <w:sz w:val="24"/>
          <w:highlight w:val="none"/>
        </w:rPr>
      </w:pPr>
      <w:r>
        <w:rPr>
          <w:rFonts w:hint="eastAsia" w:ascii="宋体" w:hAnsi="宋体"/>
          <w:color w:val="auto"/>
          <w:sz w:val="24"/>
          <w:highlight w:val="none"/>
        </w:rPr>
        <w:t>4.</w:t>
      </w:r>
      <w:r>
        <w:rPr>
          <w:rFonts w:hint="eastAsia"/>
          <w:color w:val="auto"/>
          <w:sz w:val="24"/>
          <w:highlight w:val="none"/>
        </w:rPr>
        <w:t>投标承诺书</w:t>
      </w:r>
    </w:p>
    <w:p w14:paraId="3C449E07">
      <w:pPr>
        <w:snapToGrid w:val="0"/>
        <w:spacing w:before="156" w:beforeLines="50" w:after="50" w:line="500" w:lineRule="exact"/>
        <w:rPr>
          <w:color w:val="auto"/>
          <w:sz w:val="24"/>
          <w:highlight w:val="none"/>
        </w:rPr>
      </w:pPr>
      <w:r>
        <w:rPr>
          <w:rFonts w:hint="eastAsia"/>
          <w:color w:val="auto"/>
          <w:sz w:val="24"/>
          <w:highlight w:val="none"/>
        </w:rPr>
        <w:t>（投标人）现参加</w:t>
      </w:r>
      <w:r>
        <w:rPr>
          <w:color w:val="auto"/>
          <w:sz w:val="24"/>
          <w:highlight w:val="none"/>
        </w:rPr>
        <w:t xml:space="preserve">               </w:t>
      </w:r>
      <w:r>
        <w:rPr>
          <w:rFonts w:hint="eastAsia"/>
          <w:color w:val="auto"/>
          <w:sz w:val="24"/>
          <w:highlight w:val="none"/>
        </w:rPr>
        <w:t>（项目名称）政府采购活动，我单位承诺如下：</w:t>
      </w:r>
    </w:p>
    <w:p w14:paraId="2948C46C">
      <w:pPr>
        <w:numPr>
          <w:ilvl w:val="0"/>
          <w:numId w:val="4"/>
        </w:numPr>
        <w:snapToGrid w:val="0"/>
        <w:spacing w:before="156" w:beforeLines="50" w:after="50" w:line="500" w:lineRule="exact"/>
        <w:ind w:firstLine="480" w:firstLineChars="200"/>
        <w:rPr>
          <w:color w:val="auto"/>
          <w:sz w:val="24"/>
          <w:highlight w:val="none"/>
        </w:rPr>
      </w:pPr>
      <w:r>
        <w:rPr>
          <w:rFonts w:hint="eastAsia"/>
          <w:color w:val="auto"/>
          <w:sz w:val="24"/>
          <w:highlight w:val="none"/>
        </w:rPr>
        <w:t>符合参与政府采购活动的资格条件（符合《中华人民共和国政府采购法》第二十二条规定和浙财采监【</w:t>
      </w:r>
      <w:r>
        <w:rPr>
          <w:color w:val="auto"/>
          <w:sz w:val="24"/>
          <w:highlight w:val="none"/>
        </w:rPr>
        <w:t>2013</w:t>
      </w:r>
      <w:r>
        <w:rPr>
          <w:rFonts w:hint="eastAsia"/>
          <w:color w:val="auto"/>
          <w:sz w:val="24"/>
          <w:highlight w:val="none"/>
        </w:rPr>
        <w:t>】</w:t>
      </w:r>
      <w:r>
        <w:rPr>
          <w:color w:val="auto"/>
          <w:sz w:val="24"/>
          <w:highlight w:val="none"/>
        </w:rPr>
        <w:t>24</w:t>
      </w:r>
      <w:r>
        <w:rPr>
          <w:rFonts w:hint="eastAsia"/>
          <w:color w:val="auto"/>
          <w:sz w:val="24"/>
          <w:highlight w:val="none"/>
        </w:rPr>
        <w:t>号《关于规范政府采购投标人资格设定及资格审查的通知》第六条规定；未被“信用中国”（</w:t>
      </w:r>
      <w:r>
        <w:rPr>
          <w:color w:val="auto"/>
          <w:sz w:val="24"/>
          <w:highlight w:val="none"/>
        </w:rPr>
        <w:t>www.creditchina.gov.cn</w:t>
      </w:r>
      <w:r>
        <w:rPr>
          <w:rFonts w:hint="eastAsia"/>
          <w:color w:val="auto"/>
          <w:sz w:val="24"/>
          <w:highlight w:val="none"/>
        </w:rPr>
        <w:t>）、“中国政府采购网”（</w:t>
      </w:r>
      <w:r>
        <w:rPr>
          <w:color w:val="auto"/>
          <w:sz w:val="24"/>
          <w:highlight w:val="none"/>
        </w:rPr>
        <w:t>www.ccgp.gov.cn</w:t>
      </w:r>
      <w:r>
        <w:rPr>
          <w:rFonts w:hint="eastAsia"/>
          <w:color w:val="auto"/>
          <w:sz w:val="24"/>
          <w:highlight w:val="none"/>
        </w:rPr>
        <w:t>）列入失信被执行人、重大税收违法案件当事人名单、政府采购严重违法失信行为记录名单）。</w:t>
      </w:r>
    </w:p>
    <w:p w14:paraId="4A894F1E">
      <w:pPr>
        <w:numPr>
          <w:ilvl w:val="0"/>
          <w:numId w:val="4"/>
        </w:numPr>
        <w:snapToGrid w:val="0"/>
        <w:spacing w:before="156" w:beforeLines="50" w:after="50" w:line="500" w:lineRule="exact"/>
        <w:ind w:firstLine="480" w:firstLineChars="200"/>
        <w:rPr>
          <w:color w:val="auto"/>
          <w:sz w:val="24"/>
          <w:highlight w:val="none"/>
        </w:rPr>
      </w:pPr>
      <w:r>
        <w:rPr>
          <w:rFonts w:hint="eastAsia"/>
          <w:color w:val="auto"/>
          <w:sz w:val="24"/>
          <w:highlight w:val="none"/>
        </w:rPr>
        <w:t>没有税收缴纳、社会保障等方面的失信记录，若违背以上承诺的，我单位愿意承担相应法律后果和责任，并依法依规列入严重失信名单。</w:t>
      </w:r>
    </w:p>
    <w:p w14:paraId="607554DD">
      <w:pPr>
        <w:snapToGrid w:val="0"/>
        <w:spacing w:before="156" w:beforeLines="50" w:after="50" w:line="500" w:lineRule="exact"/>
        <w:rPr>
          <w:color w:val="auto"/>
          <w:sz w:val="24"/>
          <w:highlight w:val="none"/>
        </w:rPr>
      </w:pPr>
    </w:p>
    <w:p w14:paraId="1430A80D">
      <w:pPr>
        <w:snapToGrid w:val="0"/>
        <w:spacing w:before="156" w:beforeLines="50" w:after="50" w:line="500" w:lineRule="exact"/>
        <w:rPr>
          <w:color w:val="auto"/>
          <w:sz w:val="24"/>
          <w:highlight w:val="none"/>
        </w:rPr>
      </w:pPr>
      <w:r>
        <w:rPr>
          <w:color w:val="auto"/>
          <w:sz w:val="24"/>
          <w:highlight w:val="none"/>
        </w:rPr>
        <w:t xml:space="preserve">   </w:t>
      </w:r>
    </w:p>
    <w:p w14:paraId="3080769B">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6BF244AF">
      <w:pPr>
        <w:snapToGrid w:val="0"/>
        <w:spacing w:before="156" w:beforeLines="50" w:after="50" w:line="500" w:lineRule="exact"/>
        <w:rPr>
          <w:rFonts w:ascii="Times New Roman" w:hAnsi="Times New Roman"/>
          <w:color w:val="auto"/>
          <w:sz w:val="24"/>
          <w:highlight w:val="none"/>
        </w:rPr>
      </w:pPr>
      <w:r>
        <w:rPr>
          <w:rFonts w:hint="eastAsia"/>
          <w:color w:val="auto"/>
          <w:sz w:val="24"/>
          <w:highlight w:val="none"/>
        </w:rPr>
        <w:t>时</w:t>
      </w:r>
      <w:r>
        <w:rPr>
          <w:color w:val="auto"/>
          <w:sz w:val="24"/>
          <w:highlight w:val="none"/>
        </w:rPr>
        <w:t xml:space="preserve">  </w:t>
      </w:r>
      <w:r>
        <w:rPr>
          <w:rFonts w:hint="eastAsia"/>
          <w:color w:val="auto"/>
          <w:sz w:val="24"/>
          <w:highlight w:val="none"/>
        </w:rPr>
        <w:t>间：</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4A29C45B">
      <w:pPr>
        <w:snapToGrid w:val="0"/>
        <w:spacing w:line="360" w:lineRule="auto"/>
        <w:rPr>
          <w:rFonts w:asciiTheme="minorHAnsi" w:hAnsiTheme="minorHAnsi"/>
          <w:color w:val="auto"/>
          <w:sz w:val="24"/>
          <w:highlight w:val="none"/>
        </w:rPr>
      </w:pPr>
      <w:r>
        <w:rPr>
          <w:color w:val="auto"/>
          <w:sz w:val="24"/>
          <w:highlight w:val="none"/>
        </w:rPr>
        <w:br w:type="page"/>
      </w:r>
    </w:p>
    <w:p w14:paraId="46CA25D3">
      <w:pPr>
        <w:snapToGrid w:val="0"/>
        <w:spacing w:line="360" w:lineRule="auto"/>
        <w:jc w:val="left"/>
        <w:rPr>
          <w:rFonts w:ascii="宋体" w:hAnsi="宋体"/>
          <w:color w:val="auto"/>
          <w:sz w:val="24"/>
          <w:highlight w:val="none"/>
        </w:rPr>
      </w:pPr>
      <w:r>
        <w:rPr>
          <w:rFonts w:hint="eastAsia" w:ascii="宋体" w:hAnsi="宋体"/>
          <w:color w:val="auto"/>
          <w:sz w:val="24"/>
          <w:highlight w:val="none"/>
        </w:rPr>
        <w:t>5.信用承诺书</w:t>
      </w:r>
    </w:p>
    <w:p w14:paraId="3413C27D">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1E97F8F6">
      <w:pPr>
        <w:tabs>
          <w:tab w:val="left" w:pos="1650"/>
        </w:tabs>
        <w:spacing w:line="360" w:lineRule="auto"/>
        <w:jc w:val="left"/>
        <w:rPr>
          <w:rFonts w:ascii="宋体" w:hAnsi="宋体"/>
          <w:color w:val="auto"/>
          <w:sz w:val="24"/>
          <w:szCs w:val="24"/>
          <w:highlight w:val="none"/>
        </w:rPr>
      </w:pPr>
      <w:r>
        <w:rPr>
          <w:rFonts w:hint="eastAsia" w:ascii="宋体" w:hAnsi="宋体"/>
          <w:color w:val="auto"/>
          <w:sz w:val="24"/>
          <w:highlight w:val="none"/>
        </w:rPr>
        <w:t>（投标单位）现参加（采购项目）政府采购活动，郑重承诺如下：</w:t>
      </w:r>
    </w:p>
    <w:p w14:paraId="0E04B745">
      <w:pPr>
        <w:tabs>
          <w:tab w:val="left" w:pos="1650"/>
        </w:tabs>
        <w:spacing w:line="360" w:lineRule="auto"/>
        <w:ind w:firstLine="630"/>
        <w:rPr>
          <w:rFonts w:ascii="宋体" w:hAnsi="宋体"/>
          <w:color w:val="auto"/>
          <w:sz w:val="24"/>
          <w:szCs w:val="22"/>
          <w:highlight w:val="none"/>
        </w:rPr>
      </w:pPr>
      <w:r>
        <w:rPr>
          <w:rFonts w:hint="eastAsia" w:ascii="宋体" w:hAnsi="宋体"/>
          <w:color w:val="auto"/>
          <w:sz w:val="24"/>
          <w:highlight w:val="none"/>
        </w:rPr>
        <w:t>对所提供的资料合法性、真实性、准确性和有效性负责；</w:t>
      </w:r>
    </w:p>
    <w:p w14:paraId="200BCD6F">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14:paraId="57133175">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74D5B7CF">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4C2F6FDE">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7D648521">
      <w:pPr>
        <w:pStyle w:val="264"/>
        <w:spacing w:before="0" w:beforeAutospacing="0" w:after="0" w:afterAutospacing="0" w:line="360" w:lineRule="auto"/>
        <w:ind w:firstLine="600" w:firstLineChars="250"/>
        <w:rPr>
          <w:rFonts w:cs="Times New Roman"/>
          <w:color w:val="auto"/>
          <w:kern w:val="2"/>
          <w:highlight w:val="none"/>
        </w:rPr>
      </w:pPr>
      <w:r>
        <w:rPr>
          <w:rFonts w:hint="eastAsia" w:cs="Times New Roman"/>
          <w:color w:val="auto"/>
          <w:kern w:val="2"/>
          <w:highlight w:val="none"/>
        </w:rPr>
        <w:t>统一社会信用代码：</w:t>
      </w:r>
    </w:p>
    <w:p w14:paraId="264FBA2C">
      <w:pPr>
        <w:pStyle w:val="264"/>
        <w:spacing w:before="0" w:beforeAutospacing="0" w:after="0" w:afterAutospacing="0" w:line="360" w:lineRule="auto"/>
        <w:ind w:firstLine="600" w:firstLineChars="250"/>
        <w:rPr>
          <w:rFonts w:cs="Times New Roman"/>
          <w:color w:val="auto"/>
          <w:kern w:val="2"/>
          <w:highlight w:val="none"/>
        </w:rPr>
      </w:pPr>
    </w:p>
    <w:p w14:paraId="7A83BEAA">
      <w:pPr>
        <w:pStyle w:val="264"/>
        <w:spacing w:before="0" w:beforeAutospacing="0" w:after="0" w:afterAutospacing="0" w:line="360" w:lineRule="auto"/>
        <w:ind w:firstLine="565" w:firstLineChars="250"/>
        <w:rPr>
          <w:rFonts w:cs="Times New Roman"/>
          <w:color w:val="auto"/>
          <w:spacing w:val="-7"/>
          <w:highlight w:val="none"/>
        </w:rPr>
      </w:pPr>
    </w:p>
    <w:p w14:paraId="56B8FB3A">
      <w:pPr>
        <w:pStyle w:val="264"/>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承诺单位/个人（盖章/签名）</w:t>
      </w:r>
    </w:p>
    <w:p w14:paraId="78825667">
      <w:pPr>
        <w:spacing w:line="360" w:lineRule="auto"/>
        <w:ind w:firstLine="3480" w:firstLineChars="1450"/>
        <w:rPr>
          <w:rFonts w:ascii="宋体" w:hAnsi="宋体" w:cstheme="minorBidi"/>
          <w:color w:val="auto"/>
          <w:sz w:val="24"/>
          <w:highlight w:val="none"/>
        </w:rPr>
      </w:pPr>
      <w:r>
        <w:rPr>
          <w:rFonts w:hint="eastAsia" w:ascii="宋体" w:hAnsi="宋体"/>
          <w:color w:val="auto"/>
          <w:sz w:val="24"/>
          <w:highlight w:val="none"/>
        </w:rPr>
        <w:t>时间：2025年 月 日</w:t>
      </w:r>
    </w:p>
    <w:p w14:paraId="463A7287">
      <w:pPr>
        <w:spacing w:line="360" w:lineRule="auto"/>
        <w:rPr>
          <w:rFonts w:ascii="宋体" w:hAnsi="宋体"/>
          <w:b/>
          <w:color w:val="auto"/>
          <w:sz w:val="28"/>
          <w:szCs w:val="28"/>
          <w:highlight w:val="none"/>
        </w:rPr>
      </w:pPr>
    </w:p>
    <w:p w14:paraId="6764B279">
      <w:pPr>
        <w:spacing w:line="360" w:lineRule="auto"/>
        <w:rPr>
          <w:rFonts w:ascii="宋体" w:hAnsi="宋体"/>
          <w:b/>
          <w:color w:val="auto"/>
          <w:sz w:val="28"/>
          <w:szCs w:val="28"/>
          <w:highlight w:val="none"/>
        </w:rPr>
      </w:pPr>
    </w:p>
    <w:p w14:paraId="1B498E51">
      <w:pPr>
        <w:spacing w:line="360" w:lineRule="auto"/>
        <w:rPr>
          <w:rFonts w:ascii="宋体" w:hAnsi="宋体"/>
          <w:b/>
          <w:color w:val="auto"/>
          <w:sz w:val="28"/>
          <w:szCs w:val="28"/>
          <w:highlight w:val="none"/>
        </w:rPr>
      </w:pPr>
    </w:p>
    <w:p w14:paraId="46D98BC6">
      <w:pPr>
        <w:spacing w:line="360" w:lineRule="auto"/>
        <w:rPr>
          <w:rFonts w:ascii="宋体" w:hAnsi="宋体"/>
          <w:b/>
          <w:color w:val="auto"/>
          <w:sz w:val="28"/>
          <w:szCs w:val="28"/>
          <w:highlight w:val="none"/>
        </w:rPr>
      </w:pPr>
    </w:p>
    <w:p w14:paraId="2F0D4225">
      <w:pPr>
        <w:spacing w:line="360" w:lineRule="auto"/>
        <w:rPr>
          <w:rFonts w:ascii="宋体" w:hAnsi="宋体"/>
          <w:b/>
          <w:color w:val="auto"/>
          <w:sz w:val="28"/>
          <w:szCs w:val="28"/>
          <w:highlight w:val="none"/>
        </w:rPr>
      </w:pPr>
    </w:p>
    <w:p w14:paraId="43F9CC52">
      <w:pPr>
        <w:spacing w:line="360" w:lineRule="auto"/>
        <w:rPr>
          <w:rFonts w:ascii="宋体" w:hAnsi="宋体"/>
          <w:b/>
          <w:color w:val="auto"/>
          <w:sz w:val="28"/>
          <w:szCs w:val="28"/>
          <w:highlight w:val="none"/>
        </w:rPr>
      </w:pPr>
    </w:p>
    <w:p w14:paraId="6A410F8D">
      <w:pPr>
        <w:spacing w:line="360" w:lineRule="auto"/>
        <w:rPr>
          <w:rFonts w:ascii="宋体" w:hAnsi="宋体"/>
          <w:b/>
          <w:color w:val="auto"/>
          <w:sz w:val="28"/>
          <w:szCs w:val="28"/>
          <w:highlight w:val="none"/>
        </w:rPr>
      </w:pPr>
    </w:p>
    <w:p w14:paraId="2371B251">
      <w:pPr>
        <w:spacing w:line="360" w:lineRule="auto"/>
        <w:rPr>
          <w:rFonts w:ascii="宋体" w:hAnsi="宋体"/>
          <w:b/>
          <w:color w:val="auto"/>
          <w:sz w:val="28"/>
          <w:szCs w:val="28"/>
          <w:highlight w:val="none"/>
        </w:rPr>
      </w:pPr>
    </w:p>
    <w:p w14:paraId="31E8474F">
      <w:pPr>
        <w:spacing w:line="360" w:lineRule="auto"/>
        <w:rPr>
          <w:rFonts w:ascii="宋体" w:hAnsi="宋体"/>
          <w:b/>
          <w:color w:val="auto"/>
          <w:sz w:val="28"/>
          <w:szCs w:val="28"/>
          <w:highlight w:val="none"/>
        </w:rPr>
      </w:pPr>
    </w:p>
    <w:p w14:paraId="634CB52B">
      <w:pPr>
        <w:spacing w:line="360" w:lineRule="auto"/>
        <w:rPr>
          <w:rFonts w:ascii="宋体" w:hAnsi="宋体"/>
          <w:b/>
          <w:color w:val="auto"/>
          <w:sz w:val="28"/>
          <w:szCs w:val="28"/>
          <w:highlight w:val="none"/>
        </w:rPr>
      </w:pPr>
      <w:r>
        <w:rPr>
          <w:rFonts w:hint="eastAsia" w:ascii="宋体" w:hAnsi="宋体"/>
          <w:b/>
          <w:color w:val="auto"/>
          <w:sz w:val="28"/>
          <w:szCs w:val="28"/>
          <w:highlight w:val="none"/>
        </w:rPr>
        <w:t>6.中小企业声明函</w:t>
      </w:r>
    </w:p>
    <w:p w14:paraId="0F446B1E">
      <w:pPr>
        <w:spacing w:line="360" w:lineRule="auto"/>
        <w:ind w:firstLine="480" w:firstLineChars="200"/>
        <w:rPr>
          <w:rFonts w:ascii="宋体" w:hAnsi="宋体" w:cs="仿宋"/>
          <w:color w:val="auto"/>
          <w:kern w:val="0"/>
          <w:sz w:val="24"/>
          <w:highlight w:val="none"/>
        </w:rPr>
      </w:pPr>
    </w:p>
    <w:p w14:paraId="6C86F2C3">
      <w:pPr>
        <w:spacing w:line="360" w:lineRule="auto"/>
        <w:ind w:firstLine="562" w:firstLineChars="200"/>
        <w:rPr>
          <w:rFonts w:ascii="宋体" w:hAnsi="宋体"/>
          <w:b/>
          <w:color w:val="auto"/>
          <w:sz w:val="28"/>
          <w:szCs w:val="28"/>
          <w:highlight w:val="none"/>
        </w:rPr>
      </w:pPr>
    </w:p>
    <w:p w14:paraId="08171335">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18F3692B">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1. </w:t>
      </w:r>
      <w:r>
        <w:rPr>
          <w:rFonts w:hint="eastAsia" w:ascii="宋体" w:hAnsi="宋体" w:cs="仿宋"/>
          <w:color w:val="auto"/>
          <w:kern w:val="0"/>
          <w:sz w:val="24"/>
          <w:highlight w:val="none"/>
          <w:u w:val="single"/>
        </w:rPr>
        <w:t xml:space="preserve">（标的名称）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，从业人员___人，营业收入为___万元，资产总额为___万元①，属于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629FB9E9">
      <w:pPr>
        <w:spacing w:line="360" w:lineRule="auto"/>
        <w:ind w:firstLine="480" w:firstLineChars="200"/>
        <w:rPr>
          <w:rFonts w:ascii="宋体" w:hAnsi="宋体" w:cs="仿宋"/>
          <w:color w:val="auto"/>
          <w:kern w:val="0"/>
          <w:sz w:val="24"/>
          <w:highlight w:val="none"/>
        </w:rPr>
      </w:pPr>
    </w:p>
    <w:p w14:paraId="1DAF2DD5">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14:paraId="3BED9489">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10EF11E2">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500496F8">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7DB053D8">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14:paraId="6ADF716B">
      <w:pPr>
        <w:spacing w:line="360" w:lineRule="auto"/>
        <w:ind w:firstLine="5640" w:firstLineChars="2350"/>
        <w:rPr>
          <w:rFonts w:ascii="宋体" w:hAnsi="宋体" w:cs="仿宋"/>
          <w:color w:val="auto"/>
          <w:kern w:val="0"/>
          <w:sz w:val="24"/>
          <w:highlight w:val="none"/>
        </w:rPr>
      </w:pPr>
    </w:p>
    <w:p w14:paraId="2976BEED">
      <w:pPr>
        <w:spacing w:line="360" w:lineRule="auto"/>
        <w:ind w:firstLine="5640" w:firstLineChars="2350"/>
        <w:rPr>
          <w:rFonts w:ascii="宋体" w:hAnsi="宋体"/>
          <w:bCs/>
          <w:color w:val="auto"/>
          <w:sz w:val="24"/>
          <w:highlight w:val="none"/>
        </w:rPr>
      </w:pPr>
    </w:p>
    <w:p w14:paraId="016EA12C">
      <w:pPr>
        <w:numPr>
          <w:ilvl w:val="0"/>
          <w:numId w:val="5"/>
        </w:numPr>
        <w:snapToGrid w:val="0"/>
        <w:spacing w:before="50" w:after="50" w:line="360" w:lineRule="auto"/>
        <w:jc w:val="left"/>
        <w:rPr>
          <w:rFonts w:ascii="宋体" w:hAnsi="宋体" w:cs="仿宋"/>
          <w:color w:val="auto"/>
          <w:sz w:val="24"/>
          <w:highlight w:val="none"/>
        </w:rPr>
      </w:pPr>
      <w:r>
        <w:rPr>
          <w:rFonts w:hint="eastAsia" w:ascii="宋体" w:cs="宋体"/>
          <w:color w:val="auto"/>
          <w:kern w:val="0"/>
          <w:sz w:val="18"/>
          <w:szCs w:val="18"/>
          <w:highlight w:val="none"/>
        </w:rPr>
        <w:t>注从业人员、营业收入、资产总额填报上一年度数据，无上一年度数据的新成立企业可不填报。</w:t>
      </w:r>
    </w:p>
    <w:p w14:paraId="0CE75A4F">
      <w:pPr>
        <w:spacing w:line="360" w:lineRule="auto"/>
        <w:ind w:firstLine="5600" w:firstLineChars="2000"/>
        <w:rPr>
          <w:rFonts w:ascii="宋体" w:hAnsi="宋体"/>
          <w:color w:val="auto"/>
          <w:sz w:val="28"/>
          <w:szCs w:val="28"/>
          <w:highlight w:val="none"/>
        </w:rPr>
      </w:pPr>
    </w:p>
    <w:p w14:paraId="138B1335">
      <w:pPr>
        <w:snapToGrid w:val="0"/>
        <w:spacing w:line="360" w:lineRule="auto"/>
        <w:jc w:val="left"/>
        <w:rPr>
          <w:rFonts w:ascii="宋体" w:hAnsi="宋体"/>
          <w:color w:val="auto"/>
          <w:sz w:val="28"/>
          <w:szCs w:val="28"/>
          <w:highlight w:val="none"/>
        </w:rPr>
      </w:pPr>
    </w:p>
    <w:p w14:paraId="1E08F233">
      <w:pPr>
        <w:widowControl/>
        <w:jc w:val="left"/>
        <w:rPr>
          <w:rFonts w:ascii="宋体" w:hAnsi="宋体" w:cs="宋体"/>
          <w:color w:val="auto"/>
          <w:sz w:val="24"/>
          <w:szCs w:val="20"/>
          <w:highlight w:val="none"/>
        </w:rPr>
      </w:pPr>
    </w:p>
    <w:p w14:paraId="23F894E3">
      <w:pPr>
        <w:spacing w:line="360" w:lineRule="auto"/>
        <w:jc w:val="left"/>
        <w:outlineLvl w:val="1"/>
        <w:rPr>
          <w:rFonts w:ascii="宋体" w:hAnsi="宋体" w:cs="宋体"/>
          <w:color w:val="auto"/>
          <w:highlight w:val="none"/>
        </w:rPr>
      </w:pPr>
      <w:r>
        <w:rPr>
          <w:rFonts w:hint="eastAsia" w:hAnsi="宋体" w:cs="宋体"/>
          <w:color w:val="auto"/>
          <w:sz w:val="24"/>
          <w:highlight w:val="none"/>
          <w:u w:val="single"/>
        </w:rPr>
        <w:t>此表必须如实填写，不能留有空格。</w:t>
      </w:r>
    </w:p>
    <w:p w14:paraId="143A9884">
      <w:pPr>
        <w:rPr>
          <w:rFonts w:ascii="宋体" w:hAnsi="宋体" w:cs="宋体"/>
          <w:color w:val="auto"/>
          <w:highlight w:val="none"/>
        </w:rPr>
      </w:pPr>
    </w:p>
    <w:p w14:paraId="68B9F56D">
      <w:pPr>
        <w:rPr>
          <w:rFonts w:ascii="宋体" w:hAnsi="宋体" w:cs="宋体"/>
          <w:color w:val="auto"/>
          <w:highlight w:val="none"/>
        </w:rPr>
      </w:pPr>
    </w:p>
    <w:p w14:paraId="54686D85">
      <w:pPr>
        <w:pStyle w:val="433"/>
        <w:rPr>
          <w:color w:val="auto"/>
          <w:highlight w:val="none"/>
        </w:rPr>
      </w:pPr>
    </w:p>
    <w:p w14:paraId="2CAAD453">
      <w:pPr>
        <w:pStyle w:val="433"/>
        <w:rPr>
          <w:color w:val="auto"/>
          <w:highlight w:val="none"/>
        </w:rPr>
      </w:pPr>
    </w:p>
    <w:p w14:paraId="44FDB2AA">
      <w:pPr>
        <w:pStyle w:val="433"/>
        <w:rPr>
          <w:color w:val="auto"/>
          <w:highlight w:val="none"/>
        </w:rPr>
      </w:pPr>
    </w:p>
    <w:p w14:paraId="2A27E807">
      <w:pPr>
        <w:pStyle w:val="433"/>
        <w:rPr>
          <w:color w:val="auto"/>
          <w:highlight w:val="none"/>
        </w:rPr>
      </w:pPr>
    </w:p>
    <w:p w14:paraId="0BA46ECE">
      <w:pPr>
        <w:spacing w:line="588" w:lineRule="exact"/>
        <w:jc w:val="center"/>
        <w:rPr>
          <w:rFonts w:ascii="宋体" w:hAnsi="宋体"/>
          <w:b/>
          <w:bCs/>
          <w:color w:val="auto"/>
          <w:sz w:val="30"/>
          <w:highlight w:val="none"/>
        </w:rPr>
      </w:pPr>
      <w:r>
        <w:rPr>
          <w:rFonts w:hint="eastAsia" w:ascii="宋体" w:hAnsi="宋体"/>
          <w:b/>
          <w:bCs/>
          <w:color w:val="auto"/>
          <w:sz w:val="30"/>
          <w:highlight w:val="none"/>
        </w:rPr>
        <w:t>残疾人福利性单位声明函</w:t>
      </w:r>
    </w:p>
    <w:p w14:paraId="6BA7C123">
      <w:pPr>
        <w:spacing w:line="588" w:lineRule="exact"/>
        <w:jc w:val="center"/>
        <w:rPr>
          <w:rFonts w:asciiTheme="majorEastAsia" w:hAnsiTheme="majorEastAsia" w:eastAsiaTheme="majorEastAsia"/>
          <w:b/>
          <w:color w:val="auto"/>
          <w:spacing w:val="6"/>
          <w:sz w:val="24"/>
          <w:highlight w:val="none"/>
        </w:rPr>
      </w:pPr>
    </w:p>
    <w:p w14:paraId="2BB60070">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495F2A">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本单位对上述声明的真实性负责。如有虚假，将依法承担相应责任。</w:t>
      </w:r>
    </w:p>
    <w:p w14:paraId="6D73BDC1">
      <w:pPr>
        <w:snapToGrid w:val="0"/>
        <w:spacing w:line="360" w:lineRule="auto"/>
        <w:ind w:firstLine="480" w:firstLineChars="200"/>
        <w:rPr>
          <w:rFonts w:asciiTheme="majorEastAsia" w:hAnsiTheme="majorEastAsia" w:eastAsiaTheme="majorEastAsia"/>
          <w:color w:val="auto"/>
          <w:sz w:val="24"/>
          <w:highlight w:val="none"/>
        </w:rPr>
      </w:pPr>
    </w:p>
    <w:p w14:paraId="7A07A0C0">
      <w:pPr>
        <w:spacing w:line="588" w:lineRule="exact"/>
        <w:ind w:firstLine="504" w:firstLineChars="200"/>
        <w:rPr>
          <w:rFonts w:asciiTheme="majorEastAsia" w:hAnsiTheme="majorEastAsia" w:eastAsiaTheme="majorEastAsia"/>
          <w:color w:val="auto"/>
          <w:spacing w:val="6"/>
          <w:sz w:val="24"/>
          <w:highlight w:val="none"/>
        </w:rPr>
      </w:pPr>
    </w:p>
    <w:p w14:paraId="3735EF0C">
      <w:pPr>
        <w:snapToGrid w:val="0"/>
        <w:spacing w:line="360" w:lineRule="auto"/>
        <w:ind w:firstLine="480" w:firstLineChars="200"/>
        <w:jc w:val="righ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单位名称（盖章）：</w:t>
      </w:r>
    </w:p>
    <w:p w14:paraId="541D098C">
      <w:pPr>
        <w:snapToGrid w:val="0"/>
        <w:spacing w:line="360" w:lineRule="auto"/>
        <w:ind w:firstLine="480" w:firstLineChars="200"/>
        <w:jc w:val="righ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日  期：</w:t>
      </w:r>
    </w:p>
    <w:p w14:paraId="13D8EDD7">
      <w:pPr>
        <w:rPr>
          <w:rFonts w:asciiTheme="majorEastAsia" w:hAnsiTheme="majorEastAsia" w:eastAsiaTheme="majorEastAsia"/>
          <w:color w:val="auto"/>
          <w:sz w:val="24"/>
          <w:highlight w:val="none"/>
        </w:rPr>
      </w:pPr>
    </w:p>
    <w:p w14:paraId="68DB5A66">
      <w:pPr>
        <w:rPr>
          <w:rFonts w:asciiTheme="majorEastAsia" w:hAnsiTheme="majorEastAsia" w:eastAsiaTheme="majorEastAsia"/>
          <w:color w:val="auto"/>
          <w:sz w:val="24"/>
          <w:highlight w:val="none"/>
        </w:rPr>
      </w:pPr>
    </w:p>
    <w:p w14:paraId="37E41FC6">
      <w:pPr>
        <w:pStyle w:val="19"/>
        <w:spacing w:line="500" w:lineRule="exact"/>
        <w:ind w:firstLine="0"/>
        <w:rPr>
          <w:rFonts w:asciiTheme="majorEastAsia" w:hAnsiTheme="majorEastAsia" w:eastAsiaTheme="majorEastAsia"/>
          <w:color w:val="auto"/>
          <w:szCs w:val="24"/>
          <w:highlight w:val="none"/>
        </w:rPr>
      </w:pPr>
    </w:p>
    <w:p w14:paraId="7A8B6E5A">
      <w:pPr>
        <w:pStyle w:val="19"/>
        <w:spacing w:line="500" w:lineRule="exact"/>
        <w:ind w:firstLine="0"/>
        <w:rPr>
          <w:rFonts w:asciiTheme="majorEastAsia" w:hAnsiTheme="majorEastAsia" w:eastAsiaTheme="majorEastAsia"/>
          <w:color w:val="auto"/>
          <w:szCs w:val="24"/>
          <w:highlight w:val="none"/>
        </w:rPr>
      </w:pPr>
    </w:p>
    <w:p w14:paraId="0256EF9B">
      <w:pPr>
        <w:snapToGrid w:val="0"/>
        <w:spacing w:before="50"/>
        <w:jc w:val="center"/>
        <w:rPr>
          <w:rFonts w:asciiTheme="majorEastAsia" w:hAnsiTheme="majorEastAsia" w:eastAsiaTheme="majorEastAsia"/>
          <w:b/>
          <w:color w:val="auto"/>
          <w:spacing w:val="40"/>
          <w:kern w:val="0"/>
          <w:sz w:val="24"/>
          <w:highlight w:val="none"/>
        </w:rPr>
      </w:pPr>
    </w:p>
    <w:p w14:paraId="459023BD">
      <w:pPr>
        <w:snapToGrid w:val="0"/>
        <w:spacing w:before="50"/>
        <w:rPr>
          <w:rFonts w:asciiTheme="majorEastAsia" w:hAnsiTheme="majorEastAsia" w:eastAsiaTheme="majorEastAsia"/>
          <w:b/>
          <w:color w:val="auto"/>
          <w:spacing w:val="40"/>
          <w:kern w:val="0"/>
          <w:sz w:val="24"/>
          <w:highlight w:val="none"/>
        </w:rPr>
      </w:pPr>
      <w:r>
        <w:rPr>
          <w:rFonts w:hint="eastAsia" w:asciiTheme="majorEastAsia" w:hAnsiTheme="majorEastAsia" w:eastAsiaTheme="majorEastAsia"/>
          <w:color w:val="auto"/>
          <w:sz w:val="24"/>
          <w:highlight w:val="none"/>
          <w:u w:val="single"/>
        </w:rPr>
        <w:t>注：若不是</w:t>
      </w:r>
      <w:r>
        <w:rPr>
          <w:rFonts w:hint="eastAsia" w:cs="Times New Roman" w:asciiTheme="majorEastAsia" w:hAnsiTheme="majorEastAsia" w:eastAsiaTheme="majorEastAsia"/>
          <w:color w:val="auto"/>
          <w:sz w:val="24"/>
          <w:highlight w:val="none"/>
          <w:u w:val="single"/>
        </w:rPr>
        <w:t>残疾人福利性单位，请勿填写此表。</w:t>
      </w:r>
    </w:p>
    <w:p w14:paraId="7A046FD7">
      <w:pPr>
        <w:rPr>
          <w:rFonts w:asciiTheme="majorEastAsia" w:hAnsiTheme="majorEastAsia" w:eastAsiaTheme="majorEastAsia"/>
          <w:color w:val="auto"/>
          <w:sz w:val="24"/>
          <w:highlight w:val="none"/>
        </w:rPr>
      </w:pPr>
    </w:p>
    <w:p w14:paraId="6F97B7BC">
      <w:pPr>
        <w:pStyle w:val="2"/>
        <w:rPr>
          <w:color w:val="auto"/>
          <w:highlight w:val="none"/>
        </w:rPr>
      </w:pPr>
    </w:p>
    <w:p w14:paraId="2606052C">
      <w:pPr>
        <w:pStyle w:val="2"/>
        <w:rPr>
          <w:color w:val="auto"/>
          <w:highlight w:val="none"/>
        </w:rPr>
      </w:pPr>
    </w:p>
    <w:p w14:paraId="2E4FBAE2">
      <w:pPr>
        <w:pStyle w:val="2"/>
        <w:rPr>
          <w:color w:val="auto"/>
          <w:highlight w:val="none"/>
        </w:rPr>
      </w:pPr>
    </w:p>
    <w:p w14:paraId="22F7E13C">
      <w:pPr>
        <w:pStyle w:val="2"/>
        <w:rPr>
          <w:color w:val="auto"/>
          <w:highlight w:val="none"/>
        </w:rPr>
      </w:pPr>
    </w:p>
    <w:p w14:paraId="022C3676">
      <w:pPr>
        <w:pStyle w:val="2"/>
        <w:rPr>
          <w:color w:val="auto"/>
          <w:highlight w:val="none"/>
        </w:rPr>
      </w:pPr>
    </w:p>
    <w:p w14:paraId="33F62902">
      <w:pPr>
        <w:pStyle w:val="2"/>
        <w:rPr>
          <w:color w:val="auto"/>
          <w:highlight w:val="none"/>
        </w:rPr>
      </w:pPr>
    </w:p>
    <w:p w14:paraId="2690630B">
      <w:pPr>
        <w:pStyle w:val="2"/>
        <w:rPr>
          <w:color w:val="auto"/>
          <w:highlight w:val="none"/>
        </w:rPr>
      </w:pPr>
    </w:p>
    <w:p w14:paraId="04CF196F">
      <w:pPr>
        <w:pStyle w:val="2"/>
        <w:rPr>
          <w:color w:val="auto"/>
          <w:highlight w:val="none"/>
        </w:rPr>
      </w:pPr>
    </w:p>
    <w:p w14:paraId="4563B8AC">
      <w:pPr>
        <w:pStyle w:val="2"/>
        <w:rPr>
          <w:color w:val="auto"/>
          <w:highlight w:val="none"/>
        </w:rPr>
      </w:pPr>
    </w:p>
    <w:p w14:paraId="24B8EC59">
      <w:pPr>
        <w:pStyle w:val="2"/>
        <w:rPr>
          <w:color w:val="auto"/>
          <w:highlight w:val="none"/>
        </w:rPr>
      </w:pPr>
    </w:p>
    <w:p w14:paraId="52444065">
      <w:pPr>
        <w:pStyle w:val="2"/>
        <w:rPr>
          <w:color w:val="auto"/>
          <w:highlight w:val="none"/>
        </w:rPr>
      </w:pPr>
    </w:p>
    <w:p w14:paraId="76734313">
      <w:pPr>
        <w:pStyle w:val="2"/>
        <w:rPr>
          <w:color w:val="auto"/>
          <w:highlight w:val="none"/>
        </w:rPr>
      </w:pPr>
    </w:p>
    <w:p w14:paraId="254CD901">
      <w:pPr>
        <w:pStyle w:val="2"/>
        <w:rPr>
          <w:color w:val="auto"/>
          <w:highlight w:val="none"/>
        </w:rPr>
      </w:pPr>
    </w:p>
    <w:p w14:paraId="4FA8940A">
      <w:pPr>
        <w:pStyle w:val="2"/>
        <w:rPr>
          <w:color w:val="auto"/>
          <w:highlight w:val="none"/>
        </w:rPr>
      </w:pPr>
    </w:p>
    <w:p w14:paraId="651E691F">
      <w:pPr>
        <w:pStyle w:val="433"/>
        <w:rPr>
          <w:rFonts w:asciiTheme="majorEastAsia" w:hAnsiTheme="majorEastAsia" w:eastAsiaTheme="majorEastAsia"/>
          <w:color w:val="auto"/>
          <w:highlight w:val="none"/>
        </w:rPr>
      </w:pPr>
    </w:p>
    <w:p w14:paraId="084A68A8">
      <w:pPr>
        <w:widowControl/>
        <w:spacing w:line="360" w:lineRule="auto"/>
        <w:rPr>
          <w:rFonts w:ascii="宋体" w:hAnsi="宋体" w:cs="宋体"/>
          <w:b/>
          <w:bCs/>
          <w:color w:val="auto"/>
          <w:sz w:val="24"/>
          <w:szCs w:val="24"/>
          <w:highlight w:val="none"/>
        </w:rPr>
      </w:pPr>
    </w:p>
    <w:p w14:paraId="24FD0DC3">
      <w:pPr>
        <w:pStyle w:val="2"/>
        <w:rPr>
          <w:color w:val="auto"/>
          <w:highlight w:val="none"/>
        </w:rPr>
      </w:pPr>
    </w:p>
    <w:p w14:paraId="722C5C14">
      <w:pPr>
        <w:pStyle w:val="2"/>
        <w:rPr>
          <w:color w:val="auto"/>
          <w:highlight w:val="none"/>
        </w:rPr>
      </w:pPr>
    </w:p>
    <w:p w14:paraId="712378E6">
      <w:pPr>
        <w:pStyle w:val="2"/>
        <w:rPr>
          <w:color w:val="auto"/>
          <w:highlight w:val="none"/>
        </w:rPr>
      </w:pPr>
    </w:p>
    <w:p w14:paraId="5BB8BB23">
      <w:pPr>
        <w:widowControl/>
        <w:spacing w:line="360" w:lineRule="auto"/>
        <w:rPr>
          <w:rFonts w:ascii="宋体" w:hAnsi="宋体" w:cs="宋体"/>
          <w:b/>
          <w:bCs/>
          <w:color w:val="auto"/>
          <w:sz w:val="24"/>
          <w:szCs w:val="24"/>
          <w:highlight w:val="none"/>
        </w:rPr>
      </w:pPr>
    </w:p>
    <w:p w14:paraId="60289BE0">
      <w:pPr>
        <w:widowControl/>
        <w:spacing w:line="360" w:lineRule="auto"/>
        <w:rPr>
          <w:rFonts w:ascii="宋体" w:cs="Times New Roman"/>
          <w:b/>
          <w:bCs/>
          <w:color w:val="auto"/>
          <w:sz w:val="24"/>
          <w:szCs w:val="24"/>
          <w:highlight w:val="none"/>
        </w:rPr>
      </w:pPr>
      <w:r>
        <w:rPr>
          <w:rFonts w:hint="eastAsia" w:ascii="宋体" w:hAnsi="宋体" w:cs="宋体"/>
          <w:b/>
          <w:bCs/>
          <w:color w:val="auto"/>
          <w:sz w:val="24"/>
          <w:szCs w:val="24"/>
          <w:highlight w:val="none"/>
        </w:rPr>
        <w:t>四、技术文件：（参考第三章磋商须知“响应文件的组成”）</w:t>
      </w:r>
    </w:p>
    <w:p w14:paraId="17FAE643">
      <w:pPr>
        <w:spacing w:line="460" w:lineRule="exact"/>
        <w:jc w:val="left"/>
        <w:rPr>
          <w:rFonts w:ascii="宋体" w:cs="Times New Roman"/>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服务技术响应表：</w:t>
      </w:r>
    </w:p>
    <w:p w14:paraId="7FC54251">
      <w:pPr>
        <w:snapToGrid w:val="0"/>
        <w:spacing w:before="50"/>
        <w:jc w:val="left"/>
        <w:rPr>
          <w:rFonts w:ascii="宋体" w:cs="Times New Roman"/>
          <w:color w:val="auto"/>
          <w:sz w:val="24"/>
          <w:szCs w:val="24"/>
          <w:highlight w:val="none"/>
          <w:u w:val="single"/>
        </w:rPr>
      </w:pPr>
      <w:r>
        <w:rPr>
          <w:rFonts w:hint="eastAsia" w:ascii="宋体" w:hAnsi="宋体" w:cs="宋体"/>
          <w:color w:val="auto"/>
          <w:sz w:val="24"/>
          <w:szCs w:val="24"/>
          <w:highlight w:val="none"/>
        </w:rPr>
        <w:t>项目名称：</w:t>
      </w:r>
    </w:p>
    <w:tbl>
      <w:tblPr>
        <w:tblStyle w:val="6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700"/>
        <w:gridCol w:w="1260"/>
        <w:gridCol w:w="1260"/>
      </w:tblGrid>
      <w:tr w14:paraId="4564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03B0DF8">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700" w:type="dxa"/>
            <w:vAlign w:val="center"/>
          </w:tcPr>
          <w:p w14:paraId="74EC5862">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磋商文件要求指标参数</w:t>
            </w:r>
          </w:p>
        </w:tc>
        <w:tc>
          <w:tcPr>
            <w:tcW w:w="2700" w:type="dxa"/>
            <w:vAlign w:val="center"/>
          </w:tcPr>
          <w:p w14:paraId="7DD43CFF">
            <w:pPr>
              <w:spacing w:line="400" w:lineRule="exact"/>
              <w:rPr>
                <w:rFonts w:ascii="宋体" w:cs="宋体"/>
                <w:color w:val="auto"/>
                <w:sz w:val="24"/>
                <w:szCs w:val="24"/>
                <w:highlight w:val="none"/>
              </w:rPr>
            </w:pPr>
            <w:r>
              <w:rPr>
                <w:rFonts w:hint="eastAsia" w:ascii="宋体" w:hAnsi="宋体" w:cs="宋体"/>
                <w:color w:val="auto"/>
                <w:sz w:val="24"/>
                <w:szCs w:val="24"/>
                <w:highlight w:val="none"/>
              </w:rPr>
              <w:t>响应文件实际指标参数</w:t>
            </w:r>
          </w:p>
        </w:tc>
        <w:tc>
          <w:tcPr>
            <w:tcW w:w="1260" w:type="dxa"/>
            <w:vAlign w:val="center"/>
          </w:tcPr>
          <w:p w14:paraId="57B119D5">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偏离情况</w:t>
            </w:r>
          </w:p>
        </w:tc>
        <w:tc>
          <w:tcPr>
            <w:tcW w:w="1260" w:type="dxa"/>
            <w:vAlign w:val="center"/>
          </w:tcPr>
          <w:p w14:paraId="5348B6E3">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偏离原因</w:t>
            </w:r>
          </w:p>
        </w:tc>
      </w:tr>
      <w:tr w14:paraId="6560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6ECCF25">
            <w:pPr>
              <w:spacing w:line="360" w:lineRule="auto"/>
              <w:jc w:val="center"/>
              <w:rPr>
                <w:rFonts w:ascii="宋体" w:cs="宋体"/>
                <w:b/>
                <w:bCs/>
                <w:color w:val="auto"/>
                <w:sz w:val="30"/>
                <w:szCs w:val="30"/>
                <w:highlight w:val="none"/>
              </w:rPr>
            </w:pPr>
          </w:p>
        </w:tc>
        <w:tc>
          <w:tcPr>
            <w:tcW w:w="2700" w:type="dxa"/>
          </w:tcPr>
          <w:p w14:paraId="6AFEA032">
            <w:pPr>
              <w:spacing w:line="360" w:lineRule="auto"/>
              <w:jc w:val="center"/>
              <w:rPr>
                <w:rFonts w:ascii="宋体" w:cs="宋体"/>
                <w:b/>
                <w:bCs/>
                <w:color w:val="auto"/>
                <w:sz w:val="30"/>
                <w:szCs w:val="30"/>
                <w:highlight w:val="none"/>
              </w:rPr>
            </w:pPr>
          </w:p>
        </w:tc>
        <w:tc>
          <w:tcPr>
            <w:tcW w:w="2700" w:type="dxa"/>
          </w:tcPr>
          <w:p w14:paraId="6557333A">
            <w:pPr>
              <w:spacing w:line="360" w:lineRule="auto"/>
              <w:jc w:val="center"/>
              <w:rPr>
                <w:rFonts w:ascii="宋体" w:cs="宋体"/>
                <w:b/>
                <w:bCs/>
                <w:color w:val="auto"/>
                <w:sz w:val="30"/>
                <w:szCs w:val="30"/>
                <w:highlight w:val="none"/>
              </w:rPr>
            </w:pPr>
          </w:p>
        </w:tc>
        <w:tc>
          <w:tcPr>
            <w:tcW w:w="1260" w:type="dxa"/>
          </w:tcPr>
          <w:p w14:paraId="4A2360D0">
            <w:pPr>
              <w:spacing w:line="360" w:lineRule="auto"/>
              <w:jc w:val="center"/>
              <w:rPr>
                <w:rFonts w:ascii="宋体" w:cs="宋体"/>
                <w:b/>
                <w:bCs/>
                <w:color w:val="auto"/>
                <w:sz w:val="30"/>
                <w:szCs w:val="30"/>
                <w:highlight w:val="none"/>
              </w:rPr>
            </w:pPr>
          </w:p>
        </w:tc>
        <w:tc>
          <w:tcPr>
            <w:tcW w:w="1260" w:type="dxa"/>
          </w:tcPr>
          <w:p w14:paraId="681CD95D">
            <w:pPr>
              <w:spacing w:line="360" w:lineRule="auto"/>
              <w:jc w:val="center"/>
              <w:rPr>
                <w:rFonts w:ascii="宋体" w:cs="宋体"/>
                <w:b/>
                <w:bCs/>
                <w:color w:val="auto"/>
                <w:sz w:val="30"/>
                <w:szCs w:val="30"/>
                <w:highlight w:val="none"/>
              </w:rPr>
            </w:pPr>
          </w:p>
        </w:tc>
      </w:tr>
      <w:tr w14:paraId="7C8F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D7604A3">
            <w:pPr>
              <w:spacing w:line="360" w:lineRule="auto"/>
              <w:jc w:val="center"/>
              <w:rPr>
                <w:rFonts w:ascii="宋体" w:cs="宋体"/>
                <w:b/>
                <w:bCs/>
                <w:color w:val="auto"/>
                <w:sz w:val="30"/>
                <w:szCs w:val="30"/>
                <w:highlight w:val="none"/>
              </w:rPr>
            </w:pPr>
          </w:p>
        </w:tc>
        <w:tc>
          <w:tcPr>
            <w:tcW w:w="2700" w:type="dxa"/>
          </w:tcPr>
          <w:p w14:paraId="37EB740D">
            <w:pPr>
              <w:spacing w:line="360" w:lineRule="auto"/>
              <w:jc w:val="center"/>
              <w:rPr>
                <w:rFonts w:ascii="宋体" w:cs="宋体"/>
                <w:b/>
                <w:bCs/>
                <w:color w:val="auto"/>
                <w:sz w:val="30"/>
                <w:szCs w:val="30"/>
                <w:highlight w:val="none"/>
              </w:rPr>
            </w:pPr>
          </w:p>
        </w:tc>
        <w:tc>
          <w:tcPr>
            <w:tcW w:w="2700" w:type="dxa"/>
          </w:tcPr>
          <w:p w14:paraId="11D119DF">
            <w:pPr>
              <w:spacing w:line="360" w:lineRule="auto"/>
              <w:jc w:val="center"/>
              <w:rPr>
                <w:rFonts w:ascii="宋体" w:cs="宋体"/>
                <w:b/>
                <w:bCs/>
                <w:color w:val="auto"/>
                <w:sz w:val="30"/>
                <w:szCs w:val="30"/>
                <w:highlight w:val="none"/>
              </w:rPr>
            </w:pPr>
          </w:p>
        </w:tc>
        <w:tc>
          <w:tcPr>
            <w:tcW w:w="1260" w:type="dxa"/>
          </w:tcPr>
          <w:p w14:paraId="6C51DA35">
            <w:pPr>
              <w:spacing w:line="360" w:lineRule="auto"/>
              <w:jc w:val="center"/>
              <w:rPr>
                <w:rFonts w:ascii="宋体" w:cs="宋体"/>
                <w:b/>
                <w:bCs/>
                <w:color w:val="auto"/>
                <w:sz w:val="30"/>
                <w:szCs w:val="30"/>
                <w:highlight w:val="none"/>
              </w:rPr>
            </w:pPr>
          </w:p>
        </w:tc>
        <w:tc>
          <w:tcPr>
            <w:tcW w:w="1260" w:type="dxa"/>
          </w:tcPr>
          <w:p w14:paraId="4D38C52A">
            <w:pPr>
              <w:spacing w:line="360" w:lineRule="auto"/>
              <w:jc w:val="center"/>
              <w:rPr>
                <w:rFonts w:ascii="宋体" w:cs="宋体"/>
                <w:b/>
                <w:bCs/>
                <w:color w:val="auto"/>
                <w:sz w:val="30"/>
                <w:szCs w:val="30"/>
                <w:highlight w:val="none"/>
              </w:rPr>
            </w:pPr>
          </w:p>
        </w:tc>
      </w:tr>
      <w:tr w14:paraId="0CB3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72F69C4">
            <w:pPr>
              <w:spacing w:line="360" w:lineRule="auto"/>
              <w:jc w:val="center"/>
              <w:rPr>
                <w:rFonts w:ascii="宋体" w:cs="宋体"/>
                <w:b/>
                <w:bCs/>
                <w:color w:val="auto"/>
                <w:sz w:val="30"/>
                <w:szCs w:val="30"/>
                <w:highlight w:val="none"/>
              </w:rPr>
            </w:pPr>
          </w:p>
        </w:tc>
        <w:tc>
          <w:tcPr>
            <w:tcW w:w="2700" w:type="dxa"/>
          </w:tcPr>
          <w:p w14:paraId="4406BCD5">
            <w:pPr>
              <w:spacing w:line="360" w:lineRule="auto"/>
              <w:jc w:val="center"/>
              <w:rPr>
                <w:rFonts w:ascii="宋体" w:cs="宋体"/>
                <w:b/>
                <w:bCs/>
                <w:color w:val="auto"/>
                <w:sz w:val="30"/>
                <w:szCs w:val="30"/>
                <w:highlight w:val="none"/>
              </w:rPr>
            </w:pPr>
          </w:p>
        </w:tc>
        <w:tc>
          <w:tcPr>
            <w:tcW w:w="2700" w:type="dxa"/>
          </w:tcPr>
          <w:p w14:paraId="577E9410">
            <w:pPr>
              <w:spacing w:line="360" w:lineRule="auto"/>
              <w:jc w:val="center"/>
              <w:rPr>
                <w:rFonts w:ascii="宋体" w:cs="宋体"/>
                <w:b/>
                <w:bCs/>
                <w:color w:val="auto"/>
                <w:sz w:val="30"/>
                <w:szCs w:val="30"/>
                <w:highlight w:val="none"/>
              </w:rPr>
            </w:pPr>
          </w:p>
        </w:tc>
        <w:tc>
          <w:tcPr>
            <w:tcW w:w="1260" w:type="dxa"/>
          </w:tcPr>
          <w:p w14:paraId="176F1B88">
            <w:pPr>
              <w:spacing w:line="360" w:lineRule="auto"/>
              <w:jc w:val="center"/>
              <w:rPr>
                <w:rFonts w:ascii="宋体" w:cs="宋体"/>
                <w:b/>
                <w:bCs/>
                <w:color w:val="auto"/>
                <w:sz w:val="30"/>
                <w:szCs w:val="30"/>
                <w:highlight w:val="none"/>
              </w:rPr>
            </w:pPr>
          </w:p>
        </w:tc>
        <w:tc>
          <w:tcPr>
            <w:tcW w:w="1260" w:type="dxa"/>
          </w:tcPr>
          <w:p w14:paraId="6EDB589F">
            <w:pPr>
              <w:spacing w:line="360" w:lineRule="auto"/>
              <w:jc w:val="center"/>
              <w:rPr>
                <w:rFonts w:ascii="宋体" w:cs="宋体"/>
                <w:b/>
                <w:bCs/>
                <w:color w:val="auto"/>
                <w:sz w:val="30"/>
                <w:szCs w:val="30"/>
                <w:highlight w:val="none"/>
              </w:rPr>
            </w:pPr>
          </w:p>
        </w:tc>
      </w:tr>
      <w:tr w14:paraId="61EA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F85FC55">
            <w:pPr>
              <w:spacing w:line="360" w:lineRule="auto"/>
              <w:jc w:val="center"/>
              <w:rPr>
                <w:rFonts w:ascii="宋体" w:cs="宋体"/>
                <w:b/>
                <w:bCs/>
                <w:color w:val="auto"/>
                <w:sz w:val="30"/>
                <w:szCs w:val="30"/>
                <w:highlight w:val="none"/>
              </w:rPr>
            </w:pPr>
          </w:p>
        </w:tc>
        <w:tc>
          <w:tcPr>
            <w:tcW w:w="2700" w:type="dxa"/>
          </w:tcPr>
          <w:p w14:paraId="1DA871DD">
            <w:pPr>
              <w:spacing w:line="360" w:lineRule="auto"/>
              <w:jc w:val="center"/>
              <w:rPr>
                <w:rFonts w:ascii="宋体" w:cs="宋体"/>
                <w:b/>
                <w:bCs/>
                <w:color w:val="auto"/>
                <w:sz w:val="30"/>
                <w:szCs w:val="30"/>
                <w:highlight w:val="none"/>
              </w:rPr>
            </w:pPr>
          </w:p>
        </w:tc>
        <w:tc>
          <w:tcPr>
            <w:tcW w:w="2700" w:type="dxa"/>
          </w:tcPr>
          <w:p w14:paraId="6A56A005">
            <w:pPr>
              <w:spacing w:line="360" w:lineRule="auto"/>
              <w:jc w:val="center"/>
              <w:rPr>
                <w:rFonts w:ascii="宋体" w:cs="宋体"/>
                <w:b/>
                <w:bCs/>
                <w:color w:val="auto"/>
                <w:sz w:val="30"/>
                <w:szCs w:val="30"/>
                <w:highlight w:val="none"/>
              </w:rPr>
            </w:pPr>
          </w:p>
        </w:tc>
        <w:tc>
          <w:tcPr>
            <w:tcW w:w="1260" w:type="dxa"/>
          </w:tcPr>
          <w:p w14:paraId="74CF8463">
            <w:pPr>
              <w:spacing w:line="360" w:lineRule="auto"/>
              <w:jc w:val="center"/>
              <w:rPr>
                <w:rFonts w:ascii="宋体" w:cs="宋体"/>
                <w:b/>
                <w:bCs/>
                <w:color w:val="auto"/>
                <w:sz w:val="30"/>
                <w:szCs w:val="30"/>
                <w:highlight w:val="none"/>
              </w:rPr>
            </w:pPr>
          </w:p>
        </w:tc>
        <w:tc>
          <w:tcPr>
            <w:tcW w:w="1260" w:type="dxa"/>
          </w:tcPr>
          <w:p w14:paraId="116064FF">
            <w:pPr>
              <w:spacing w:line="360" w:lineRule="auto"/>
              <w:jc w:val="center"/>
              <w:rPr>
                <w:rFonts w:ascii="宋体" w:cs="宋体"/>
                <w:b/>
                <w:bCs/>
                <w:color w:val="auto"/>
                <w:sz w:val="30"/>
                <w:szCs w:val="30"/>
                <w:highlight w:val="none"/>
              </w:rPr>
            </w:pPr>
          </w:p>
        </w:tc>
      </w:tr>
      <w:tr w14:paraId="7E4F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B676360">
            <w:pPr>
              <w:spacing w:line="360" w:lineRule="auto"/>
              <w:jc w:val="center"/>
              <w:rPr>
                <w:rFonts w:ascii="宋体" w:cs="宋体"/>
                <w:b/>
                <w:bCs/>
                <w:color w:val="auto"/>
                <w:sz w:val="30"/>
                <w:szCs w:val="30"/>
                <w:highlight w:val="none"/>
              </w:rPr>
            </w:pPr>
          </w:p>
        </w:tc>
        <w:tc>
          <w:tcPr>
            <w:tcW w:w="2700" w:type="dxa"/>
          </w:tcPr>
          <w:p w14:paraId="53AAE49A">
            <w:pPr>
              <w:spacing w:line="360" w:lineRule="auto"/>
              <w:jc w:val="center"/>
              <w:rPr>
                <w:rFonts w:ascii="宋体" w:cs="宋体"/>
                <w:b/>
                <w:bCs/>
                <w:color w:val="auto"/>
                <w:sz w:val="30"/>
                <w:szCs w:val="30"/>
                <w:highlight w:val="none"/>
              </w:rPr>
            </w:pPr>
          </w:p>
        </w:tc>
        <w:tc>
          <w:tcPr>
            <w:tcW w:w="2700" w:type="dxa"/>
          </w:tcPr>
          <w:p w14:paraId="55DE7018">
            <w:pPr>
              <w:spacing w:line="360" w:lineRule="auto"/>
              <w:jc w:val="center"/>
              <w:rPr>
                <w:rFonts w:ascii="宋体" w:cs="宋体"/>
                <w:b/>
                <w:bCs/>
                <w:color w:val="auto"/>
                <w:sz w:val="30"/>
                <w:szCs w:val="30"/>
                <w:highlight w:val="none"/>
              </w:rPr>
            </w:pPr>
          </w:p>
        </w:tc>
        <w:tc>
          <w:tcPr>
            <w:tcW w:w="1260" w:type="dxa"/>
          </w:tcPr>
          <w:p w14:paraId="6205F6FE">
            <w:pPr>
              <w:spacing w:line="360" w:lineRule="auto"/>
              <w:jc w:val="center"/>
              <w:rPr>
                <w:rFonts w:ascii="宋体" w:cs="宋体"/>
                <w:b/>
                <w:bCs/>
                <w:color w:val="auto"/>
                <w:sz w:val="30"/>
                <w:szCs w:val="30"/>
                <w:highlight w:val="none"/>
              </w:rPr>
            </w:pPr>
          </w:p>
        </w:tc>
        <w:tc>
          <w:tcPr>
            <w:tcW w:w="1260" w:type="dxa"/>
          </w:tcPr>
          <w:p w14:paraId="3130ABA3">
            <w:pPr>
              <w:spacing w:line="360" w:lineRule="auto"/>
              <w:jc w:val="center"/>
              <w:rPr>
                <w:rFonts w:ascii="宋体" w:cs="宋体"/>
                <w:b/>
                <w:bCs/>
                <w:color w:val="auto"/>
                <w:sz w:val="30"/>
                <w:szCs w:val="30"/>
                <w:highlight w:val="none"/>
              </w:rPr>
            </w:pPr>
          </w:p>
        </w:tc>
      </w:tr>
      <w:tr w14:paraId="484D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432CF80">
            <w:pPr>
              <w:spacing w:line="360" w:lineRule="auto"/>
              <w:jc w:val="center"/>
              <w:rPr>
                <w:rFonts w:ascii="宋体" w:cs="宋体"/>
                <w:b/>
                <w:bCs/>
                <w:color w:val="auto"/>
                <w:sz w:val="30"/>
                <w:szCs w:val="30"/>
                <w:highlight w:val="none"/>
              </w:rPr>
            </w:pPr>
          </w:p>
        </w:tc>
        <w:tc>
          <w:tcPr>
            <w:tcW w:w="2700" w:type="dxa"/>
          </w:tcPr>
          <w:p w14:paraId="30F9FA60">
            <w:pPr>
              <w:spacing w:line="360" w:lineRule="auto"/>
              <w:jc w:val="center"/>
              <w:rPr>
                <w:rFonts w:ascii="宋体" w:cs="宋体"/>
                <w:b/>
                <w:bCs/>
                <w:color w:val="auto"/>
                <w:sz w:val="30"/>
                <w:szCs w:val="30"/>
                <w:highlight w:val="none"/>
              </w:rPr>
            </w:pPr>
          </w:p>
        </w:tc>
        <w:tc>
          <w:tcPr>
            <w:tcW w:w="2700" w:type="dxa"/>
          </w:tcPr>
          <w:p w14:paraId="720FFF7B">
            <w:pPr>
              <w:spacing w:line="360" w:lineRule="auto"/>
              <w:jc w:val="center"/>
              <w:rPr>
                <w:rFonts w:ascii="宋体" w:cs="宋体"/>
                <w:b/>
                <w:bCs/>
                <w:color w:val="auto"/>
                <w:sz w:val="30"/>
                <w:szCs w:val="30"/>
                <w:highlight w:val="none"/>
              </w:rPr>
            </w:pPr>
          </w:p>
        </w:tc>
        <w:tc>
          <w:tcPr>
            <w:tcW w:w="1260" w:type="dxa"/>
          </w:tcPr>
          <w:p w14:paraId="299A86AA">
            <w:pPr>
              <w:spacing w:line="360" w:lineRule="auto"/>
              <w:jc w:val="center"/>
              <w:rPr>
                <w:rFonts w:ascii="宋体" w:cs="宋体"/>
                <w:b/>
                <w:bCs/>
                <w:color w:val="auto"/>
                <w:sz w:val="30"/>
                <w:szCs w:val="30"/>
                <w:highlight w:val="none"/>
              </w:rPr>
            </w:pPr>
          </w:p>
        </w:tc>
        <w:tc>
          <w:tcPr>
            <w:tcW w:w="1260" w:type="dxa"/>
          </w:tcPr>
          <w:p w14:paraId="44A228E8">
            <w:pPr>
              <w:spacing w:line="360" w:lineRule="auto"/>
              <w:jc w:val="center"/>
              <w:rPr>
                <w:rFonts w:ascii="宋体" w:cs="宋体"/>
                <w:b/>
                <w:bCs/>
                <w:color w:val="auto"/>
                <w:sz w:val="30"/>
                <w:szCs w:val="30"/>
                <w:highlight w:val="none"/>
              </w:rPr>
            </w:pPr>
          </w:p>
        </w:tc>
      </w:tr>
      <w:tr w14:paraId="61F1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E927C49">
            <w:pPr>
              <w:spacing w:line="360" w:lineRule="auto"/>
              <w:jc w:val="center"/>
              <w:rPr>
                <w:rFonts w:ascii="宋体" w:cs="宋体"/>
                <w:b/>
                <w:bCs/>
                <w:color w:val="auto"/>
                <w:sz w:val="30"/>
                <w:szCs w:val="30"/>
                <w:highlight w:val="none"/>
              </w:rPr>
            </w:pPr>
          </w:p>
        </w:tc>
        <w:tc>
          <w:tcPr>
            <w:tcW w:w="2700" w:type="dxa"/>
          </w:tcPr>
          <w:p w14:paraId="26CE99CF">
            <w:pPr>
              <w:spacing w:line="360" w:lineRule="auto"/>
              <w:jc w:val="center"/>
              <w:rPr>
                <w:rFonts w:ascii="宋体" w:cs="宋体"/>
                <w:b/>
                <w:bCs/>
                <w:color w:val="auto"/>
                <w:sz w:val="30"/>
                <w:szCs w:val="30"/>
                <w:highlight w:val="none"/>
              </w:rPr>
            </w:pPr>
          </w:p>
        </w:tc>
        <w:tc>
          <w:tcPr>
            <w:tcW w:w="2700" w:type="dxa"/>
          </w:tcPr>
          <w:p w14:paraId="67DA757C">
            <w:pPr>
              <w:spacing w:line="360" w:lineRule="auto"/>
              <w:jc w:val="center"/>
              <w:rPr>
                <w:rFonts w:ascii="宋体" w:cs="宋体"/>
                <w:b/>
                <w:bCs/>
                <w:color w:val="auto"/>
                <w:sz w:val="30"/>
                <w:szCs w:val="30"/>
                <w:highlight w:val="none"/>
              </w:rPr>
            </w:pPr>
          </w:p>
        </w:tc>
        <w:tc>
          <w:tcPr>
            <w:tcW w:w="1260" w:type="dxa"/>
          </w:tcPr>
          <w:p w14:paraId="0AAFC228">
            <w:pPr>
              <w:spacing w:line="360" w:lineRule="auto"/>
              <w:jc w:val="center"/>
              <w:rPr>
                <w:rFonts w:ascii="宋体" w:cs="宋体"/>
                <w:b/>
                <w:bCs/>
                <w:color w:val="auto"/>
                <w:sz w:val="30"/>
                <w:szCs w:val="30"/>
                <w:highlight w:val="none"/>
              </w:rPr>
            </w:pPr>
          </w:p>
        </w:tc>
        <w:tc>
          <w:tcPr>
            <w:tcW w:w="1260" w:type="dxa"/>
          </w:tcPr>
          <w:p w14:paraId="00A75FB4">
            <w:pPr>
              <w:spacing w:line="360" w:lineRule="auto"/>
              <w:jc w:val="center"/>
              <w:rPr>
                <w:rFonts w:ascii="宋体" w:cs="宋体"/>
                <w:b/>
                <w:bCs/>
                <w:color w:val="auto"/>
                <w:sz w:val="30"/>
                <w:szCs w:val="30"/>
                <w:highlight w:val="none"/>
              </w:rPr>
            </w:pPr>
          </w:p>
        </w:tc>
      </w:tr>
      <w:tr w14:paraId="4351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3CB21C0">
            <w:pPr>
              <w:spacing w:line="360" w:lineRule="auto"/>
              <w:jc w:val="center"/>
              <w:rPr>
                <w:rFonts w:ascii="宋体" w:cs="宋体"/>
                <w:b/>
                <w:bCs/>
                <w:color w:val="auto"/>
                <w:sz w:val="30"/>
                <w:szCs w:val="30"/>
                <w:highlight w:val="none"/>
              </w:rPr>
            </w:pPr>
          </w:p>
        </w:tc>
        <w:tc>
          <w:tcPr>
            <w:tcW w:w="2700" w:type="dxa"/>
          </w:tcPr>
          <w:p w14:paraId="2DCF0654">
            <w:pPr>
              <w:spacing w:line="360" w:lineRule="auto"/>
              <w:jc w:val="center"/>
              <w:rPr>
                <w:rFonts w:ascii="宋体" w:cs="宋体"/>
                <w:b/>
                <w:bCs/>
                <w:color w:val="auto"/>
                <w:sz w:val="30"/>
                <w:szCs w:val="30"/>
                <w:highlight w:val="none"/>
              </w:rPr>
            </w:pPr>
          </w:p>
        </w:tc>
        <w:tc>
          <w:tcPr>
            <w:tcW w:w="2700" w:type="dxa"/>
          </w:tcPr>
          <w:p w14:paraId="410FB0A0">
            <w:pPr>
              <w:spacing w:line="360" w:lineRule="auto"/>
              <w:jc w:val="center"/>
              <w:rPr>
                <w:rFonts w:ascii="宋体" w:cs="宋体"/>
                <w:b/>
                <w:bCs/>
                <w:color w:val="auto"/>
                <w:sz w:val="30"/>
                <w:szCs w:val="30"/>
                <w:highlight w:val="none"/>
              </w:rPr>
            </w:pPr>
          </w:p>
        </w:tc>
        <w:tc>
          <w:tcPr>
            <w:tcW w:w="1260" w:type="dxa"/>
          </w:tcPr>
          <w:p w14:paraId="2F0BF7B1">
            <w:pPr>
              <w:spacing w:line="360" w:lineRule="auto"/>
              <w:jc w:val="center"/>
              <w:rPr>
                <w:rFonts w:ascii="宋体" w:cs="宋体"/>
                <w:b/>
                <w:bCs/>
                <w:color w:val="auto"/>
                <w:sz w:val="30"/>
                <w:szCs w:val="30"/>
                <w:highlight w:val="none"/>
              </w:rPr>
            </w:pPr>
          </w:p>
        </w:tc>
        <w:tc>
          <w:tcPr>
            <w:tcW w:w="1260" w:type="dxa"/>
          </w:tcPr>
          <w:p w14:paraId="3030B39D">
            <w:pPr>
              <w:spacing w:line="360" w:lineRule="auto"/>
              <w:jc w:val="center"/>
              <w:rPr>
                <w:rFonts w:ascii="宋体" w:cs="宋体"/>
                <w:b/>
                <w:bCs/>
                <w:color w:val="auto"/>
                <w:sz w:val="30"/>
                <w:szCs w:val="30"/>
                <w:highlight w:val="none"/>
              </w:rPr>
            </w:pPr>
          </w:p>
        </w:tc>
      </w:tr>
      <w:tr w14:paraId="28BB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229A153">
            <w:pPr>
              <w:spacing w:line="360" w:lineRule="auto"/>
              <w:jc w:val="center"/>
              <w:rPr>
                <w:rFonts w:ascii="宋体" w:cs="宋体"/>
                <w:b/>
                <w:bCs/>
                <w:color w:val="auto"/>
                <w:sz w:val="30"/>
                <w:szCs w:val="30"/>
                <w:highlight w:val="none"/>
              </w:rPr>
            </w:pPr>
          </w:p>
        </w:tc>
        <w:tc>
          <w:tcPr>
            <w:tcW w:w="2700" w:type="dxa"/>
          </w:tcPr>
          <w:p w14:paraId="2F4CE9F6">
            <w:pPr>
              <w:spacing w:line="360" w:lineRule="auto"/>
              <w:jc w:val="center"/>
              <w:rPr>
                <w:rFonts w:ascii="宋体" w:cs="宋体"/>
                <w:b/>
                <w:bCs/>
                <w:color w:val="auto"/>
                <w:sz w:val="30"/>
                <w:szCs w:val="30"/>
                <w:highlight w:val="none"/>
              </w:rPr>
            </w:pPr>
          </w:p>
        </w:tc>
        <w:tc>
          <w:tcPr>
            <w:tcW w:w="2700" w:type="dxa"/>
          </w:tcPr>
          <w:p w14:paraId="49850DE0">
            <w:pPr>
              <w:spacing w:line="360" w:lineRule="auto"/>
              <w:jc w:val="center"/>
              <w:rPr>
                <w:rFonts w:ascii="宋体" w:cs="宋体"/>
                <w:b/>
                <w:bCs/>
                <w:color w:val="auto"/>
                <w:sz w:val="30"/>
                <w:szCs w:val="30"/>
                <w:highlight w:val="none"/>
              </w:rPr>
            </w:pPr>
          </w:p>
        </w:tc>
        <w:tc>
          <w:tcPr>
            <w:tcW w:w="1260" w:type="dxa"/>
          </w:tcPr>
          <w:p w14:paraId="36AD4911">
            <w:pPr>
              <w:spacing w:line="360" w:lineRule="auto"/>
              <w:jc w:val="center"/>
              <w:rPr>
                <w:rFonts w:ascii="宋体" w:cs="宋体"/>
                <w:b/>
                <w:bCs/>
                <w:color w:val="auto"/>
                <w:sz w:val="30"/>
                <w:szCs w:val="30"/>
                <w:highlight w:val="none"/>
              </w:rPr>
            </w:pPr>
          </w:p>
        </w:tc>
        <w:tc>
          <w:tcPr>
            <w:tcW w:w="1260" w:type="dxa"/>
          </w:tcPr>
          <w:p w14:paraId="27826062">
            <w:pPr>
              <w:spacing w:line="360" w:lineRule="auto"/>
              <w:jc w:val="center"/>
              <w:rPr>
                <w:rFonts w:ascii="宋体" w:cs="宋体"/>
                <w:b/>
                <w:bCs/>
                <w:color w:val="auto"/>
                <w:sz w:val="30"/>
                <w:szCs w:val="30"/>
                <w:highlight w:val="none"/>
              </w:rPr>
            </w:pPr>
          </w:p>
        </w:tc>
      </w:tr>
      <w:tr w14:paraId="1856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3E89115">
            <w:pPr>
              <w:spacing w:line="360" w:lineRule="auto"/>
              <w:jc w:val="center"/>
              <w:rPr>
                <w:rFonts w:ascii="宋体" w:cs="宋体"/>
                <w:b/>
                <w:bCs/>
                <w:color w:val="auto"/>
                <w:sz w:val="30"/>
                <w:szCs w:val="30"/>
                <w:highlight w:val="none"/>
              </w:rPr>
            </w:pPr>
          </w:p>
        </w:tc>
        <w:tc>
          <w:tcPr>
            <w:tcW w:w="2700" w:type="dxa"/>
          </w:tcPr>
          <w:p w14:paraId="14315C32">
            <w:pPr>
              <w:spacing w:line="360" w:lineRule="auto"/>
              <w:jc w:val="center"/>
              <w:rPr>
                <w:rFonts w:ascii="宋体" w:cs="宋体"/>
                <w:b/>
                <w:bCs/>
                <w:color w:val="auto"/>
                <w:sz w:val="30"/>
                <w:szCs w:val="30"/>
                <w:highlight w:val="none"/>
              </w:rPr>
            </w:pPr>
          </w:p>
        </w:tc>
        <w:tc>
          <w:tcPr>
            <w:tcW w:w="2700" w:type="dxa"/>
          </w:tcPr>
          <w:p w14:paraId="2FC16FE7">
            <w:pPr>
              <w:spacing w:line="360" w:lineRule="auto"/>
              <w:jc w:val="center"/>
              <w:rPr>
                <w:rFonts w:ascii="宋体" w:cs="宋体"/>
                <w:b/>
                <w:bCs/>
                <w:color w:val="auto"/>
                <w:sz w:val="30"/>
                <w:szCs w:val="30"/>
                <w:highlight w:val="none"/>
              </w:rPr>
            </w:pPr>
          </w:p>
        </w:tc>
        <w:tc>
          <w:tcPr>
            <w:tcW w:w="1260" w:type="dxa"/>
          </w:tcPr>
          <w:p w14:paraId="192FBFBB">
            <w:pPr>
              <w:spacing w:line="360" w:lineRule="auto"/>
              <w:jc w:val="center"/>
              <w:rPr>
                <w:rFonts w:ascii="宋体" w:cs="宋体"/>
                <w:b/>
                <w:bCs/>
                <w:color w:val="auto"/>
                <w:sz w:val="30"/>
                <w:szCs w:val="30"/>
                <w:highlight w:val="none"/>
              </w:rPr>
            </w:pPr>
          </w:p>
        </w:tc>
        <w:tc>
          <w:tcPr>
            <w:tcW w:w="1260" w:type="dxa"/>
          </w:tcPr>
          <w:p w14:paraId="510B1C91">
            <w:pPr>
              <w:spacing w:line="360" w:lineRule="auto"/>
              <w:jc w:val="center"/>
              <w:rPr>
                <w:rFonts w:ascii="宋体" w:cs="宋体"/>
                <w:b/>
                <w:bCs/>
                <w:color w:val="auto"/>
                <w:sz w:val="30"/>
                <w:szCs w:val="30"/>
                <w:highlight w:val="none"/>
              </w:rPr>
            </w:pPr>
          </w:p>
        </w:tc>
      </w:tr>
    </w:tbl>
    <w:p w14:paraId="537939CC">
      <w:pPr>
        <w:spacing w:line="360" w:lineRule="auto"/>
        <w:ind w:left="843" w:hanging="843" w:hangingChars="350"/>
        <w:rPr>
          <w:rFonts w:ascii="宋体" w:cs="Times New Roman"/>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pacing w:val="14"/>
          <w:sz w:val="24"/>
          <w:szCs w:val="24"/>
          <w:highlight w:val="none"/>
        </w:rPr>
        <w:t>1</w:t>
      </w:r>
      <w:r>
        <w:rPr>
          <w:rFonts w:hint="eastAsia" w:ascii="宋体" w:hAnsi="宋体" w:cs="宋体"/>
          <w:b/>
          <w:bCs/>
          <w:color w:val="auto"/>
          <w:spacing w:val="14"/>
          <w:sz w:val="24"/>
          <w:szCs w:val="24"/>
          <w:highlight w:val="none"/>
        </w:rPr>
        <w:t>、</w:t>
      </w:r>
      <w:r>
        <w:rPr>
          <w:rFonts w:hint="eastAsia" w:ascii="宋体" w:hAnsi="宋体" w:cs="宋体"/>
          <w:b/>
          <w:bCs/>
          <w:color w:val="auto"/>
          <w:spacing w:val="20"/>
          <w:sz w:val="24"/>
          <w:szCs w:val="24"/>
          <w:highlight w:val="none"/>
        </w:rPr>
        <w:t>供应商</w:t>
      </w:r>
      <w:r>
        <w:rPr>
          <w:rFonts w:hint="eastAsia" w:ascii="宋体" w:hAnsi="宋体" w:cs="宋体"/>
          <w:b/>
          <w:bCs/>
          <w:color w:val="auto"/>
          <w:spacing w:val="14"/>
          <w:sz w:val="24"/>
          <w:szCs w:val="24"/>
          <w:highlight w:val="none"/>
        </w:rPr>
        <w:t>必须按采购需求一一对应，如实填写</w:t>
      </w:r>
      <w:r>
        <w:rPr>
          <w:rFonts w:hint="eastAsia" w:ascii="宋体" w:hAnsi="宋体" w:cs="宋体"/>
          <w:b/>
          <w:bCs/>
          <w:color w:val="auto"/>
          <w:sz w:val="24"/>
          <w:szCs w:val="24"/>
          <w:highlight w:val="none"/>
        </w:rPr>
        <w:t>，未按要求填写的，有可能作负偏离处理；</w:t>
      </w:r>
    </w:p>
    <w:p w14:paraId="21239737">
      <w:pPr>
        <w:spacing w:line="360" w:lineRule="auto"/>
        <w:ind w:firstLine="482" w:firstLineChars="200"/>
        <w:rPr>
          <w:rFonts w:ascii="宋体" w:cs="Times New Roman"/>
          <w:b/>
          <w:bCs/>
          <w:color w:val="auto"/>
          <w:spacing w:val="14"/>
          <w:sz w:val="28"/>
          <w:szCs w:val="28"/>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、此表仅提供了表格形式，</w:t>
      </w:r>
      <w:r>
        <w:rPr>
          <w:rFonts w:hint="eastAsia" w:ascii="宋体" w:hAnsi="宋体" w:cs="宋体"/>
          <w:b/>
          <w:bCs/>
          <w:color w:val="auto"/>
          <w:spacing w:val="20"/>
          <w:sz w:val="24"/>
          <w:szCs w:val="24"/>
          <w:highlight w:val="none"/>
        </w:rPr>
        <w:t>供应商</w:t>
      </w:r>
      <w:r>
        <w:rPr>
          <w:rFonts w:hint="eastAsia" w:ascii="宋体" w:hAnsi="宋体" w:cs="宋体"/>
          <w:b/>
          <w:bCs/>
          <w:color w:val="auto"/>
          <w:sz w:val="24"/>
          <w:szCs w:val="24"/>
          <w:highlight w:val="none"/>
        </w:rPr>
        <w:t>应根据需</w:t>
      </w:r>
      <w:r>
        <w:rPr>
          <w:rFonts w:hint="eastAsia" w:ascii="宋体" w:hAnsi="宋体" w:cs="宋体"/>
          <w:color w:val="auto"/>
          <w:sz w:val="24"/>
          <w:szCs w:val="24"/>
          <w:highlight w:val="none"/>
        </w:rPr>
        <w:t>要准备足够数量的表格来填写。</w:t>
      </w:r>
    </w:p>
    <w:p w14:paraId="491AAC6D">
      <w:pPr>
        <w:snapToGrid w:val="0"/>
        <w:spacing w:before="50" w:after="50"/>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授权代表签名：</w:t>
      </w:r>
    </w:p>
    <w:p w14:paraId="0E76E7BB">
      <w:pPr>
        <w:snapToGrid w:val="0"/>
        <w:spacing w:before="50" w:after="156" w:afterLines="50"/>
        <w:jc w:val="left"/>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供应商盖章：日期：</w:t>
      </w:r>
    </w:p>
    <w:p w14:paraId="187283D0">
      <w:pPr>
        <w:spacing w:line="460" w:lineRule="exact"/>
        <w:jc w:val="left"/>
        <w:rPr>
          <w:rFonts w:ascii="宋体" w:cs="Times New Roman"/>
          <w:color w:val="auto"/>
          <w:sz w:val="24"/>
          <w:szCs w:val="24"/>
          <w:highlight w:val="none"/>
        </w:rPr>
      </w:pPr>
    </w:p>
    <w:p w14:paraId="133D4C9F">
      <w:pPr>
        <w:spacing w:line="460" w:lineRule="exact"/>
        <w:jc w:val="left"/>
        <w:rPr>
          <w:rFonts w:ascii="宋体" w:cs="Times New Roman"/>
          <w:color w:val="auto"/>
          <w:sz w:val="24"/>
          <w:szCs w:val="24"/>
          <w:highlight w:val="none"/>
        </w:rPr>
      </w:pPr>
    </w:p>
    <w:p w14:paraId="6C8A1267">
      <w:pPr>
        <w:snapToGrid w:val="0"/>
        <w:spacing w:before="50" w:after="156" w:afterLines="50"/>
        <w:jc w:val="left"/>
        <w:rPr>
          <w:rFonts w:ascii="宋体" w:cs="Times New Roman"/>
          <w:color w:val="auto"/>
          <w:sz w:val="24"/>
          <w:szCs w:val="24"/>
          <w:highlight w:val="none"/>
        </w:rPr>
      </w:pPr>
    </w:p>
    <w:p w14:paraId="6DB2207E">
      <w:pPr>
        <w:snapToGrid w:val="0"/>
        <w:spacing w:before="50" w:after="156" w:afterLines="50"/>
        <w:jc w:val="left"/>
        <w:rPr>
          <w:rFonts w:ascii="宋体" w:cs="Times New Roman"/>
          <w:color w:val="auto"/>
          <w:sz w:val="24"/>
          <w:szCs w:val="24"/>
          <w:highlight w:val="none"/>
        </w:rPr>
      </w:pPr>
    </w:p>
    <w:p w14:paraId="26315FAE">
      <w:pPr>
        <w:snapToGrid w:val="0"/>
        <w:spacing w:before="50" w:after="156" w:afterLines="50"/>
        <w:jc w:val="left"/>
        <w:rPr>
          <w:rFonts w:ascii="宋体" w:cs="Times New Roman"/>
          <w:color w:val="auto"/>
          <w:sz w:val="24"/>
          <w:szCs w:val="24"/>
          <w:highlight w:val="none"/>
        </w:rPr>
      </w:pPr>
    </w:p>
    <w:p w14:paraId="6BDACE80">
      <w:pPr>
        <w:snapToGrid w:val="0"/>
        <w:spacing w:before="50" w:after="156" w:afterLines="50"/>
        <w:jc w:val="left"/>
        <w:rPr>
          <w:rFonts w:ascii="宋体" w:cs="Times New Roman"/>
          <w:color w:val="auto"/>
          <w:sz w:val="24"/>
          <w:szCs w:val="24"/>
          <w:highlight w:val="none"/>
        </w:rPr>
      </w:pPr>
    </w:p>
    <w:p w14:paraId="28157ABE">
      <w:pPr>
        <w:snapToGrid w:val="0"/>
        <w:spacing w:before="50" w:after="156" w:afterLines="50"/>
        <w:jc w:val="left"/>
        <w:rPr>
          <w:rFonts w:ascii="宋体" w:cs="Times New Roman"/>
          <w:color w:val="auto"/>
          <w:sz w:val="24"/>
          <w:szCs w:val="24"/>
          <w:highlight w:val="none"/>
        </w:rPr>
      </w:pPr>
    </w:p>
    <w:p w14:paraId="0C5F91BE">
      <w:pPr>
        <w:snapToGrid w:val="0"/>
        <w:spacing w:before="50" w:after="156" w:afterLines="50"/>
        <w:jc w:val="left"/>
        <w:rPr>
          <w:rFonts w:ascii="宋体" w:cs="Times New Roman"/>
          <w:color w:val="auto"/>
          <w:sz w:val="24"/>
          <w:szCs w:val="24"/>
          <w:highlight w:val="none"/>
        </w:rPr>
      </w:pPr>
    </w:p>
    <w:p w14:paraId="7AA68329">
      <w:pPr>
        <w:snapToGrid w:val="0"/>
        <w:spacing w:before="50" w:after="156" w:afterLines="50"/>
        <w:jc w:val="left"/>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项目实施人员一览表格式：</w:t>
      </w:r>
    </w:p>
    <w:p w14:paraId="38DD2FEC">
      <w:pPr>
        <w:snapToGrid w:val="0"/>
        <w:spacing w:before="156" w:beforeLines="50" w:after="50"/>
        <w:jc w:val="center"/>
        <w:rPr>
          <w:rFonts w:ascii="宋体" w:cs="Times New Roman"/>
          <w:b/>
          <w:bCs/>
          <w:color w:val="auto"/>
          <w:sz w:val="24"/>
          <w:szCs w:val="24"/>
          <w:highlight w:val="none"/>
        </w:rPr>
      </w:pPr>
      <w:r>
        <w:rPr>
          <w:rFonts w:hint="eastAsia" w:ascii="宋体" w:hAnsi="宋体" w:cs="宋体"/>
          <w:b/>
          <w:bCs/>
          <w:color w:val="auto"/>
          <w:sz w:val="24"/>
          <w:szCs w:val="24"/>
          <w:highlight w:val="none"/>
        </w:rPr>
        <w:t>项目实施人员（主要从业人员及其技术资格）一览表</w:t>
      </w:r>
    </w:p>
    <w:p w14:paraId="303DA49D">
      <w:pPr>
        <w:snapToGrid w:val="0"/>
        <w:spacing w:before="156" w:beforeLines="50" w:after="50"/>
        <w:rPr>
          <w:rFonts w:ascii="宋体" w:cs="Times New Roman"/>
          <w:color w:val="auto"/>
          <w:sz w:val="24"/>
          <w:szCs w:val="24"/>
          <w:highlight w:val="none"/>
        </w:rPr>
      </w:pPr>
      <w:r>
        <w:rPr>
          <w:rFonts w:hint="eastAsia" w:ascii="宋体" w:hAnsi="宋体" w:cs="宋体"/>
          <w:color w:val="auto"/>
          <w:highlight w:val="none"/>
        </w:rPr>
        <w:t>项目名称：</w:t>
      </w:r>
    </w:p>
    <w:tbl>
      <w:tblPr>
        <w:tblStyle w:val="6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50"/>
        <w:gridCol w:w="1050"/>
        <w:gridCol w:w="2500"/>
        <w:gridCol w:w="1775"/>
        <w:gridCol w:w="3587"/>
      </w:tblGrid>
      <w:tr w14:paraId="7AFE3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vAlign w:val="bottom"/>
          </w:tcPr>
          <w:p w14:paraId="639F77B3">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姓名</w:t>
            </w:r>
          </w:p>
        </w:tc>
        <w:tc>
          <w:tcPr>
            <w:tcW w:w="527" w:type="pct"/>
            <w:tcBorders>
              <w:top w:val="single" w:color="auto" w:sz="4" w:space="0"/>
              <w:left w:val="single" w:color="auto" w:sz="4" w:space="0"/>
              <w:bottom w:val="single" w:color="auto" w:sz="4" w:space="0"/>
              <w:right w:val="single" w:color="auto" w:sz="4" w:space="0"/>
            </w:tcBorders>
            <w:vAlign w:val="bottom"/>
          </w:tcPr>
          <w:p w14:paraId="012A6DFD">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职务</w:t>
            </w:r>
          </w:p>
        </w:tc>
        <w:tc>
          <w:tcPr>
            <w:tcW w:w="1255" w:type="pct"/>
            <w:tcBorders>
              <w:top w:val="single" w:color="auto" w:sz="4" w:space="0"/>
              <w:left w:val="single" w:color="auto" w:sz="4" w:space="0"/>
              <w:bottom w:val="single" w:color="auto" w:sz="4" w:space="0"/>
              <w:right w:val="single" w:color="auto" w:sz="4" w:space="0"/>
            </w:tcBorders>
            <w:vAlign w:val="bottom"/>
          </w:tcPr>
          <w:p w14:paraId="24B49C74">
            <w:pPr>
              <w:snapToGrid w:val="0"/>
              <w:spacing w:before="156" w:beforeLines="50" w:after="50"/>
              <w:jc w:val="center"/>
              <w:rPr>
                <w:rFonts w:ascii="宋体" w:cs="宋体"/>
                <w:color w:val="auto"/>
                <w:sz w:val="24"/>
                <w:szCs w:val="24"/>
                <w:highlight w:val="none"/>
              </w:rPr>
            </w:pPr>
            <w:r>
              <w:rPr>
                <w:rFonts w:hint="eastAsia" w:ascii="宋体" w:hAnsi="宋体" w:cs="宋体"/>
                <w:color w:val="auto"/>
                <w:sz w:val="24"/>
                <w:szCs w:val="24"/>
                <w:highlight w:val="none"/>
              </w:rPr>
              <w:t>专业技术资格</w:t>
            </w:r>
          </w:p>
        </w:tc>
        <w:tc>
          <w:tcPr>
            <w:tcW w:w="891" w:type="pct"/>
            <w:tcBorders>
              <w:top w:val="single" w:color="auto" w:sz="4" w:space="0"/>
              <w:left w:val="single" w:color="auto" w:sz="4" w:space="0"/>
              <w:bottom w:val="single" w:color="auto" w:sz="4" w:space="0"/>
              <w:right w:val="single" w:color="auto" w:sz="4" w:space="0"/>
            </w:tcBorders>
            <w:vAlign w:val="bottom"/>
          </w:tcPr>
          <w:p w14:paraId="543AB9AD">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证书编号</w:t>
            </w:r>
          </w:p>
        </w:tc>
        <w:tc>
          <w:tcPr>
            <w:tcW w:w="1800" w:type="pct"/>
            <w:tcBorders>
              <w:top w:val="single" w:color="auto" w:sz="4" w:space="0"/>
              <w:left w:val="single" w:color="auto" w:sz="4" w:space="0"/>
              <w:bottom w:val="single" w:color="auto" w:sz="4" w:space="0"/>
              <w:right w:val="single" w:color="auto" w:sz="4" w:space="0"/>
            </w:tcBorders>
            <w:vAlign w:val="bottom"/>
          </w:tcPr>
          <w:p w14:paraId="37D8D2D4">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参加本单位工作时间</w:t>
            </w:r>
          </w:p>
        </w:tc>
      </w:tr>
      <w:tr w14:paraId="62A23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1761CB64">
            <w:pPr>
              <w:snapToGrid w:val="0"/>
              <w:spacing w:before="156" w:beforeLines="50" w:after="50"/>
              <w:rPr>
                <w:rFonts w:ascii="宋体" w:cs="宋体"/>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tcPr>
          <w:p w14:paraId="672DEAE7">
            <w:pPr>
              <w:snapToGrid w:val="0"/>
              <w:spacing w:before="156" w:beforeLines="50" w:after="50"/>
              <w:rPr>
                <w:rFonts w:ascii="宋体" w:cs="宋体"/>
                <w:color w:val="auto"/>
                <w:sz w:val="24"/>
                <w:szCs w:val="24"/>
                <w:highlight w:val="none"/>
              </w:rPr>
            </w:pPr>
          </w:p>
        </w:tc>
        <w:tc>
          <w:tcPr>
            <w:tcW w:w="1255" w:type="pct"/>
            <w:tcBorders>
              <w:top w:val="single" w:color="auto" w:sz="4" w:space="0"/>
              <w:left w:val="single" w:color="auto" w:sz="4" w:space="0"/>
              <w:bottom w:val="single" w:color="auto" w:sz="4" w:space="0"/>
              <w:right w:val="single" w:color="auto" w:sz="4" w:space="0"/>
            </w:tcBorders>
          </w:tcPr>
          <w:p w14:paraId="546D41EF">
            <w:pPr>
              <w:snapToGrid w:val="0"/>
              <w:spacing w:before="156" w:beforeLines="50" w:after="50"/>
              <w:rPr>
                <w:rFonts w:ascii="宋体" w:cs="宋体"/>
                <w:color w:val="auto"/>
                <w:sz w:val="24"/>
                <w:szCs w:val="24"/>
                <w:highlight w:val="none"/>
              </w:rPr>
            </w:pPr>
          </w:p>
        </w:tc>
        <w:tc>
          <w:tcPr>
            <w:tcW w:w="891" w:type="pct"/>
            <w:tcBorders>
              <w:top w:val="single" w:color="auto" w:sz="4" w:space="0"/>
              <w:left w:val="single" w:color="auto" w:sz="4" w:space="0"/>
              <w:bottom w:val="single" w:color="auto" w:sz="4" w:space="0"/>
              <w:right w:val="single" w:color="auto" w:sz="4" w:space="0"/>
            </w:tcBorders>
          </w:tcPr>
          <w:p w14:paraId="32D5B034">
            <w:pPr>
              <w:snapToGrid w:val="0"/>
              <w:spacing w:before="156" w:beforeLines="50" w:after="50"/>
              <w:rPr>
                <w:rFonts w:ascii="宋体" w:cs="宋体"/>
                <w:color w:val="auto"/>
                <w:sz w:val="24"/>
                <w:szCs w:val="24"/>
                <w:highlight w:val="none"/>
              </w:rPr>
            </w:pPr>
          </w:p>
        </w:tc>
        <w:tc>
          <w:tcPr>
            <w:tcW w:w="1800" w:type="pct"/>
            <w:tcBorders>
              <w:top w:val="single" w:color="auto" w:sz="4" w:space="0"/>
              <w:left w:val="single" w:color="auto" w:sz="4" w:space="0"/>
              <w:bottom w:val="single" w:color="auto" w:sz="4" w:space="0"/>
              <w:right w:val="single" w:color="auto" w:sz="4" w:space="0"/>
            </w:tcBorders>
          </w:tcPr>
          <w:p w14:paraId="6645C6BE">
            <w:pPr>
              <w:snapToGrid w:val="0"/>
              <w:spacing w:before="156" w:beforeLines="50" w:after="50"/>
              <w:rPr>
                <w:rFonts w:ascii="宋体" w:cs="宋体"/>
                <w:color w:val="auto"/>
                <w:sz w:val="24"/>
                <w:szCs w:val="24"/>
                <w:highlight w:val="none"/>
              </w:rPr>
            </w:pPr>
          </w:p>
        </w:tc>
      </w:tr>
      <w:tr w14:paraId="1ACF1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615DD3BB">
            <w:pPr>
              <w:snapToGrid w:val="0"/>
              <w:spacing w:before="156" w:beforeLines="50" w:after="50"/>
              <w:rPr>
                <w:rFonts w:ascii="宋体" w:cs="宋体"/>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tcPr>
          <w:p w14:paraId="321E9E51">
            <w:pPr>
              <w:snapToGrid w:val="0"/>
              <w:spacing w:before="156" w:beforeLines="50" w:after="50"/>
              <w:rPr>
                <w:rFonts w:ascii="宋体" w:cs="宋体"/>
                <w:color w:val="auto"/>
                <w:sz w:val="24"/>
                <w:szCs w:val="24"/>
                <w:highlight w:val="none"/>
              </w:rPr>
            </w:pPr>
          </w:p>
        </w:tc>
        <w:tc>
          <w:tcPr>
            <w:tcW w:w="1255" w:type="pct"/>
            <w:tcBorders>
              <w:top w:val="single" w:color="auto" w:sz="4" w:space="0"/>
              <w:left w:val="single" w:color="auto" w:sz="4" w:space="0"/>
              <w:bottom w:val="single" w:color="auto" w:sz="4" w:space="0"/>
              <w:right w:val="single" w:color="auto" w:sz="4" w:space="0"/>
            </w:tcBorders>
          </w:tcPr>
          <w:p w14:paraId="79A5ACA2">
            <w:pPr>
              <w:snapToGrid w:val="0"/>
              <w:spacing w:before="156" w:beforeLines="50" w:after="50"/>
              <w:rPr>
                <w:rFonts w:ascii="宋体" w:cs="宋体"/>
                <w:color w:val="auto"/>
                <w:sz w:val="24"/>
                <w:szCs w:val="24"/>
                <w:highlight w:val="none"/>
              </w:rPr>
            </w:pPr>
          </w:p>
        </w:tc>
        <w:tc>
          <w:tcPr>
            <w:tcW w:w="891" w:type="pct"/>
            <w:tcBorders>
              <w:top w:val="single" w:color="auto" w:sz="4" w:space="0"/>
              <w:left w:val="single" w:color="auto" w:sz="4" w:space="0"/>
              <w:bottom w:val="single" w:color="auto" w:sz="4" w:space="0"/>
              <w:right w:val="single" w:color="auto" w:sz="4" w:space="0"/>
            </w:tcBorders>
          </w:tcPr>
          <w:p w14:paraId="35867D93">
            <w:pPr>
              <w:snapToGrid w:val="0"/>
              <w:spacing w:before="156" w:beforeLines="50" w:after="50"/>
              <w:rPr>
                <w:rFonts w:ascii="宋体" w:cs="宋体"/>
                <w:color w:val="auto"/>
                <w:sz w:val="24"/>
                <w:szCs w:val="24"/>
                <w:highlight w:val="none"/>
              </w:rPr>
            </w:pPr>
          </w:p>
        </w:tc>
        <w:tc>
          <w:tcPr>
            <w:tcW w:w="1800" w:type="pct"/>
            <w:tcBorders>
              <w:top w:val="single" w:color="auto" w:sz="4" w:space="0"/>
              <w:left w:val="single" w:color="auto" w:sz="4" w:space="0"/>
              <w:bottom w:val="single" w:color="auto" w:sz="4" w:space="0"/>
              <w:right w:val="single" w:color="auto" w:sz="4" w:space="0"/>
            </w:tcBorders>
          </w:tcPr>
          <w:p w14:paraId="165FCDD4">
            <w:pPr>
              <w:snapToGrid w:val="0"/>
              <w:spacing w:before="156" w:beforeLines="50" w:after="50"/>
              <w:rPr>
                <w:rFonts w:ascii="宋体" w:cs="宋体"/>
                <w:color w:val="auto"/>
                <w:sz w:val="24"/>
                <w:szCs w:val="24"/>
                <w:highlight w:val="none"/>
              </w:rPr>
            </w:pPr>
          </w:p>
        </w:tc>
      </w:tr>
      <w:tr w14:paraId="07318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7BE1657B">
            <w:pPr>
              <w:snapToGrid w:val="0"/>
              <w:spacing w:before="156" w:beforeLines="50" w:after="50"/>
              <w:rPr>
                <w:rFonts w:ascii="宋体" w:cs="宋体"/>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tcPr>
          <w:p w14:paraId="142DE1DF">
            <w:pPr>
              <w:snapToGrid w:val="0"/>
              <w:spacing w:before="156" w:beforeLines="50" w:after="50"/>
              <w:rPr>
                <w:rFonts w:ascii="宋体" w:cs="宋体"/>
                <w:color w:val="auto"/>
                <w:sz w:val="24"/>
                <w:szCs w:val="24"/>
                <w:highlight w:val="none"/>
              </w:rPr>
            </w:pPr>
          </w:p>
        </w:tc>
        <w:tc>
          <w:tcPr>
            <w:tcW w:w="1255" w:type="pct"/>
            <w:tcBorders>
              <w:top w:val="single" w:color="auto" w:sz="4" w:space="0"/>
              <w:left w:val="single" w:color="auto" w:sz="4" w:space="0"/>
              <w:bottom w:val="single" w:color="auto" w:sz="4" w:space="0"/>
              <w:right w:val="single" w:color="auto" w:sz="4" w:space="0"/>
            </w:tcBorders>
          </w:tcPr>
          <w:p w14:paraId="6E8D494C">
            <w:pPr>
              <w:pStyle w:val="39"/>
              <w:snapToGrid w:val="0"/>
              <w:spacing w:before="156" w:beforeLines="50" w:after="50"/>
              <w:ind w:left="5250"/>
              <w:rPr>
                <w:rFonts w:ascii="宋体" w:cs="Times New Roman"/>
                <w:color w:val="auto"/>
                <w:sz w:val="24"/>
                <w:szCs w:val="24"/>
                <w:highlight w:val="none"/>
              </w:rPr>
            </w:pPr>
          </w:p>
        </w:tc>
        <w:tc>
          <w:tcPr>
            <w:tcW w:w="891" w:type="pct"/>
            <w:tcBorders>
              <w:top w:val="single" w:color="auto" w:sz="4" w:space="0"/>
              <w:left w:val="single" w:color="auto" w:sz="4" w:space="0"/>
              <w:bottom w:val="single" w:color="auto" w:sz="4" w:space="0"/>
              <w:right w:val="single" w:color="auto" w:sz="4" w:space="0"/>
            </w:tcBorders>
          </w:tcPr>
          <w:p w14:paraId="7DE9ECE9">
            <w:pPr>
              <w:snapToGrid w:val="0"/>
              <w:spacing w:before="156" w:beforeLines="50" w:after="50"/>
              <w:rPr>
                <w:rFonts w:ascii="宋体" w:cs="宋体"/>
                <w:color w:val="auto"/>
                <w:sz w:val="24"/>
                <w:szCs w:val="24"/>
                <w:highlight w:val="none"/>
              </w:rPr>
            </w:pPr>
          </w:p>
        </w:tc>
        <w:tc>
          <w:tcPr>
            <w:tcW w:w="1800" w:type="pct"/>
            <w:tcBorders>
              <w:top w:val="single" w:color="auto" w:sz="4" w:space="0"/>
              <w:left w:val="single" w:color="auto" w:sz="4" w:space="0"/>
              <w:bottom w:val="single" w:color="auto" w:sz="4" w:space="0"/>
              <w:right w:val="single" w:color="auto" w:sz="4" w:space="0"/>
            </w:tcBorders>
          </w:tcPr>
          <w:p w14:paraId="7E98BFC1">
            <w:pPr>
              <w:snapToGrid w:val="0"/>
              <w:spacing w:before="156" w:beforeLines="50" w:after="50"/>
              <w:rPr>
                <w:rFonts w:ascii="宋体" w:cs="宋体"/>
                <w:color w:val="auto"/>
                <w:sz w:val="24"/>
                <w:szCs w:val="24"/>
                <w:highlight w:val="none"/>
              </w:rPr>
            </w:pPr>
          </w:p>
        </w:tc>
      </w:tr>
      <w:tr w14:paraId="279CB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07066848">
            <w:pPr>
              <w:snapToGrid w:val="0"/>
              <w:spacing w:before="156" w:beforeLines="50" w:after="50"/>
              <w:rPr>
                <w:rFonts w:ascii="宋体" w:cs="宋体"/>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tcPr>
          <w:p w14:paraId="6242DC9D">
            <w:pPr>
              <w:snapToGrid w:val="0"/>
              <w:spacing w:before="156" w:beforeLines="50" w:after="50"/>
              <w:rPr>
                <w:rFonts w:ascii="宋体" w:cs="宋体"/>
                <w:color w:val="auto"/>
                <w:sz w:val="24"/>
                <w:szCs w:val="24"/>
                <w:highlight w:val="none"/>
              </w:rPr>
            </w:pPr>
          </w:p>
        </w:tc>
        <w:tc>
          <w:tcPr>
            <w:tcW w:w="1255" w:type="pct"/>
            <w:tcBorders>
              <w:top w:val="single" w:color="auto" w:sz="4" w:space="0"/>
              <w:left w:val="single" w:color="auto" w:sz="4" w:space="0"/>
              <w:bottom w:val="single" w:color="auto" w:sz="4" w:space="0"/>
              <w:right w:val="single" w:color="auto" w:sz="4" w:space="0"/>
            </w:tcBorders>
          </w:tcPr>
          <w:p w14:paraId="0198A7CF">
            <w:pPr>
              <w:snapToGrid w:val="0"/>
              <w:spacing w:before="156" w:beforeLines="50" w:after="50"/>
              <w:rPr>
                <w:rFonts w:ascii="宋体" w:cs="宋体"/>
                <w:color w:val="auto"/>
                <w:sz w:val="24"/>
                <w:szCs w:val="24"/>
                <w:highlight w:val="none"/>
              </w:rPr>
            </w:pPr>
          </w:p>
        </w:tc>
        <w:tc>
          <w:tcPr>
            <w:tcW w:w="891" w:type="pct"/>
            <w:tcBorders>
              <w:top w:val="single" w:color="auto" w:sz="4" w:space="0"/>
              <w:left w:val="single" w:color="auto" w:sz="4" w:space="0"/>
              <w:bottom w:val="single" w:color="auto" w:sz="4" w:space="0"/>
              <w:right w:val="single" w:color="auto" w:sz="4" w:space="0"/>
            </w:tcBorders>
          </w:tcPr>
          <w:p w14:paraId="13E60CEF">
            <w:pPr>
              <w:snapToGrid w:val="0"/>
              <w:spacing w:before="156" w:beforeLines="50" w:after="50"/>
              <w:rPr>
                <w:rFonts w:ascii="宋体" w:cs="宋体"/>
                <w:color w:val="auto"/>
                <w:sz w:val="24"/>
                <w:szCs w:val="24"/>
                <w:highlight w:val="none"/>
              </w:rPr>
            </w:pPr>
          </w:p>
        </w:tc>
        <w:tc>
          <w:tcPr>
            <w:tcW w:w="1800" w:type="pct"/>
            <w:tcBorders>
              <w:top w:val="single" w:color="auto" w:sz="4" w:space="0"/>
              <w:left w:val="single" w:color="auto" w:sz="4" w:space="0"/>
              <w:bottom w:val="single" w:color="auto" w:sz="4" w:space="0"/>
              <w:right w:val="single" w:color="auto" w:sz="4" w:space="0"/>
            </w:tcBorders>
          </w:tcPr>
          <w:p w14:paraId="522785B3">
            <w:pPr>
              <w:snapToGrid w:val="0"/>
              <w:spacing w:before="156" w:beforeLines="50" w:after="50"/>
              <w:rPr>
                <w:rFonts w:ascii="宋体" w:cs="宋体"/>
                <w:color w:val="auto"/>
                <w:sz w:val="24"/>
                <w:szCs w:val="24"/>
                <w:highlight w:val="none"/>
              </w:rPr>
            </w:pPr>
          </w:p>
        </w:tc>
      </w:tr>
      <w:tr w14:paraId="6159E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6783BB7D">
            <w:pPr>
              <w:snapToGrid w:val="0"/>
              <w:spacing w:before="156" w:beforeLines="50" w:after="50"/>
              <w:rPr>
                <w:rFonts w:ascii="宋体" w:cs="宋体"/>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tcPr>
          <w:p w14:paraId="44069393">
            <w:pPr>
              <w:snapToGrid w:val="0"/>
              <w:spacing w:before="156" w:beforeLines="50" w:after="50"/>
              <w:rPr>
                <w:rFonts w:ascii="宋体" w:cs="宋体"/>
                <w:color w:val="auto"/>
                <w:sz w:val="24"/>
                <w:szCs w:val="24"/>
                <w:highlight w:val="none"/>
              </w:rPr>
            </w:pPr>
          </w:p>
        </w:tc>
        <w:tc>
          <w:tcPr>
            <w:tcW w:w="1255" w:type="pct"/>
            <w:tcBorders>
              <w:top w:val="single" w:color="auto" w:sz="4" w:space="0"/>
              <w:left w:val="single" w:color="auto" w:sz="4" w:space="0"/>
              <w:bottom w:val="single" w:color="auto" w:sz="4" w:space="0"/>
              <w:right w:val="single" w:color="auto" w:sz="4" w:space="0"/>
            </w:tcBorders>
          </w:tcPr>
          <w:p w14:paraId="44D37E04">
            <w:pPr>
              <w:snapToGrid w:val="0"/>
              <w:spacing w:before="156" w:beforeLines="50" w:after="50"/>
              <w:rPr>
                <w:rFonts w:ascii="宋体" w:cs="宋体"/>
                <w:color w:val="auto"/>
                <w:sz w:val="24"/>
                <w:szCs w:val="24"/>
                <w:highlight w:val="none"/>
              </w:rPr>
            </w:pPr>
          </w:p>
        </w:tc>
        <w:tc>
          <w:tcPr>
            <w:tcW w:w="891" w:type="pct"/>
            <w:tcBorders>
              <w:top w:val="single" w:color="auto" w:sz="4" w:space="0"/>
              <w:left w:val="single" w:color="auto" w:sz="4" w:space="0"/>
              <w:bottom w:val="single" w:color="auto" w:sz="4" w:space="0"/>
              <w:right w:val="single" w:color="auto" w:sz="4" w:space="0"/>
            </w:tcBorders>
          </w:tcPr>
          <w:p w14:paraId="176D689F">
            <w:pPr>
              <w:snapToGrid w:val="0"/>
              <w:spacing w:before="156" w:beforeLines="50" w:after="50"/>
              <w:rPr>
                <w:rFonts w:ascii="宋体" w:cs="宋体"/>
                <w:color w:val="auto"/>
                <w:sz w:val="24"/>
                <w:szCs w:val="24"/>
                <w:highlight w:val="none"/>
              </w:rPr>
            </w:pPr>
          </w:p>
        </w:tc>
        <w:tc>
          <w:tcPr>
            <w:tcW w:w="1800" w:type="pct"/>
            <w:tcBorders>
              <w:top w:val="single" w:color="auto" w:sz="4" w:space="0"/>
              <w:left w:val="single" w:color="auto" w:sz="4" w:space="0"/>
              <w:bottom w:val="single" w:color="auto" w:sz="4" w:space="0"/>
              <w:right w:val="single" w:color="auto" w:sz="4" w:space="0"/>
            </w:tcBorders>
          </w:tcPr>
          <w:p w14:paraId="321D6B3B">
            <w:pPr>
              <w:snapToGrid w:val="0"/>
              <w:spacing w:before="156" w:beforeLines="50" w:after="50"/>
              <w:rPr>
                <w:rFonts w:ascii="宋体" w:cs="宋体"/>
                <w:color w:val="auto"/>
                <w:sz w:val="24"/>
                <w:szCs w:val="24"/>
                <w:highlight w:val="none"/>
              </w:rPr>
            </w:pPr>
          </w:p>
        </w:tc>
      </w:tr>
      <w:tr w14:paraId="4193B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182A7570">
            <w:pPr>
              <w:snapToGrid w:val="0"/>
              <w:spacing w:before="156" w:beforeLines="50" w:after="50"/>
              <w:rPr>
                <w:rFonts w:ascii="宋体" w:cs="宋体"/>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tcPr>
          <w:p w14:paraId="5B6689DA">
            <w:pPr>
              <w:snapToGrid w:val="0"/>
              <w:spacing w:before="156" w:beforeLines="50" w:after="50"/>
              <w:rPr>
                <w:rFonts w:ascii="宋体" w:cs="宋体"/>
                <w:color w:val="auto"/>
                <w:sz w:val="24"/>
                <w:szCs w:val="24"/>
                <w:highlight w:val="none"/>
              </w:rPr>
            </w:pPr>
          </w:p>
        </w:tc>
        <w:tc>
          <w:tcPr>
            <w:tcW w:w="1255" w:type="pct"/>
            <w:tcBorders>
              <w:top w:val="single" w:color="auto" w:sz="4" w:space="0"/>
              <w:left w:val="single" w:color="auto" w:sz="4" w:space="0"/>
              <w:bottom w:val="single" w:color="auto" w:sz="4" w:space="0"/>
              <w:right w:val="single" w:color="auto" w:sz="4" w:space="0"/>
            </w:tcBorders>
          </w:tcPr>
          <w:p w14:paraId="6EF1D2A4">
            <w:pPr>
              <w:snapToGrid w:val="0"/>
              <w:spacing w:before="156" w:beforeLines="50" w:after="50"/>
              <w:rPr>
                <w:rFonts w:ascii="宋体" w:cs="宋体"/>
                <w:color w:val="auto"/>
                <w:sz w:val="24"/>
                <w:szCs w:val="24"/>
                <w:highlight w:val="none"/>
              </w:rPr>
            </w:pPr>
          </w:p>
        </w:tc>
        <w:tc>
          <w:tcPr>
            <w:tcW w:w="891" w:type="pct"/>
            <w:tcBorders>
              <w:top w:val="single" w:color="auto" w:sz="4" w:space="0"/>
              <w:left w:val="single" w:color="auto" w:sz="4" w:space="0"/>
              <w:bottom w:val="single" w:color="auto" w:sz="4" w:space="0"/>
              <w:right w:val="single" w:color="auto" w:sz="4" w:space="0"/>
            </w:tcBorders>
          </w:tcPr>
          <w:p w14:paraId="0E20B973">
            <w:pPr>
              <w:snapToGrid w:val="0"/>
              <w:spacing w:before="156" w:beforeLines="50" w:after="50"/>
              <w:rPr>
                <w:rFonts w:ascii="宋体" w:cs="宋体"/>
                <w:color w:val="auto"/>
                <w:sz w:val="24"/>
                <w:szCs w:val="24"/>
                <w:highlight w:val="none"/>
              </w:rPr>
            </w:pPr>
          </w:p>
        </w:tc>
        <w:tc>
          <w:tcPr>
            <w:tcW w:w="1800" w:type="pct"/>
            <w:tcBorders>
              <w:top w:val="single" w:color="auto" w:sz="4" w:space="0"/>
              <w:left w:val="single" w:color="auto" w:sz="4" w:space="0"/>
              <w:bottom w:val="single" w:color="auto" w:sz="4" w:space="0"/>
              <w:right w:val="single" w:color="auto" w:sz="4" w:space="0"/>
            </w:tcBorders>
          </w:tcPr>
          <w:p w14:paraId="3B945AD4">
            <w:pPr>
              <w:snapToGrid w:val="0"/>
              <w:spacing w:before="156" w:beforeLines="50" w:after="50"/>
              <w:rPr>
                <w:rFonts w:ascii="宋体" w:cs="宋体"/>
                <w:color w:val="auto"/>
                <w:sz w:val="24"/>
                <w:szCs w:val="24"/>
                <w:highlight w:val="none"/>
              </w:rPr>
            </w:pPr>
          </w:p>
        </w:tc>
      </w:tr>
      <w:tr w14:paraId="610D0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64A48AA6">
            <w:pPr>
              <w:snapToGrid w:val="0"/>
              <w:spacing w:before="156" w:beforeLines="50" w:after="50"/>
              <w:rPr>
                <w:rFonts w:ascii="宋体" w:cs="宋体"/>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tcPr>
          <w:p w14:paraId="59673B13">
            <w:pPr>
              <w:snapToGrid w:val="0"/>
              <w:spacing w:before="156" w:beforeLines="50" w:after="50"/>
              <w:rPr>
                <w:rFonts w:ascii="宋体" w:cs="宋体"/>
                <w:color w:val="auto"/>
                <w:sz w:val="24"/>
                <w:szCs w:val="24"/>
                <w:highlight w:val="none"/>
              </w:rPr>
            </w:pPr>
          </w:p>
        </w:tc>
        <w:tc>
          <w:tcPr>
            <w:tcW w:w="1255" w:type="pct"/>
            <w:tcBorders>
              <w:top w:val="single" w:color="auto" w:sz="4" w:space="0"/>
              <w:left w:val="single" w:color="auto" w:sz="4" w:space="0"/>
              <w:bottom w:val="single" w:color="auto" w:sz="4" w:space="0"/>
              <w:right w:val="single" w:color="auto" w:sz="4" w:space="0"/>
            </w:tcBorders>
          </w:tcPr>
          <w:p w14:paraId="281DC663">
            <w:pPr>
              <w:snapToGrid w:val="0"/>
              <w:spacing w:before="156" w:beforeLines="50" w:after="50"/>
              <w:rPr>
                <w:rFonts w:ascii="宋体" w:cs="宋体"/>
                <w:color w:val="auto"/>
                <w:sz w:val="24"/>
                <w:szCs w:val="24"/>
                <w:highlight w:val="none"/>
              </w:rPr>
            </w:pPr>
          </w:p>
        </w:tc>
        <w:tc>
          <w:tcPr>
            <w:tcW w:w="891" w:type="pct"/>
            <w:tcBorders>
              <w:top w:val="single" w:color="auto" w:sz="4" w:space="0"/>
              <w:left w:val="single" w:color="auto" w:sz="4" w:space="0"/>
              <w:bottom w:val="single" w:color="auto" w:sz="4" w:space="0"/>
              <w:right w:val="single" w:color="auto" w:sz="4" w:space="0"/>
            </w:tcBorders>
          </w:tcPr>
          <w:p w14:paraId="05813D4E">
            <w:pPr>
              <w:snapToGrid w:val="0"/>
              <w:spacing w:before="156" w:beforeLines="50" w:after="50"/>
              <w:rPr>
                <w:rFonts w:ascii="宋体" w:cs="宋体"/>
                <w:color w:val="auto"/>
                <w:sz w:val="24"/>
                <w:szCs w:val="24"/>
                <w:highlight w:val="none"/>
              </w:rPr>
            </w:pPr>
          </w:p>
        </w:tc>
        <w:tc>
          <w:tcPr>
            <w:tcW w:w="1800" w:type="pct"/>
            <w:tcBorders>
              <w:top w:val="single" w:color="auto" w:sz="4" w:space="0"/>
              <w:left w:val="single" w:color="auto" w:sz="4" w:space="0"/>
              <w:bottom w:val="single" w:color="auto" w:sz="4" w:space="0"/>
              <w:right w:val="single" w:color="auto" w:sz="4" w:space="0"/>
            </w:tcBorders>
          </w:tcPr>
          <w:p w14:paraId="3CA610C5">
            <w:pPr>
              <w:snapToGrid w:val="0"/>
              <w:spacing w:before="156" w:beforeLines="50" w:after="50"/>
              <w:rPr>
                <w:rFonts w:ascii="宋体" w:cs="宋体"/>
                <w:color w:val="auto"/>
                <w:sz w:val="24"/>
                <w:szCs w:val="24"/>
                <w:highlight w:val="none"/>
              </w:rPr>
            </w:pPr>
          </w:p>
        </w:tc>
      </w:tr>
      <w:tr w14:paraId="1ED05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59968E73">
            <w:pPr>
              <w:snapToGrid w:val="0"/>
              <w:spacing w:before="156" w:beforeLines="50" w:after="50"/>
              <w:rPr>
                <w:rFonts w:ascii="宋体" w:cs="宋体"/>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tcPr>
          <w:p w14:paraId="65558325">
            <w:pPr>
              <w:snapToGrid w:val="0"/>
              <w:spacing w:before="156" w:beforeLines="50" w:after="50"/>
              <w:rPr>
                <w:rFonts w:ascii="宋体" w:cs="宋体"/>
                <w:color w:val="auto"/>
                <w:sz w:val="24"/>
                <w:szCs w:val="24"/>
                <w:highlight w:val="none"/>
              </w:rPr>
            </w:pPr>
          </w:p>
        </w:tc>
        <w:tc>
          <w:tcPr>
            <w:tcW w:w="1255" w:type="pct"/>
            <w:tcBorders>
              <w:top w:val="single" w:color="auto" w:sz="4" w:space="0"/>
              <w:left w:val="single" w:color="auto" w:sz="4" w:space="0"/>
              <w:bottom w:val="single" w:color="auto" w:sz="4" w:space="0"/>
              <w:right w:val="single" w:color="auto" w:sz="4" w:space="0"/>
            </w:tcBorders>
          </w:tcPr>
          <w:p w14:paraId="077889A8">
            <w:pPr>
              <w:snapToGrid w:val="0"/>
              <w:spacing w:before="156" w:beforeLines="50" w:after="50"/>
              <w:rPr>
                <w:rFonts w:ascii="宋体" w:cs="宋体"/>
                <w:color w:val="auto"/>
                <w:sz w:val="24"/>
                <w:szCs w:val="24"/>
                <w:highlight w:val="none"/>
              </w:rPr>
            </w:pPr>
          </w:p>
        </w:tc>
        <w:tc>
          <w:tcPr>
            <w:tcW w:w="891" w:type="pct"/>
            <w:tcBorders>
              <w:top w:val="single" w:color="auto" w:sz="4" w:space="0"/>
              <w:left w:val="single" w:color="auto" w:sz="4" w:space="0"/>
              <w:bottom w:val="single" w:color="auto" w:sz="4" w:space="0"/>
              <w:right w:val="single" w:color="auto" w:sz="4" w:space="0"/>
            </w:tcBorders>
          </w:tcPr>
          <w:p w14:paraId="04169028">
            <w:pPr>
              <w:snapToGrid w:val="0"/>
              <w:spacing w:before="156" w:beforeLines="50" w:after="50"/>
              <w:rPr>
                <w:rFonts w:ascii="宋体" w:cs="宋体"/>
                <w:color w:val="auto"/>
                <w:sz w:val="24"/>
                <w:szCs w:val="24"/>
                <w:highlight w:val="none"/>
              </w:rPr>
            </w:pPr>
          </w:p>
        </w:tc>
        <w:tc>
          <w:tcPr>
            <w:tcW w:w="1800" w:type="pct"/>
            <w:tcBorders>
              <w:top w:val="single" w:color="auto" w:sz="4" w:space="0"/>
              <w:left w:val="single" w:color="auto" w:sz="4" w:space="0"/>
              <w:bottom w:val="single" w:color="auto" w:sz="4" w:space="0"/>
              <w:right w:val="single" w:color="auto" w:sz="4" w:space="0"/>
            </w:tcBorders>
          </w:tcPr>
          <w:p w14:paraId="72D73455">
            <w:pPr>
              <w:snapToGrid w:val="0"/>
              <w:spacing w:before="156" w:beforeLines="50" w:after="50"/>
              <w:rPr>
                <w:rFonts w:ascii="宋体" w:cs="宋体"/>
                <w:color w:val="auto"/>
                <w:sz w:val="24"/>
                <w:szCs w:val="24"/>
                <w:highlight w:val="none"/>
              </w:rPr>
            </w:pPr>
          </w:p>
        </w:tc>
      </w:tr>
      <w:tr w14:paraId="412C4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12992353">
            <w:pPr>
              <w:snapToGrid w:val="0"/>
              <w:spacing w:before="156" w:beforeLines="50" w:after="50"/>
              <w:rPr>
                <w:rFonts w:ascii="宋体" w:cs="宋体"/>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tcPr>
          <w:p w14:paraId="46E510E8">
            <w:pPr>
              <w:snapToGrid w:val="0"/>
              <w:spacing w:before="156" w:beforeLines="50" w:after="50"/>
              <w:rPr>
                <w:rFonts w:ascii="宋体" w:cs="宋体"/>
                <w:color w:val="auto"/>
                <w:sz w:val="24"/>
                <w:szCs w:val="24"/>
                <w:highlight w:val="none"/>
              </w:rPr>
            </w:pPr>
          </w:p>
        </w:tc>
        <w:tc>
          <w:tcPr>
            <w:tcW w:w="1255" w:type="pct"/>
            <w:tcBorders>
              <w:top w:val="single" w:color="auto" w:sz="4" w:space="0"/>
              <w:left w:val="single" w:color="auto" w:sz="4" w:space="0"/>
              <w:bottom w:val="single" w:color="auto" w:sz="4" w:space="0"/>
              <w:right w:val="single" w:color="auto" w:sz="4" w:space="0"/>
            </w:tcBorders>
          </w:tcPr>
          <w:p w14:paraId="780E2CAF">
            <w:pPr>
              <w:snapToGrid w:val="0"/>
              <w:spacing w:before="156" w:beforeLines="50" w:after="50"/>
              <w:rPr>
                <w:rFonts w:ascii="宋体" w:cs="宋体"/>
                <w:color w:val="auto"/>
                <w:sz w:val="24"/>
                <w:szCs w:val="24"/>
                <w:highlight w:val="none"/>
              </w:rPr>
            </w:pPr>
          </w:p>
        </w:tc>
        <w:tc>
          <w:tcPr>
            <w:tcW w:w="891" w:type="pct"/>
            <w:tcBorders>
              <w:top w:val="single" w:color="auto" w:sz="4" w:space="0"/>
              <w:left w:val="single" w:color="auto" w:sz="4" w:space="0"/>
              <w:bottom w:val="single" w:color="auto" w:sz="4" w:space="0"/>
              <w:right w:val="single" w:color="auto" w:sz="4" w:space="0"/>
            </w:tcBorders>
          </w:tcPr>
          <w:p w14:paraId="10E9F77B">
            <w:pPr>
              <w:snapToGrid w:val="0"/>
              <w:spacing w:before="156" w:beforeLines="50" w:after="50"/>
              <w:rPr>
                <w:rFonts w:ascii="宋体" w:cs="宋体"/>
                <w:color w:val="auto"/>
                <w:sz w:val="24"/>
                <w:szCs w:val="24"/>
                <w:highlight w:val="none"/>
              </w:rPr>
            </w:pPr>
          </w:p>
        </w:tc>
        <w:tc>
          <w:tcPr>
            <w:tcW w:w="1800" w:type="pct"/>
            <w:tcBorders>
              <w:top w:val="single" w:color="auto" w:sz="4" w:space="0"/>
              <w:left w:val="single" w:color="auto" w:sz="4" w:space="0"/>
              <w:bottom w:val="single" w:color="auto" w:sz="4" w:space="0"/>
              <w:right w:val="single" w:color="auto" w:sz="4" w:space="0"/>
            </w:tcBorders>
          </w:tcPr>
          <w:p w14:paraId="100FC59E">
            <w:pPr>
              <w:snapToGrid w:val="0"/>
              <w:spacing w:before="156" w:beforeLines="50" w:after="50"/>
              <w:rPr>
                <w:rFonts w:ascii="宋体" w:cs="宋体"/>
                <w:color w:val="auto"/>
                <w:sz w:val="24"/>
                <w:szCs w:val="24"/>
                <w:highlight w:val="none"/>
              </w:rPr>
            </w:pPr>
          </w:p>
        </w:tc>
      </w:tr>
    </w:tbl>
    <w:p w14:paraId="17F068A1">
      <w:pPr>
        <w:snapToGrid w:val="0"/>
        <w:spacing w:before="50" w:after="156" w:afterLines="50"/>
        <w:jc w:val="left"/>
        <w:rPr>
          <w:rFonts w:ascii="宋体" w:cs="Times New Roman"/>
          <w:color w:val="auto"/>
          <w:sz w:val="24"/>
          <w:szCs w:val="24"/>
          <w:highlight w:val="none"/>
        </w:rPr>
      </w:pPr>
      <w:r>
        <w:rPr>
          <w:rFonts w:hint="eastAsia" w:ascii="宋体" w:hAnsi="宋体" w:cs="宋体"/>
          <w:color w:val="auto"/>
          <w:sz w:val="24"/>
          <w:szCs w:val="24"/>
          <w:highlight w:val="none"/>
        </w:rPr>
        <w:t>注：在填写时，如本表格不适合磋商单位的实际情况，可根据本表格式自行划表填写。</w:t>
      </w:r>
    </w:p>
    <w:p w14:paraId="7AA2CCED">
      <w:pPr>
        <w:snapToGrid w:val="0"/>
        <w:spacing w:before="50" w:after="50"/>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授权代表签名：</w:t>
      </w:r>
    </w:p>
    <w:p w14:paraId="5C38EAB9">
      <w:pPr>
        <w:snapToGrid w:val="0"/>
        <w:spacing w:before="50" w:after="156" w:afterLines="50"/>
        <w:jc w:val="left"/>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供应商盖章：日期：</w:t>
      </w:r>
    </w:p>
    <w:p w14:paraId="2A38A517">
      <w:pPr>
        <w:snapToGrid w:val="0"/>
        <w:spacing w:before="50" w:after="156" w:afterLines="50"/>
        <w:jc w:val="left"/>
        <w:rPr>
          <w:rFonts w:ascii="宋体" w:cs="Times New Roman"/>
          <w:color w:val="auto"/>
          <w:sz w:val="24"/>
          <w:szCs w:val="24"/>
          <w:highlight w:val="none"/>
        </w:rPr>
      </w:pPr>
    </w:p>
    <w:p w14:paraId="1E49ADD1">
      <w:pPr>
        <w:snapToGrid w:val="0"/>
        <w:spacing w:before="50" w:after="156" w:afterLines="50"/>
        <w:jc w:val="left"/>
        <w:rPr>
          <w:rFonts w:ascii="宋体" w:cs="Times New Roman"/>
          <w:color w:val="auto"/>
          <w:sz w:val="24"/>
          <w:szCs w:val="24"/>
          <w:highlight w:val="none"/>
        </w:rPr>
      </w:pPr>
    </w:p>
    <w:p w14:paraId="00FA4F24">
      <w:pPr>
        <w:snapToGrid w:val="0"/>
        <w:spacing w:before="50" w:after="156" w:afterLines="50" w:line="400" w:lineRule="exact"/>
        <w:jc w:val="left"/>
        <w:rPr>
          <w:rFonts w:ascii="宋体" w:cs="Times New Roman"/>
          <w:color w:val="auto"/>
          <w:highlight w:val="none"/>
        </w:rPr>
      </w:pPr>
    </w:p>
    <w:p w14:paraId="4CB92022">
      <w:pPr>
        <w:widowControl/>
        <w:spacing w:line="400" w:lineRule="exact"/>
        <w:rPr>
          <w:rFonts w:ascii="宋体" w:cs="Times New Roman"/>
          <w:color w:val="auto"/>
          <w:sz w:val="24"/>
          <w:szCs w:val="24"/>
          <w:highlight w:val="none"/>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14:paraId="0450BB7F">
      <w:pPr>
        <w:rPr>
          <w:rFonts w:ascii="宋体" w:cs="Times New Roman"/>
          <w:b/>
          <w:bCs/>
          <w:color w:val="auto"/>
          <w:sz w:val="24"/>
          <w:szCs w:val="24"/>
          <w:highlight w:val="none"/>
        </w:rPr>
      </w:pPr>
      <w:r>
        <w:rPr>
          <w:rFonts w:hint="eastAsia" w:ascii="宋体" w:hAnsi="宋体" w:cs="宋体"/>
          <w:b/>
          <w:bCs/>
          <w:color w:val="auto"/>
          <w:sz w:val="24"/>
          <w:szCs w:val="24"/>
          <w:highlight w:val="none"/>
        </w:rPr>
        <w:t>五、资信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商务文件：（参考第三章磋商须知“响应文件的组成”）</w:t>
      </w:r>
    </w:p>
    <w:p w14:paraId="36576870">
      <w:pPr>
        <w:widowControl/>
        <w:spacing w:line="400" w:lineRule="exact"/>
        <w:rPr>
          <w:rFonts w:ascii="宋体" w:cs="Times New Roman"/>
          <w:color w:val="auto"/>
          <w:sz w:val="24"/>
          <w:szCs w:val="24"/>
          <w:highlight w:val="none"/>
        </w:rPr>
      </w:pPr>
    </w:p>
    <w:p w14:paraId="70DAB39E">
      <w:pPr>
        <w:widowControl/>
        <w:spacing w:line="400" w:lineRule="exact"/>
        <w:rPr>
          <w:rFonts w:ascii="宋体" w:cs="Times New Roman"/>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企业业绩表格式：</w:t>
      </w:r>
    </w:p>
    <w:p w14:paraId="211F502C">
      <w:pPr>
        <w:snapToGrid w:val="0"/>
        <w:spacing w:before="50" w:after="156" w:afterLines="50" w:line="400" w:lineRule="exact"/>
        <w:jc w:val="left"/>
        <w:rPr>
          <w:rFonts w:ascii="宋体" w:cs="Times New Roman"/>
          <w:color w:val="auto"/>
          <w:sz w:val="24"/>
          <w:szCs w:val="24"/>
          <w:highlight w:val="none"/>
        </w:rPr>
      </w:pPr>
    </w:p>
    <w:tbl>
      <w:tblPr>
        <w:tblStyle w:val="63"/>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06EB9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bottom w:val="single" w:color="auto" w:sz="4" w:space="0"/>
              <w:right w:val="single" w:color="auto" w:sz="4" w:space="0"/>
            </w:tcBorders>
            <w:vAlign w:val="center"/>
          </w:tcPr>
          <w:p w14:paraId="3FCAF526">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52B45C1">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A69E09">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采购</w:t>
            </w:r>
          </w:p>
          <w:p w14:paraId="108BE05A">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7A58FCC">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6FD39C38">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合同</w:t>
            </w:r>
          </w:p>
          <w:p w14:paraId="57074F5B">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金额</w:t>
            </w:r>
          </w:p>
          <w:p w14:paraId="128D49D9">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7EE4EB5E">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附件页码</w:t>
            </w:r>
          </w:p>
        </w:tc>
        <w:tc>
          <w:tcPr>
            <w:tcW w:w="2160" w:type="dxa"/>
            <w:vMerge w:val="restart"/>
            <w:tcBorders>
              <w:top w:val="single" w:color="auto" w:sz="4" w:space="0"/>
              <w:left w:val="single" w:color="auto" w:sz="4" w:space="0"/>
              <w:bottom w:val="single" w:color="auto" w:sz="4" w:space="0"/>
            </w:tcBorders>
            <w:vAlign w:val="center"/>
          </w:tcPr>
          <w:p w14:paraId="2B298089">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采购单位联系人及</w:t>
            </w:r>
          </w:p>
          <w:p w14:paraId="0B22FAAE">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联系电话</w:t>
            </w:r>
          </w:p>
        </w:tc>
      </w:tr>
      <w:tr w14:paraId="0F805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bottom w:val="single" w:color="auto" w:sz="4" w:space="0"/>
              <w:right w:val="single" w:color="auto" w:sz="4" w:space="0"/>
            </w:tcBorders>
            <w:vAlign w:val="center"/>
          </w:tcPr>
          <w:p w14:paraId="0AD25469">
            <w:pPr>
              <w:widowControl/>
              <w:jc w:val="left"/>
              <w:rPr>
                <w:rFonts w:ascii="宋体" w:cs="宋体"/>
                <w:color w:val="auto"/>
                <w:sz w:val="18"/>
                <w:szCs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749730A">
            <w:pPr>
              <w:widowControl/>
              <w:jc w:val="left"/>
              <w:rPr>
                <w:rFonts w:ascii="宋体" w:cs="宋体"/>
                <w:color w:val="auto"/>
                <w:sz w:val="18"/>
                <w:szCs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96F5956">
            <w:pPr>
              <w:widowControl/>
              <w:jc w:val="left"/>
              <w:rPr>
                <w:rFonts w:ascii="宋体" w:cs="宋体"/>
                <w:color w:val="auto"/>
                <w:sz w:val="18"/>
                <w:szCs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F88EE7">
            <w:pPr>
              <w:widowControl/>
              <w:jc w:val="left"/>
              <w:rPr>
                <w:rFonts w:ascii="宋体" w:cs="宋体"/>
                <w:color w:val="auto"/>
                <w:sz w:val="18"/>
                <w:szCs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051E9E3">
            <w:pPr>
              <w:widowControl/>
              <w:jc w:val="left"/>
              <w:rPr>
                <w:rFonts w:ascii="宋体" w:cs="宋体"/>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2BF751A">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合同</w:t>
            </w:r>
          </w:p>
        </w:tc>
        <w:tc>
          <w:tcPr>
            <w:tcW w:w="2160" w:type="dxa"/>
            <w:vMerge w:val="continue"/>
            <w:tcBorders>
              <w:top w:val="single" w:color="auto" w:sz="4" w:space="0"/>
              <w:left w:val="single" w:color="auto" w:sz="4" w:space="0"/>
              <w:bottom w:val="single" w:color="auto" w:sz="4" w:space="0"/>
            </w:tcBorders>
            <w:vAlign w:val="center"/>
          </w:tcPr>
          <w:p w14:paraId="53ACDD2C">
            <w:pPr>
              <w:widowControl/>
              <w:jc w:val="left"/>
              <w:rPr>
                <w:rFonts w:ascii="宋体" w:cs="宋体"/>
                <w:color w:val="auto"/>
                <w:sz w:val="18"/>
                <w:szCs w:val="18"/>
                <w:highlight w:val="none"/>
              </w:rPr>
            </w:pPr>
          </w:p>
        </w:tc>
      </w:tr>
      <w:tr w14:paraId="025CA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14:paraId="526C4A40">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10F163A">
            <w:pPr>
              <w:snapToGrid w:val="0"/>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15910C71">
            <w:pPr>
              <w:snapToGrid w:val="0"/>
              <w:spacing w:line="240" w:lineRule="exact"/>
              <w:jc w:val="left"/>
              <w:rPr>
                <w:rFonts w:ascii="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tcPr>
          <w:p w14:paraId="48B4669D">
            <w:pPr>
              <w:snapToGrid w:val="0"/>
              <w:spacing w:line="240" w:lineRule="exact"/>
              <w:jc w:val="left"/>
              <w:rPr>
                <w:rFonts w:ascii="宋体" w:cs="宋体"/>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tcPr>
          <w:p w14:paraId="3EB561EF">
            <w:pPr>
              <w:snapToGrid w:val="0"/>
              <w:spacing w:line="240" w:lineRule="exact"/>
              <w:jc w:val="left"/>
              <w:rPr>
                <w:rFonts w:ascii="宋体" w:cs="宋体"/>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tcPr>
          <w:p w14:paraId="1EE18D42">
            <w:pPr>
              <w:snapToGrid w:val="0"/>
              <w:spacing w:line="240" w:lineRule="exact"/>
              <w:jc w:val="left"/>
              <w:rPr>
                <w:rFonts w:ascii="宋体" w:cs="宋体"/>
                <w:color w:val="auto"/>
                <w:sz w:val="18"/>
                <w:szCs w:val="18"/>
                <w:highlight w:val="none"/>
              </w:rPr>
            </w:pPr>
          </w:p>
        </w:tc>
        <w:tc>
          <w:tcPr>
            <w:tcW w:w="2160" w:type="dxa"/>
            <w:tcBorders>
              <w:top w:val="single" w:color="auto" w:sz="4" w:space="0"/>
              <w:left w:val="single" w:color="auto" w:sz="4" w:space="0"/>
              <w:bottom w:val="single" w:color="auto" w:sz="4" w:space="0"/>
            </w:tcBorders>
          </w:tcPr>
          <w:p w14:paraId="0F36EB15">
            <w:pPr>
              <w:snapToGrid w:val="0"/>
              <w:spacing w:line="240" w:lineRule="exact"/>
              <w:jc w:val="left"/>
              <w:rPr>
                <w:rFonts w:ascii="宋体" w:cs="宋体"/>
                <w:color w:val="auto"/>
                <w:sz w:val="18"/>
                <w:szCs w:val="18"/>
                <w:highlight w:val="none"/>
              </w:rPr>
            </w:pPr>
          </w:p>
        </w:tc>
      </w:tr>
      <w:tr w14:paraId="15215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16822578">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FC3AE5D">
            <w:pPr>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6B0F6B06">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7894E6E">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87F25A3">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030C89D">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4684B0E2">
            <w:pPr>
              <w:snapToGrid w:val="0"/>
              <w:spacing w:before="50" w:after="156" w:afterLines="50" w:line="400" w:lineRule="exact"/>
              <w:jc w:val="left"/>
              <w:rPr>
                <w:rFonts w:ascii="宋体" w:cs="宋体"/>
                <w:color w:val="auto"/>
                <w:sz w:val="24"/>
                <w:szCs w:val="24"/>
                <w:highlight w:val="none"/>
              </w:rPr>
            </w:pPr>
          </w:p>
        </w:tc>
      </w:tr>
      <w:tr w14:paraId="5BA9C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74764280">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3088002">
            <w:pPr>
              <w:snapToGrid w:val="0"/>
              <w:rPr>
                <w:rFonts w:ascii="宋体" w:cs="宋体"/>
                <w:b/>
                <w:bCs/>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59471249">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AB06573">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4B6E314">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BDC58DE">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76C4A26D">
            <w:pPr>
              <w:snapToGrid w:val="0"/>
              <w:spacing w:before="50" w:after="156" w:afterLines="50" w:line="400" w:lineRule="exact"/>
              <w:jc w:val="left"/>
              <w:rPr>
                <w:rFonts w:ascii="宋体" w:cs="宋体"/>
                <w:color w:val="auto"/>
                <w:sz w:val="24"/>
                <w:szCs w:val="24"/>
                <w:highlight w:val="none"/>
              </w:rPr>
            </w:pPr>
          </w:p>
        </w:tc>
      </w:tr>
      <w:tr w14:paraId="33E60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045AE7AB">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CA1B147">
            <w:pPr>
              <w:snapToGrid w:val="0"/>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109960B4">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5518B7F5">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519CA6F">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B2E517E">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7DEFECE2">
            <w:pPr>
              <w:snapToGrid w:val="0"/>
              <w:spacing w:before="50" w:after="156" w:afterLines="50" w:line="400" w:lineRule="exact"/>
              <w:jc w:val="left"/>
              <w:rPr>
                <w:rFonts w:ascii="宋体" w:cs="宋体"/>
                <w:color w:val="auto"/>
                <w:sz w:val="24"/>
                <w:szCs w:val="24"/>
                <w:highlight w:val="none"/>
              </w:rPr>
            </w:pPr>
          </w:p>
        </w:tc>
      </w:tr>
      <w:tr w14:paraId="5B1F7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2BC5F68E">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C8677DD">
            <w:pPr>
              <w:snapToGrid w:val="0"/>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28400EC4">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739A9AB2">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8F0A5F4">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74BE447">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573242F5">
            <w:pPr>
              <w:snapToGrid w:val="0"/>
              <w:spacing w:before="50" w:after="156" w:afterLines="50" w:line="400" w:lineRule="exact"/>
              <w:jc w:val="left"/>
              <w:rPr>
                <w:rFonts w:ascii="宋体" w:cs="宋体"/>
                <w:color w:val="auto"/>
                <w:sz w:val="24"/>
                <w:szCs w:val="24"/>
                <w:highlight w:val="none"/>
              </w:rPr>
            </w:pPr>
          </w:p>
        </w:tc>
      </w:tr>
    </w:tbl>
    <w:p w14:paraId="74145D2D">
      <w:pPr>
        <w:spacing w:line="480" w:lineRule="exact"/>
        <w:rPr>
          <w:rFonts w:ascii="宋体" w:cs="Times New Roman"/>
          <w:color w:val="auto"/>
          <w:sz w:val="24"/>
          <w:szCs w:val="24"/>
          <w:highlight w:val="none"/>
        </w:rPr>
      </w:pPr>
      <w:r>
        <w:rPr>
          <w:rFonts w:hint="eastAsia" w:ascii="宋体" w:hAnsi="宋体" w:cs="宋体"/>
          <w:color w:val="auto"/>
          <w:spacing w:val="14"/>
          <w:sz w:val="24"/>
          <w:szCs w:val="24"/>
          <w:highlight w:val="none"/>
        </w:rPr>
        <w:t>附：</w:t>
      </w:r>
      <w:r>
        <w:rPr>
          <w:rFonts w:hint="eastAsia" w:ascii="宋体" w:hAnsi="宋体" w:cs="宋体"/>
          <w:color w:val="auto"/>
          <w:sz w:val="24"/>
          <w:szCs w:val="24"/>
          <w:highlight w:val="none"/>
        </w:rPr>
        <w:t>合同或中标通知书（复印件）。</w:t>
      </w:r>
    </w:p>
    <w:p w14:paraId="159408D3">
      <w:pPr>
        <w:spacing w:line="480" w:lineRule="exact"/>
        <w:rPr>
          <w:rFonts w:ascii="宋体" w:cs="Times New Roman"/>
          <w:color w:val="auto"/>
          <w:spacing w:val="14"/>
          <w:sz w:val="24"/>
          <w:szCs w:val="24"/>
          <w:highlight w:val="none"/>
        </w:rPr>
      </w:pPr>
    </w:p>
    <w:p w14:paraId="113AD747">
      <w:pPr>
        <w:widowControl/>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供应商公章：年月日</w:t>
      </w:r>
    </w:p>
    <w:p w14:paraId="0ACD2D6F">
      <w:pPr>
        <w:widowControl/>
        <w:spacing w:line="400" w:lineRule="exact"/>
        <w:rPr>
          <w:rFonts w:ascii="宋体" w:cs="Times New Roman"/>
          <w:color w:val="auto"/>
          <w:sz w:val="24"/>
          <w:szCs w:val="24"/>
          <w:highlight w:val="none"/>
        </w:rPr>
        <w:sectPr>
          <w:pgSz w:w="16838" w:h="11906" w:orient="landscape"/>
          <w:pgMar w:top="1440" w:right="1440" w:bottom="1287" w:left="1440" w:header="851" w:footer="992" w:gutter="0"/>
          <w:cols w:space="720" w:num="1"/>
          <w:docGrid w:type="linesAndChars" w:linePitch="312" w:charSpace="0"/>
        </w:sectPr>
      </w:pPr>
    </w:p>
    <w:p w14:paraId="39F40601">
      <w:pPr>
        <w:snapToGrid w:val="0"/>
        <w:spacing w:before="50" w:after="156" w:afterLines="50" w:line="400" w:lineRule="exact"/>
        <w:jc w:val="left"/>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商务响应表格式：</w:t>
      </w:r>
    </w:p>
    <w:p w14:paraId="3228D111">
      <w:pPr>
        <w:snapToGrid w:val="0"/>
        <w:spacing w:before="50" w:line="400" w:lineRule="exact"/>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商务响应表格式</w:t>
      </w:r>
    </w:p>
    <w:p w14:paraId="34544303">
      <w:pPr>
        <w:snapToGrid w:val="0"/>
        <w:spacing w:before="50" w:line="400" w:lineRule="exact"/>
        <w:jc w:val="left"/>
        <w:rPr>
          <w:rFonts w:ascii="宋体" w:cs="Times New Roman"/>
          <w:color w:val="auto"/>
          <w:sz w:val="24"/>
          <w:szCs w:val="24"/>
          <w:highlight w:val="none"/>
          <w:u w:val="single"/>
        </w:rPr>
      </w:pPr>
      <w:r>
        <w:rPr>
          <w:rFonts w:hint="eastAsia" w:ascii="宋体" w:hAnsi="宋体" w:cs="宋体"/>
          <w:color w:val="auto"/>
          <w:sz w:val="24"/>
          <w:szCs w:val="24"/>
          <w:highlight w:val="none"/>
        </w:rPr>
        <w:t>项目名称：</w:t>
      </w:r>
    </w:p>
    <w:tbl>
      <w:tblPr>
        <w:tblStyle w:val="63"/>
        <w:tblW w:w="95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8"/>
        <w:gridCol w:w="4355"/>
        <w:gridCol w:w="2877"/>
      </w:tblGrid>
      <w:tr w14:paraId="19EEA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08" w:type="dxa"/>
            <w:tcBorders>
              <w:top w:val="single" w:color="auto" w:sz="4" w:space="0"/>
              <w:bottom w:val="single" w:color="auto" w:sz="4" w:space="0"/>
              <w:right w:val="single" w:color="auto" w:sz="4" w:space="0"/>
            </w:tcBorders>
            <w:vAlign w:val="center"/>
          </w:tcPr>
          <w:p w14:paraId="241F67DF">
            <w:pPr>
              <w:snapToGrid w:val="0"/>
              <w:spacing w:before="156" w:beforeLines="50" w:line="320" w:lineRule="exact"/>
              <w:rPr>
                <w:rFonts w:ascii="宋体" w:cs="宋体"/>
                <w:color w:val="auto"/>
                <w:sz w:val="24"/>
                <w:szCs w:val="24"/>
                <w:highlight w:val="none"/>
              </w:rPr>
            </w:pPr>
            <w:r>
              <w:rPr>
                <w:rFonts w:hint="eastAsia" w:ascii="宋体" w:hAnsi="宋体" w:cs="宋体"/>
                <w:color w:val="auto"/>
                <w:sz w:val="24"/>
                <w:szCs w:val="24"/>
                <w:highlight w:val="none"/>
              </w:rPr>
              <w:t>项目</w:t>
            </w:r>
          </w:p>
        </w:tc>
        <w:tc>
          <w:tcPr>
            <w:tcW w:w="4355" w:type="dxa"/>
            <w:tcBorders>
              <w:top w:val="single" w:color="auto" w:sz="4" w:space="0"/>
              <w:left w:val="single" w:color="auto" w:sz="4" w:space="0"/>
              <w:bottom w:val="single" w:color="auto" w:sz="4" w:space="0"/>
              <w:right w:val="single" w:color="auto" w:sz="4" w:space="0"/>
            </w:tcBorders>
            <w:vAlign w:val="center"/>
          </w:tcPr>
          <w:p w14:paraId="3AE76D54">
            <w:pPr>
              <w:snapToGrid w:val="0"/>
              <w:spacing w:before="156" w:beforeLines="50" w:line="320" w:lineRule="exact"/>
              <w:rPr>
                <w:rFonts w:ascii="宋体" w:cs="宋体"/>
                <w:color w:val="auto"/>
                <w:sz w:val="24"/>
                <w:szCs w:val="24"/>
                <w:highlight w:val="none"/>
              </w:rPr>
            </w:pPr>
            <w:r>
              <w:rPr>
                <w:rFonts w:hint="eastAsia" w:ascii="宋体" w:hAnsi="宋体" w:cs="宋体"/>
                <w:color w:val="auto"/>
                <w:sz w:val="24"/>
                <w:szCs w:val="24"/>
                <w:highlight w:val="none"/>
              </w:rPr>
              <w:t>竞争性磋商文件要求</w:t>
            </w:r>
          </w:p>
        </w:tc>
        <w:tc>
          <w:tcPr>
            <w:tcW w:w="2877" w:type="dxa"/>
            <w:tcBorders>
              <w:top w:val="single" w:color="auto" w:sz="4" w:space="0"/>
              <w:left w:val="single" w:color="auto" w:sz="4" w:space="0"/>
              <w:bottom w:val="single" w:color="auto" w:sz="4" w:space="0"/>
            </w:tcBorders>
            <w:vAlign w:val="center"/>
          </w:tcPr>
          <w:p w14:paraId="69878EE7">
            <w:pPr>
              <w:snapToGrid w:val="0"/>
              <w:spacing w:before="156" w:beforeLines="50" w:line="320" w:lineRule="exact"/>
              <w:jc w:val="center"/>
              <w:rPr>
                <w:rFonts w:ascii="宋体" w:cs="宋体"/>
                <w:color w:val="auto"/>
                <w:sz w:val="24"/>
                <w:szCs w:val="24"/>
                <w:highlight w:val="none"/>
              </w:rPr>
            </w:pPr>
            <w:r>
              <w:rPr>
                <w:rFonts w:hint="eastAsia" w:ascii="宋体" w:hAnsi="宋体" w:cs="宋体"/>
                <w:color w:val="auto"/>
                <w:sz w:val="24"/>
                <w:szCs w:val="24"/>
                <w:highlight w:val="none"/>
              </w:rPr>
              <w:t>供应商的承诺或说明</w:t>
            </w:r>
          </w:p>
        </w:tc>
      </w:tr>
      <w:tr w14:paraId="79854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08" w:type="dxa"/>
            <w:tcBorders>
              <w:top w:val="single" w:color="auto" w:sz="4" w:space="0"/>
              <w:bottom w:val="single" w:color="auto" w:sz="4" w:space="0"/>
              <w:right w:val="single" w:color="auto" w:sz="4" w:space="0"/>
            </w:tcBorders>
            <w:vAlign w:val="center"/>
          </w:tcPr>
          <w:p w14:paraId="773FBFB9">
            <w:pP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服务期及地点</w:t>
            </w:r>
          </w:p>
        </w:tc>
        <w:tc>
          <w:tcPr>
            <w:tcW w:w="4355" w:type="dxa"/>
            <w:tcBorders>
              <w:top w:val="single" w:color="auto" w:sz="4" w:space="0"/>
              <w:left w:val="single" w:color="auto" w:sz="4" w:space="0"/>
              <w:bottom w:val="single" w:color="auto" w:sz="4" w:space="0"/>
              <w:right w:val="single" w:color="auto" w:sz="4" w:space="0"/>
            </w:tcBorders>
            <w:vAlign w:val="center"/>
          </w:tcPr>
          <w:p w14:paraId="53C3DAD5">
            <w:pPr>
              <w:spacing w:line="360" w:lineRule="auto"/>
              <w:rPr>
                <w:rFonts w:cs="仿宋" w:asciiTheme="minorEastAsia" w:hAnsiTheme="minorEastAsia" w:eastAsiaTheme="minorEastAsia"/>
                <w:color w:val="auto"/>
                <w:sz w:val="24"/>
                <w:szCs w:val="24"/>
                <w:highlight w:val="none"/>
              </w:rPr>
            </w:pPr>
            <w:r>
              <w:rPr>
                <w:rFonts w:hint="eastAsia" w:cs="宋体" w:asciiTheme="minorEastAsia" w:hAnsiTheme="minorEastAsia" w:eastAsiaTheme="minorEastAsia"/>
                <w:bCs/>
                <w:color w:val="auto"/>
                <w:sz w:val="24"/>
                <w:highlight w:val="none"/>
              </w:rPr>
              <w:t>▲</w:t>
            </w:r>
            <w:r>
              <w:rPr>
                <w:rFonts w:hint="eastAsia" w:cs="仿宋" w:asciiTheme="minorEastAsia" w:hAnsiTheme="minorEastAsia" w:eastAsiaTheme="minorEastAsia"/>
                <w:color w:val="auto"/>
                <w:sz w:val="24"/>
                <w:szCs w:val="24"/>
                <w:highlight w:val="none"/>
              </w:rPr>
              <w:t>维护服务期：2025-2027年度。</w:t>
            </w:r>
          </w:p>
          <w:p w14:paraId="7AF5B16F">
            <w:pPr>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地点：采购人指定地点</w:t>
            </w:r>
          </w:p>
        </w:tc>
        <w:tc>
          <w:tcPr>
            <w:tcW w:w="2877" w:type="dxa"/>
            <w:tcBorders>
              <w:top w:val="single" w:color="auto" w:sz="4" w:space="0"/>
              <w:left w:val="single" w:color="auto" w:sz="4" w:space="0"/>
              <w:bottom w:val="single" w:color="auto" w:sz="4" w:space="0"/>
            </w:tcBorders>
          </w:tcPr>
          <w:p w14:paraId="64B92A35">
            <w:pPr>
              <w:snapToGrid w:val="0"/>
              <w:spacing w:before="156" w:beforeLines="50" w:line="400" w:lineRule="exact"/>
              <w:rPr>
                <w:rFonts w:ascii="宋体" w:cs="宋体"/>
                <w:color w:val="auto"/>
                <w:sz w:val="24"/>
                <w:szCs w:val="24"/>
                <w:highlight w:val="none"/>
              </w:rPr>
            </w:pPr>
          </w:p>
        </w:tc>
      </w:tr>
      <w:tr w14:paraId="48587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08" w:type="dxa"/>
            <w:tcBorders>
              <w:top w:val="single" w:color="auto" w:sz="4" w:space="0"/>
              <w:bottom w:val="single" w:color="auto" w:sz="4" w:space="0"/>
              <w:right w:val="single" w:color="auto" w:sz="4" w:space="0"/>
            </w:tcBorders>
          </w:tcPr>
          <w:p w14:paraId="5409D9EE">
            <w:pP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付款方式</w:t>
            </w:r>
          </w:p>
        </w:tc>
        <w:tc>
          <w:tcPr>
            <w:tcW w:w="4355" w:type="dxa"/>
            <w:tcBorders>
              <w:top w:val="single" w:color="auto" w:sz="4" w:space="0"/>
              <w:left w:val="single" w:color="auto" w:sz="4" w:space="0"/>
              <w:bottom w:val="single" w:color="auto" w:sz="4" w:space="0"/>
              <w:right w:val="single" w:color="auto" w:sz="4" w:space="0"/>
            </w:tcBorders>
          </w:tcPr>
          <w:p w14:paraId="74995BB0">
            <w:pPr>
              <w:pStyle w:val="23"/>
              <w:spacing w:line="360" w:lineRule="auto"/>
              <w:rPr>
                <w:rFonts w:cs="宋体" w:asciiTheme="minorEastAsia" w:hAnsiTheme="minorEastAsia" w:eastAsiaTheme="minorEastAsia"/>
                <w:b w:val="0"/>
                <w:color w:val="auto"/>
                <w:sz w:val="24"/>
                <w:highlight w:val="none"/>
              </w:rPr>
            </w:pPr>
            <w:r>
              <w:rPr>
                <w:rFonts w:hint="eastAsia" w:cs="宋体" w:asciiTheme="minorEastAsia" w:hAnsiTheme="minorEastAsia" w:eastAsiaTheme="minorEastAsia"/>
                <w:b w:val="0"/>
                <w:color w:val="auto"/>
                <w:sz w:val="24"/>
                <w:highlight w:val="none"/>
              </w:rPr>
              <w:t>▲根据《保障中小企业款项支付条例》、省财政厅《浙江省财政厅关于进一步发挥政府采购政策功能全力推动经济稳进提质的通知》（浙财采监【2022】3号）要求，制定如下付款方式：合同签订生效及具备实施条件后7工作日内支付合同总价的20%；项目验收合格后付清。</w:t>
            </w:r>
          </w:p>
          <w:p w14:paraId="6B1A382C">
            <w:pPr>
              <w:pStyle w:val="23"/>
              <w:spacing w:line="360" w:lineRule="auto"/>
              <w:rPr>
                <w:rFonts w:cs="宋体" w:asciiTheme="minorEastAsia" w:hAnsiTheme="minorEastAsia" w:eastAsiaTheme="minorEastAsia"/>
                <w:b w:val="0"/>
                <w:color w:val="auto"/>
                <w:sz w:val="24"/>
                <w:highlight w:val="none"/>
              </w:rPr>
            </w:pPr>
            <w:r>
              <w:rPr>
                <w:rFonts w:hint="eastAsia" w:cs="宋体" w:asciiTheme="minorEastAsia" w:hAnsiTheme="minorEastAsia" w:eastAsiaTheme="minorEastAsia"/>
                <w:b w:val="0"/>
                <w:color w:val="auto"/>
                <w:sz w:val="24"/>
                <w:highlight w:val="none"/>
              </w:rPr>
              <w:t>注：若成交供应商明确表示无需预付款或者主动要求降低预付款比例的，采购人可不适用前述规定。</w:t>
            </w:r>
          </w:p>
        </w:tc>
        <w:tc>
          <w:tcPr>
            <w:tcW w:w="2877" w:type="dxa"/>
            <w:tcBorders>
              <w:top w:val="single" w:color="auto" w:sz="4" w:space="0"/>
              <w:left w:val="single" w:color="auto" w:sz="4" w:space="0"/>
              <w:bottom w:val="single" w:color="auto" w:sz="4" w:space="0"/>
            </w:tcBorders>
          </w:tcPr>
          <w:p w14:paraId="089B5ECD">
            <w:pPr>
              <w:snapToGrid w:val="0"/>
              <w:spacing w:before="156" w:beforeLines="50" w:line="400" w:lineRule="exact"/>
              <w:rPr>
                <w:rFonts w:ascii="宋体" w:cs="宋体"/>
                <w:color w:val="auto"/>
                <w:sz w:val="24"/>
                <w:szCs w:val="24"/>
                <w:highlight w:val="none"/>
              </w:rPr>
            </w:pPr>
          </w:p>
        </w:tc>
      </w:tr>
    </w:tbl>
    <w:p w14:paraId="27335E8A">
      <w:pPr>
        <w:pStyle w:val="20"/>
        <w:snapToGrid w:val="0"/>
        <w:spacing w:line="400" w:lineRule="exact"/>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w:t>
      </w:r>
    </w:p>
    <w:p w14:paraId="2DB9D119">
      <w:pPr>
        <w:pStyle w:val="27"/>
        <w:snapToGrid w:val="0"/>
        <w:spacing w:line="400" w:lineRule="exact"/>
        <w:rPr>
          <w:rFonts w:cs="Times New Roman"/>
          <w:color w:val="auto"/>
          <w:sz w:val="24"/>
          <w:szCs w:val="24"/>
          <w:highlight w:val="none"/>
        </w:rPr>
      </w:pPr>
    </w:p>
    <w:p w14:paraId="75A6E8B1">
      <w:pPr>
        <w:pStyle w:val="27"/>
        <w:snapToGrid w:val="0"/>
        <w:spacing w:line="400" w:lineRule="exact"/>
        <w:rPr>
          <w:rFonts w:cs="Times New Roman"/>
          <w:color w:val="auto"/>
          <w:sz w:val="24"/>
          <w:szCs w:val="24"/>
          <w:highlight w:val="none"/>
        </w:rPr>
      </w:pPr>
      <w:r>
        <w:rPr>
          <w:rFonts w:hint="eastAsia"/>
          <w:color w:val="auto"/>
          <w:sz w:val="24"/>
          <w:szCs w:val="24"/>
          <w:highlight w:val="none"/>
        </w:rPr>
        <w:t>供应商公章：　年月　日</w:t>
      </w:r>
    </w:p>
    <w:p w14:paraId="1CEA563F">
      <w:pPr>
        <w:rPr>
          <w:color w:val="auto"/>
          <w:highlight w:val="none"/>
        </w:rPr>
      </w:pPr>
    </w:p>
    <w:p w14:paraId="0A5E5BE6">
      <w:pPr>
        <w:snapToGrid w:val="0"/>
        <w:spacing w:before="50" w:after="156" w:afterLines="50" w:line="400" w:lineRule="exact"/>
        <w:jc w:val="left"/>
        <w:rPr>
          <w:rFonts w:ascii="宋体" w:cs="Times New Roman"/>
          <w:color w:val="auto"/>
          <w:sz w:val="24"/>
          <w:szCs w:val="24"/>
          <w:highlight w:val="none"/>
        </w:rPr>
      </w:pPr>
    </w:p>
    <w:p w14:paraId="2906491D">
      <w:pPr>
        <w:rPr>
          <w:color w:val="auto"/>
          <w:highlight w:val="none"/>
        </w:rPr>
      </w:pPr>
    </w:p>
    <w:p w14:paraId="3365AB98">
      <w:pPr>
        <w:rPr>
          <w:color w:val="auto"/>
          <w:highlight w:val="none"/>
        </w:rPr>
      </w:pPr>
    </w:p>
    <w:p w14:paraId="125FC793">
      <w:pPr>
        <w:snapToGrid w:val="0"/>
        <w:spacing w:before="50" w:after="156" w:afterLines="50" w:line="400" w:lineRule="exact"/>
        <w:jc w:val="left"/>
        <w:rPr>
          <w:rFonts w:ascii="宋体" w:cs="Times New Roman"/>
          <w:color w:val="auto"/>
          <w:sz w:val="24"/>
          <w:szCs w:val="24"/>
          <w:highlight w:val="none"/>
        </w:rPr>
      </w:pPr>
    </w:p>
    <w:p w14:paraId="702348B3">
      <w:pPr>
        <w:snapToGrid w:val="0"/>
        <w:spacing w:before="50" w:after="156" w:afterLines="50" w:line="400" w:lineRule="exact"/>
        <w:jc w:val="left"/>
        <w:rPr>
          <w:rFonts w:ascii="宋体" w:cs="Times New Roman"/>
          <w:color w:val="auto"/>
          <w:sz w:val="24"/>
          <w:szCs w:val="24"/>
          <w:highlight w:val="none"/>
        </w:rPr>
      </w:pPr>
    </w:p>
    <w:p w14:paraId="69687D4F">
      <w:pPr>
        <w:snapToGrid w:val="0"/>
        <w:spacing w:before="50" w:after="156" w:afterLines="50" w:line="400" w:lineRule="exact"/>
        <w:jc w:val="left"/>
        <w:rPr>
          <w:rFonts w:ascii="宋体" w:cs="Times New Roman"/>
          <w:color w:val="auto"/>
          <w:sz w:val="24"/>
          <w:szCs w:val="24"/>
          <w:highlight w:val="none"/>
        </w:rPr>
      </w:pPr>
    </w:p>
    <w:p w14:paraId="4926ED47">
      <w:pPr>
        <w:rPr>
          <w:rFonts w:ascii="宋体" w:hAnsi="宋体" w:cs="宋体"/>
          <w:color w:val="auto"/>
          <w:sz w:val="24"/>
          <w:szCs w:val="24"/>
          <w:highlight w:val="none"/>
        </w:rPr>
      </w:pPr>
    </w:p>
    <w:p w14:paraId="581E4D8D">
      <w:pPr>
        <w:rPr>
          <w:rFonts w:ascii="宋体" w:hAnsi="宋体" w:cs="宋体"/>
          <w:color w:val="auto"/>
          <w:sz w:val="24"/>
          <w:szCs w:val="24"/>
          <w:highlight w:val="none"/>
        </w:rPr>
      </w:pPr>
    </w:p>
    <w:p w14:paraId="399EE869">
      <w:pPr>
        <w:rPr>
          <w:rFonts w:ascii="宋体" w:hAnsi="宋体" w:cs="宋体"/>
          <w:color w:val="auto"/>
          <w:sz w:val="24"/>
          <w:szCs w:val="24"/>
          <w:highlight w:val="none"/>
        </w:rPr>
      </w:pPr>
    </w:p>
    <w:p w14:paraId="0D8B41E9">
      <w:pPr>
        <w:rPr>
          <w:rFonts w:ascii="宋体" w:hAnsi="宋体" w:cs="宋体"/>
          <w:color w:val="auto"/>
          <w:sz w:val="24"/>
          <w:szCs w:val="24"/>
          <w:highlight w:val="none"/>
        </w:rPr>
      </w:pPr>
    </w:p>
    <w:p w14:paraId="63FBF82C">
      <w:pPr>
        <w:rPr>
          <w:rFonts w:ascii="宋体" w:cs="Times New Roman"/>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技术、商务、资信及其他分自评表</w:t>
      </w:r>
      <w:r>
        <w:rPr>
          <w:rFonts w:ascii="宋体" w:cs="Times New Roman"/>
          <w:color w:val="auto"/>
          <w:sz w:val="24"/>
          <w:szCs w:val="24"/>
          <w:highlight w:val="none"/>
        </w:rPr>
        <w:tab/>
      </w: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843"/>
        <w:gridCol w:w="1701"/>
      </w:tblGrid>
      <w:tr w14:paraId="272C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652" w:type="dxa"/>
            <w:gridSpan w:val="2"/>
            <w:vAlign w:val="center"/>
          </w:tcPr>
          <w:p w14:paraId="170346ED">
            <w:pPr>
              <w:jc w:val="center"/>
              <w:rPr>
                <w:rFonts w:ascii="宋体" w:cs="宋体"/>
                <w:color w:val="auto"/>
                <w:sz w:val="24"/>
                <w:szCs w:val="24"/>
                <w:highlight w:val="none"/>
              </w:rPr>
            </w:pPr>
            <w:r>
              <w:rPr>
                <w:rFonts w:hint="eastAsia" w:ascii="宋体" w:hAnsi="宋体" w:cs="宋体"/>
                <w:color w:val="auto"/>
                <w:sz w:val="24"/>
                <w:szCs w:val="24"/>
                <w:highlight w:val="none"/>
              </w:rPr>
              <w:t>评分项目</w:t>
            </w:r>
          </w:p>
        </w:tc>
        <w:tc>
          <w:tcPr>
            <w:tcW w:w="2410" w:type="dxa"/>
            <w:vAlign w:val="center"/>
          </w:tcPr>
          <w:p w14:paraId="5257967F">
            <w:pPr>
              <w:snapToGrid w:val="0"/>
              <w:spacing w:before="156" w:beforeLines="50"/>
              <w:jc w:val="center"/>
              <w:rPr>
                <w:rFonts w:ascii="宋体" w:cs="宋体"/>
                <w:color w:val="auto"/>
                <w:sz w:val="24"/>
                <w:szCs w:val="24"/>
                <w:highlight w:val="none"/>
              </w:rPr>
            </w:pPr>
            <w:r>
              <w:rPr>
                <w:rFonts w:hint="eastAsia" w:ascii="宋体" w:hAnsi="宋体" w:cs="宋体"/>
                <w:color w:val="auto"/>
                <w:sz w:val="24"/>
                <w:szCs w:val="24"/>
                <w:highlight w:val="none"/>
              </w:rPr>
              <w:t>响应文件对应资料</w:t>
            </w:r>
          </w:p>
        </w:tc>
        <w:tc>
          <w:tcPr>
            <w:tcW w:w="1843" w:type="dxa"/>
            <w:vAlign w:val="center"/>
          </w:tcPr>
          <w:p w14:paraId="1ADB45B4">
            <w:pPr>
              <w:snapToGrid w:val="0"/>
              <w:spacing w:before="156" w:beforeLines="50"/>
              <w:jc w:val="center"/>
              <w:rPr>
                <w:rFonts w:ascii="宋体" w:cs="宋体"/>
                <w:color w:val="auto"/>
                <w:sz w:val="24"/>
                <w:szCs w:val="24"/>
                <w:highlight w:val="none"/>
              </w:rPr>
            </w:pPr>
            <w:r>
              <w:rPr>
                <w:rFonts w:hint="eastAsia" w:ascii="宋体" w:hAnsi="宋体" w:cs="宋体"/>
                <w:color w:val="auto"/>
                <w:sz w:val="24"/>
                <w:szCs w:val="24"/>
                <w:highlight w:val="none"/>
              </w:rPr>
              <w:t>自评分</w:t>
            </w:r>
          </w:p>
        </w:tc>
        <w:tc>
          <w:tcPr>
            <w:tcW w:w="1701" w:type="dxa"/>
            <w:vAlign w:val="center"/>
          </w:tcPr>
          <w:p w14:paraId="358B66D4">
            <w:pPr>
              <w:snapToGrid w:val="0"/>
              <w:spacing w:before="156" w:beforeLines="50"/>
              <w:jc w:val="center"/>
              <w:rPr>
                <w:rFonts w:ascii="宋体" w:cs="宋体"/>
                <w:color w:val="auto"/>
                <w:sz w:val="24"/>
                <w:szCs w:val="24"/>
                <w:highlight w:val="none"/>
              </w:rPr>
            </w:pPr>
            <w:r>
              <w:rPr>
                <w:rFonts w:hint="eastAsia" w:ascii="宋体" w:hAnsi="宋体" w:cs="宋体"/>
                <w:color w:val="auto"/>
                <w:sz w:val="24"/>
                <w:szCs w:val="24"/>
                <w:highlight w:val="none"/>
              </w:rPr>
              <w:t>响应文件页码</w:t>
            </w:r>
          </w:p>
        </w:tc>
      </w:tr>
      <w:tr w14:paraId="7B13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28" w:type="dxa"/>
            <w:vMerge w:val="restart"/>
            <w:vAlign w:val="center"/>
          </w:tcPr>
          <w:p w14:paraId="71AC8AD1">
            <w:pPr>
              <w:pStyle w:val="27"/>
              <w:spacing w:line="400" w:lineRule="exact"/>
              <w:jc w:val="center"/>
              <w:rPr>
                <w:color w:val="auto"/>
                <w:sz w:val="24"/>
                <w:szCs w:val="24"/>
                <w:highlight w:val="none"/>
              </w:rPr>
            </w:pPr>
            <w:r>
              <w:rPr>
                <w:rFonts w:hint="eastAsia"/>
                <w:color w:val="auto"/>
                <w:sz w:val="24"/>
                <w:szCs w:val="24"/>
                <w:highlight w:val="none"/>
              </w:rPr>
              <w:t>技术分（50分）</w:t>
            </w:r>
          </w:p>
        </w:tc>
        <w:tc>
          <w:tcPr>
            <w:tcW w:w="2824" w:type="dxa"/>
          </w:tcPr>
          <w:p w14:paraId="40A1BE43">
            <w:pPr>
              <w:rPr>
                <w:rFonts w:ascii="宋体" w:hAnsi="宋体" w:cs="宋体"/>
                <w:color w:val="auto"/>
                <w:sz w:val="24"/>
                <w:szCs w:val="24"/>
                <w:highlight w:val="none"/>
              </w:rPr>
            </w:pPr>
          </w:p>
        </w:tc>
        <w:tc>
          <w:tcPr>
            <w:tcW w:w="2410" w:type="dxa"/>
          </w:tcPr>
          <w:p w14:paraId="1B1D5001">
            <w:pPr>
              <w:rPr>
                <w:rFonts w:ascii="宋体" w:cs="宋体"/>
                <w:color w:val="auto"/>
                <w:sz w:val="24"/>
                <w:szCs w:val="24"/>
                <w:highlight w:val="none"/>
              </w:rPr>
            </w:pPr>
          </w:p>
        </w:tc>
        <w:tc>
          <w:tcPr>
            <w:tcW w:w="1843" w:type="dxa"/>
          </w:tcPr>
          <w:p w14:paraId="4DED5556">
            <w:pPr>
              <w:rPr>
                <w:rFonts w:ascii="宋体" w:cs="宋体"/>
                <w:color w:val="auto"/>
                <w:sz w:val="24"/>
                <w:szCs w:val="24"/>
                <w:highlight w:val="none"/>
              </w:rPr>
            </w:pPr>
          </w:p>
        </w:tc>
        <w:tc>
          <w:tcPr>
            <w:tcW w:w="1701" w:type="dxa"/>
          </w:tcPr>
          <w:p w14:paraId="2C77B0F0">
            <w:pPr>
              <w:rPr>
                <w:rFonts w:ascii="宋体" w:cs="宋体"/>
                <w:color w:val="auto"/>
                <w:sz w:val="24"/>
                <w:szCs w:val="24"/>
                <w:highlight w:val="none"/>
              </w:rPr>
            </w:pPr>
          </w:p>
        </w:tc>
      </w:tr>
      <w:tr w14:paraId="0DC8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28" w:type="dxa"/>
            <w:vMerge w:val="continue"/>
          </w:tcPr>
          <w:p w14:paraId="48041198">
            <w:pPr>
              <w:pStyle w:val="27"/>
              <w:spacing w:line="400" w:lineRule="exact"/>
              <w:jc w:val="center"/>
              <w:rPr>
                <w:color w:val="auto"/>
                <w:sz w:val="24"/>
                <w:szCs w:val="24"/>
                <w:highlight w:val="none"/>
              </w:rPr>
            </w:pPr>
          </w:p>
        </w:tc>
        <w:tc>
          <w:tcPr>
            <w:tcW w:w="2824" w:type="dxa"/>
          </w:tcPr>
          <w:p w14:paraId="2A3F6B15">
            <w:pPr>
              <w:rPr>
                <w:rFonts w:ascii="宋体" w:hAnsi="宋体" w:cs="宋体"/>
                <w:color w:val="auto"/>
                <w:sz w:val="24"/>
                <w:szCs w:val="24"/>
                <w:highlight w:val="none"/>
              </w:rPr>
            </w:pPr>
          </w:p>
        </w:tc>
        <w:tc>
          <w:tcPr>
            <w:tcW w:w="2410" w:type="dxa"/>
          </w:tcPr>
          <w:p w14:paraId="70F54ABC">
            <w:pPr>
              <w:rPr>
                <w:rFonts w:ascii="宋体" w:cs="宋体"/>
                <w:color w:val="auto"/>
                <w:sz w:val="24"/>
                <w:szCs w:val="24"/>
                <w:highlight w:val="none"/>
              </w:rPr>
            </w:pPr>
          </w:p>
        </w:tc>
        <w:tc>
          <w:tcPr>
            <w:tcW w:w="1843" w:type="dxa"/>
          </w:tcPr>
          <w:p w14:paraId="424E63A7">
            <w:pPr>
              <w:rPr>
                <w:rFonts w:ascii="宋体" w:cs="宋体"/>
                <w:color w:val="auto"/>
                <w:sz w:val="24"/>
                <w:szCs w:val="24"/>
                <w:highlight w:val="none"/>
              </w:rPr>
            </w:pPr>
          </w:p>
        </w:tc>
        <w:tc>
          <w:tcPr>
            <w:tcW w:w="1701" w:type="dxa"/>
          </w:tcPr>
          <w:p w14:paraId="06DD3F90">
            <w:pPr>
              <w:rPr>
                <w:rFonts w:ascii="宋体" w:cs="宋体"/>
                <w:color w:val="auto"/>
                <w:sz w:val="24"/>
                <w:szCs w:val="24"/>
                <w:highlight w:val="none"/>
              </w:rPr>
            </w:pPr>
          </w:p>
        </w:tc>
      </w:tr>
      <w:tr w14:paraId="3CCA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209BBD84">
            <w:pPr>
              <w:pStyle w:val="27"/>
              <w:spacing w:line="400" w:lineRule="exact"/>
              <w:jc w:val="center"/>
              <w:rPr>
                <w:color w:val="auto"/>
                <w:sz w:val="24"/>
                <w:szCs w:val="24"/>
                <w:highlight w:val="none"/>
              </w:rPr>
            </w:pPr>
          </w:p>
        </w:tc>
        <w:tc>
          <w:tcPr>
            <w:tcW w:w="2824" w:type="dxa"/>
          </w:tcPr>
          <w:p w14:paraId="160F1B61">
            <w:pPr>
              <w:rPr>
                <w:rFonts w:ascii="宋体" w:hAnsi="宋体" w:cs="宋体"/>
                <w:color w:val="auto"/>
                <w:sz w:val="24"/>
                <w:szCs w:val="24"/>
                <w:highlight w:val="none"/>
              </w:rPr>
            </w:pPr>
          </w:p>
        </w:tc>
        <w:tc>
          <w:tcPr>
            <w:tcW w:w="2410" w:type="dxa"/>
          </w:tcPr>
          <w:p w14:paraId="5BCB120F">
            <w:pPr>
              <w:rPr>
                <w:rFonts w:ascii="宋体" w:cs="宋体"/>
                <w:color w:val="auto"/>
                <w:sz w:val="24"/>
                <w:szCs w:val="24"/>
                <w:highlight w:val="none"/>
              </w:rPr>
            </w:pPr>
          </w:p>
        </w:tc>
        <w:tc>
          <w:tcPr>
            <w:tcW w:w="1843" w:type="dxa"/>
          </w:tcPr>
          <w:p w14:paraId="43B632CE">
            <w:pPr>
              <w:rPr>
                <w:rFonts w:ascii="宋体" w:cs="宋体"/>
                <w:color w:val="auto"/>
                <w:sz w:val="24"/>
                <w:szCs w:val="24"/>
                <w:highlight w:val="none"/>
              </w:rPr>
            </w:pPr>
          </w:p>
        </w:tc>
        <w:tc>
          <w:tcPr>
            <w:tcW w:w="1701" w:type="dxa"/>
          </w:tcPr>
          <w:p w14:paraId="0BDA5926">
            <w:pPr>
              <w:rPr>
                <w:rFonts w:ascii="宋体" w:cs="宋体"/>
                <w:color w:val="auto"/>
                <w:sz w:val="24"/>
                <w:szCs w:val="24"/>
                <w:highlight w:val="none"/>
              </w:rPr>
            </w:pPr>
          </w:p>
        </w:tc>
      </w:tr>
      <w:tr w14:paraId="2B1E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63B4A5E4">
            <w:pPr>
              <w:pStyle w:val="27"/>
              <w:spacing w:line="400" w:lineRule="exact"/>
              <w:jc w:val="center"/>
              <w:rPr>
                <w:color w:val="auto"/>
                <w:sz w:val="24"/>
                <w:szCs w:val="24"/>
                <w:highlight w:val="none"/>
              </w:rPr>
            </w:pPr>
          </w:p>
        </w:tc>
        <w:tc>
          <w:tcPr>
            <w:tcW w:w="2824" w:type="dxa"/>
          </w:tcPr>
          <w:p w14:paraId="7562D0BD">
            <w:pPr>
              <w:rPr>
                <w:rFonts w:ascii="宋体" w:hAnsi="宋体" w:cs="宋体"/>
                <w:color w:val="auto"/>
                <w:sz w:val="24"/>
                <w:szCs w:val="24"/>
                <w:highlight w:val="none"/>
              </w:rPr>
            </w:pPr>
          </w:p>
        </w:tc>
        <w:tc>
          <w:tcPr>
            <w:tcW w:w="2410" w:type="dxa"/>
          </w:tcPr>
          <w:p w14:paraId="55632809">
            <w:pPr>
              <w:rPr>
                <w:rFonts w:ascii="宋体" w:cs="宋体"/>
                <w:color w:val="auto"/>
                <w:sz w:val="24"/>
                <w:szCs w:val="24"/>
                <w:highlight w:val="none"/>
              </w:rPr>
            </w:pPr>
          </w:p>
        </w:tc>
        <w:tc>
          <w:tcPr>
            <w:tcW w:w="1843" w:type="dxa"/>
          </w:tcPr>
          <w:p w14:paraId="58A977F9">
            <w:pPr>
              <w:rPr>
                <w:rFonts w:ascii="宋体" w:cs="宋体"/>
                <w:color w:val="auto"/>
                <w:sz w:val="24"/>
                <w:szCs w:val="24"/>
                <w:highlight w:val="none"/>
              </w:rPr>
            </w:pPr>
          </w:p>
        </w:tc>
        <w:tc>
          <w:tcPr>
            <w:tcW w:w="1701" w:type="dxa"/>
          </w:tcPr>
          <w:p w14:paraId="6D12F89D">
            <w:pPr>
              <w:rPr>
                <w:rFonts w:ascii="宋体" w:cs="宋体"/>
                <w:color w:val="auto"/>
                <w:sz w:val="24"/>
                <w:szCs w:val="24"/>
                <w:highlight w:val="none"/>
              </w:rPr>
            </w:pPr>
          </w:p>
        </w:tc>
      </w:tr>
      <w:tr w14:paraId="3FDE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39C6807B">
            <w:pPr>
              <w:pStyle w:val="27"/>
              <w:spacing w:line="400" w:lineRule="exact"/>
              <w:jc w:val="center"/>
              <w:rPr>
                <w:color w:val="auto"/>
                <w:sz w:val="24"/>
                <w:szCs w:val="24"/>
                <w:highlight w:val="none"/>
              </w:rPr>
            </w:pPr>
          </w:p>
        </w:tc>
        <w:tc>
          <w:tcPr>
            <w:tcW w:w="2824" w:type="dxa"/>
          </w:tcPr>
          <w:p w14:paraId="3F3FB92D">
            <w:pPr>
              <w:rPr>
                <w:rFonts w:ascii="宋体" w:hAnsi="宋体" w:cs="宋体"/>
                <w:color w:val="auto"/>
                <w:sz w:val="24"/>
                <w:szCs w:val="24"/>
                <w:highlight w:val="none"/>
              </w:rPr>
            </w:pPr>
          </w:p>
        </w:tc>
        <w:tc>
          <w:tcPr>
            <w:tcW w:w="2410" w:type="dxa"/>
          </w:tcPr>
          <w:p w14:paraId="2068A1D6">
            <w:pPr>
              <w:rPr>
                <w:rFonts w:ascii="宋体" w:cs="宋体"/>
                <w:color w:val="auto"/>
                <w:sz w:val="24"/>
                <w:szCs w:val="24"/>
                <w:highlight w:val="none"/>
              </w:rPr>
            </w:pPr>
          </w:p>
        </w:tc>
        <w:tc>
          <w:tcPr>
            <w:tcW w:w="1843" w:type="dxa"/>
          </w:tcPr>
          <w:p w14:paraId="30887E67">
            <w:pPr>
              <w:rPr>
                <w:rFonts w:ascii="宋体" w:cs="宋体"/>
                <w:color w:val="auto"/>
                <w:sz w:val="24"/>
                <w:szCs w:val="24"/>
                <w:highlight w:val="none"/>
              </w:rPr>
            </w:pPr>
          </w:p>
        </w:tc>
        <w:tc>
          <w:tcPr>
            <w:tcW w:w="1701" w:type="dxa"/>
          </w:tcPr>
          <w:p w14:paraId="30701F26">
            <w:pPr>
              <w:rPr>
                <w:rFonts w:ascii="宋体" w:cs="宋体"/>
                <w:color w:val="auto"/>
                <w:sz w:val="24"/>
                <w:szCs w:val="24"/>
                <w:highlight w:val="none"/>
              </w:rPr>
            </w:pPr>
          </w:p>
        </w:tc>
      </w:tr>
      <w:tr w14:paraId="533C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460905CB">
            <w:pPr>
              <w:pStyle w:val="27"/>
              <w:spacing w:line="400" w:lineRule="exact"/>
              <w:jc w:val="center"/>
              <w:rPr>
                <w:color w:val="auto"/>
                <w:sz w:val="24"/>
                <w:szCs w:val="24"/>
                <w:highlight w:val="none"/>
              </w:rPr>
            </w:pPr>
          </w:p>
        </w:tc>
        <w:tc>
          <w:tcPr>
            <w:tcW w:w="2824" w:type="dxa"/>
          </w:tcPr>
          <w:p w14:paraId="52B0AB09">
            <w:pPr>
              <w:rPr>
                <w:rFonts w:ascii="宋体" w:hAnsi="宋体" w:cs="宋体"/>
                <w:color w:val="auto"/>
                <w:sz w:val="24"/>
                <w:szCs w:val="24"/>
                <w:highlight w:val="none"/>
              </w:rPr>
            </w:pPr>
          </w:p>
        </w:tc>
        <w:tc>
          <w:tcPr>
            <w:tcW w:w="2410" w:type="dxa"/>
          </w:tcPr>
          <w:p w14:paraId="0A23C580">
            <w:pPr>
              <w:rPr>
                <w:rFonts w:ascii="宋体" w:cs="宋体"/>
                <w:color w:val="auto"/>
                <w:sz w:val="24"/>
                <w:szCs w:val="24"/>
                <w:highlight w:val="none"/>
              </w:rPr>
            </w:pPr>
          </w:p>
        </w:tc>
        <w:tc>
          <w:tcPr>
            <w:tcW w:w="1843" w:type="dxa"/>
          </w:tcPr>
          <w:p w14:paraId="6C648D0A">
            <w:pPr>
              <w:rPr>
                <w:rFonts w:ascii="宋体" w:cs="宋体"/>
                <w:color w:val="auto"/>
                <w:sz w:val="24"/>
                <w:szCs w:val="24"/>
                <w:highlight w:val="none"/>
              </w:rPr>
            </w:pPr>
          </w:p>
        </w:tc>
        <w:tc>
          <w:tcPr>
            <w:tcW w:w="1701" w:type="dxa"/>
          </w:tcPr>
          <w:p w14:paraId="794AA8CD">
            <w:pPr>
              <w:rPr>
                <w:rFonts w:ascii="宋体" w:cs="宋体"/>
                <w:color w:val="auto"/>
                <w:sz w:val="24"/>
                <w:szCs w:val="24"/>
                <w:highlight w:val="none"/>
              </w:rPr>
            </w:pPr>
          </w:p>
        </w:tc>
      </w:tr>
      <w:tr w14:paraId="332D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4D681D9A">
            <w:pPr>
              <w:pStyle w:val="27"/>
              <w:spacing w:line="400" w:lineRule="exact"/>
              <w:jc w:val="center"/>
              <w:rPr>
                <w:color w:val="auto"/>
                <w:sz w:val="24"/>
                <w:szCs w:val="24"/>
                <w:highlight w:val="none"/>
              </w:rPr>
            </w:pPr>
          </w:p>
        </w:tc>
        <w:tc>
          <w:tcPr>
            <w:tcW w:w="2824" w:type="dxa"/>
          </w:tcPr>
          <w:p w14:paraId="60846F57">
            <w:pPr>
              <w:rPr>
                <w:rFonts w:ascii="宋体" w:hAnsi="宋体" w:cs="宋体"/>
                <w:color w:val="auto"/>
                <w:sz w:val="24"/>
                <w:szCs w:val="24"/>
                <w:highlight w:val="none"/>
              </w:rPr>
            </w:pPr>
          </w:p>
        </w:tc>
        <w:tc>
          <w:tcPr>
            <w:tcW w:w="2410" w:type="dxa"/>
          </w:tcPr>
          <w:p w14:paraId="0C979458">
            <w:pPr>
              <w:rPr>
                <w:rFonts w:ascii="宋体" w:cs="宋体"/>
                <w:color w:val="auto"/>
                <w:sz w:val="24"/>
                <w:szCs w:val="24"/>
                <w:highlight w:val="none"/>
              </w:rPr>
            </w:pPr>
          </w:p>
        </w:tc>
        <w:tc>
          <w:tcPr>
            <w:tcW w:w="1843" w:type="dxa"/>
          </w:tcPr>
          <w:p w14:paraId="10E434DC">
            <w:pPr>
              <w:rPr>
                <w:rFonts w:ascii="宋体" w:cs="宋体"/>
                <w:color w:val="auto"/>
                <w:sz w:val="24"/>
                <w:szCs w:val="24"/>
                <w:highlight w:val="none"/>
              </w:rPr>
            </w:pPr>
          </w:p>
        </w:tc>
        <w:tc>
          <w:tcPr>
            <w:tcW w:w="1701" w:type="dxa"/>
          </w:tcPr>
          <w:p w14:paraId="24969CD1">
            <w:pPr>
              <w:rPr>
                <w:rFonts w:ascii="宋体" w:cs="宋体"/>
                <w:color w:val="auto"/>
                <w:sz w:val="24"/>
                <w:szCs w:val="24"/>
                <w:highlight w:val="none"/>
              </w:rPr>
            </w:pPr>
          </w:p>
        </w:tc>
      </w:tr>
      <w:tr w14:paraId="742F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28" w:type="dxa"/>
            <w:vMerge w:val="restart"/>
          </w:tcPr>
          <w:p w14:paraId="65CA1C9D">
            <w:pPr>
              <w:spacing w:before="156" w:beforeLines="50" w:after="156" w:afterLines="50" w:line="400" w:lineRule="exact"/>
              <w:rPr>
                <w:rFonts w:ascii="宋体" w:hAnsi="宋体" w:cs="宋体"/>
                <w:color w:val="auto"/>
                <w:sz w:val="24"/>
                <w:szCs w:val="24"/>
                <w:highlight w:val="none"/>
              </w:rPr>
            </w:pPr>
            <w:r>
              <w:rPr>
                <w:rFonts w:hint="eastAsia" w:ascii="宋体" w:hAnsi="宋体" w:cs="宋体"/>
                <w:color w:val="auto"/>
                <w:sz w:val="24"/>
                <w:szCs w:val="24"/>
                <w:highlight w:val="none"/>
              </w:rPr>
              <w:t>商务、资信及其他分（20分）</w:t>
            </w:r>
          </w:p>
          <w:p w14:paraId="0F1C2B70">
            <w:pPr>
              <w:rPr>
                <w:rFonts w:ascii="宋体" w:hAnsi="宋体" w:cs="宋体"/>
                <w:color w:val="auto"/>
                <w:sz w:val="24"/>
                <w:szCs w:val="24"/>
                <w:highlight w:val="none"/>
              </w:rPr>
            </w:pPr>
          </w:p>
        </w:tc>
        <w:tc>
          <w:tcPr>
            <w:tcW w:w="2824" w:type="dxa"/>
            <w:vAlign w:val="center"/>
          </w:tcPr>
          <w:p w14:paraId="65F88D0A">
            <w:pPr>
              <w:pStyle w:val="27"/>
              <w:spacing w:line="400" w:lineRule="exact"/>
              <w:rPr>
                <w:color w:val="auto"/>
                <w:sz w:val="24"/>
                <w:szCs w:val="24"/>
                <w:highlight w:val="none"/>
              </w:rPr>
            </w:pPr>
          </w:p>
        </w:tc>
        <w:tc>
          <w:tcPr>
            <w:tcW w:w="2410" w:type="dxa"/>
          </w:tcPr>
          <w:p w14:paraId="643D2667">
            <w:pPr>
              <w:rPr>
                <w:rFonts w:ascii="宋体" w:cs="宋体"/>
                <w:color w:val="auto"/>
                <w:sz w:val="24"/>
                <w:szCs w:val="24"/>
                <w:highlight w:val="none"/>
              </w:rPr>
            </w:pPr>
          </w:p>
        </w:tc>
        <w:tc>
          <w:tcPr>
            <w:tcW w:w="1843" w:type="dxa"/>
          </w:tcPr>
          <w:p w14:paraId="3CB29D8F">
            <w:pPr>
              <w:rPr>
                <w:rFonts w:ascii="宋体" w:cs="宋体"/>
                <w:color w:val="auto"/>
                <w:sz w:val="24"/>
                <w:szCs w:val="24"/>
                <w:highlight w:val="none"/>
              </w:rPr>
            </w:pPr>
          </w:p>
        </w:tc>
        <w:tc>
          <w:tcPr>
            <w:tcW w:w="1701" w:type="dxa"/>
          </w:tcPr>
          <w:p w14:paraId="4D748CA1">
            <w:pPr>
              <w:rPr>
                <w:rFonts w:ascii="宋体" w:cs="宋体"/>
                <w:color w:val="auto"/>
                <w:sz w:val="24"/>
                <w:szCs w:val="24"/>
                <w:highlight w:val="none"/>
              </w:rPr>
            </w:pPr>
          </w:p>
        </w:tc>
      </w:tr>
      <w:tr w14:paraId="6086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24D35397">
            <w:pPr>
              <w:rPr>
                <w:rFonts w:ascii="宋体" w:hAnsi="宋体" w:cs="宋体"/>
                <w:color w:val="auto"/>
                <w:sz w:val="24"/>
                <w:szCs w:val="24"/>
                <w:highlight w:val="none"/>
              </w:rPr>
            </w:pPr>
          </w:p>
        </w:tc>
        <w:tc>
          <w:tcPr>
            <w:tcW w:w="2824" w:type="dxa"/>
            <w:vAlign w:val="center"/>
          </w:tcPr>
          <w:p w14:paraId="43960129">
            <w:pPr>
              <w:rPr>
                <w:rFonts w:ascii="宋体" w:hAnsi="宋体" w:cs="宋体"/>
                <w:color w:val="auto"/>
                <w:sz w:val="24"/>
                <w:szCs w:val="24"/>
                <w:highlight w:val="none"/>
              </w:rPr>
            </w:pPr>
          </w:p>
        </w:tc>
        <w:tc>
          <w:tcPr>
            <w:tcW w:w="2410" w:type="dxa"/>
          </w:tcPr>
          <w:p w14:paraId="59A0E803">
            <w:pPr>
              <w:rPr>
                <w:rFonts w:ascii="宋体" w:cs="宋体"/>
                <w:color w:val="auto"/>
                <w:sz w:val="24"/>
                <w:szCs w:val="24"/>
                <w:highlight w:val="none"/>
              </w:rPr>
            </w:pPr>
          </w:p>
        </w:tc>
        <w:tc>
          <w:tcPr>
            <w:tcW w:w="1843" w:type="dxa"/>
          </w:tcPr>
          <w:p w14:paraId="1A87D467">
            <w:pPr>
              <w:rPr>
                <w:rFonts w:ascii="宋体" w:cs="宋体"/>
                <w:color w:val="auto"/>
                <w:sz w:val="24"/>
                <w:szCs w:val="24"/>
                <w:highlight w:val="none"/>
              </w:rPr>
            </w:pPr>
          </w:p>
        </w:tc>
        <w:tc>
          <w:tcPr>
            <w:tcW w:w="1701" w:type="dxa"/>
          </w:tcPr>
          <w:p w14:paraId="1D4D0848">
            <w:pPr>
              <w:rPr>
                <w:rFonts w:ascii="宋体" w:cs="宋体"/>
                <w:color w:val="auto"/>
                <w:sz w:val="24"/>
                <w:szCs w:val="24"/>
                <w:highlight w:val="none"/>
              </w:rPr>
            </w:pPr>
          </w:p>
        </w:tc>
      </w:tr>
      <w:tr w14:paraId="2CC5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3E41E808">
            <w:pPr>
              <w:rPr>
                <w:rFonts w:ascii="宋体" w:hAnsi="宋体" w:cs="宋体"/>
                <w:color w:val="auto"/>
                <w:sz w:val="24"/>
                <w:szCs w:val="24"/>
                <w:highlight w:val="none"/>
              </w:rPr>
            </w:pPr>
          </w:p>
        </w:tc>
        <w:tc>
          <w:tcPr>
            <w:tcW w:w="2824" w:type="dxa"/>
            <w:vAlign w:val="center"/>
          </w:tcPr>
          <w:p w14:paraId="491B3EAD">
            <w:pPr>
              <w:pStyle w:val="27"/>
              <w:spacing w:line="400" w:lineRule="exact"/>
              <w:rPr>
                <w:color w:val="auto"/>
                <w:sz w:val="24"/>
                <w:szCs w:val="24"/>
                <w:highlight w:val="none"/>
              </w:rPr>
            </w:pPr>
          </w:p>
        </w:tc>
        <w:tc>
          <w:tcPr>
            <w:tcW w:w="2410" w:type="dxa"/>
          </w:tcPr>
          <w:p w14:paraId="2710554F">
            <w:pPr>
              <w:rPr>
                <w:rFonts w:ascii="宋体" w:cs="宋体"/>
                <w:color w:val="auto"/>
                <w:sz w:val="24"/>
                <w:szCs w:val="24"/>
                <w:highlight w:val="none"/>
              </w:rPr>
            </w:pPr>
          </w:p>
        </w:tc>
        <w:tc>
          <w:tcPr>
            <w:tcW w:w="1843" w:type="dxa"/>
          </w:tcPr>
          <w:p w14:paraId="3FDE2ECD">
            <w:pPr>
              <w:rPr>
                <w:rFonts w:ascii="宋体" w:cs="宋体"/>
                <w:color w:val="auto"/>
                <w:sz w:val="24"/>
                <w:szCs w:val="24"/>
                <w:highlight w:val="none"/>
              </w:rPr>
            </w:pPr>
          </w:p>
        </w:tc>
        <w:tc>
          <w:tcPr>
            <w:tcW w:w="1701" w:type="dxa"/>
          </w:tcPr>
          <w:p w14:paraId="2B4D47A4">
            <w:pPr>
              <w:rPr>
                <w:rFonts w:ascii="宋体" w:cs="宋体"/>
                <w:color w:val="auto"/>
                <w:sz w:val="24"/>
                <w:szCs w:val="24"/>
                <w:highlight w:val="none"/>
              </w:rPr>
            </w:pPr>
          </w:p>
        </w:tc>
      </w:tr>
      <w:tr w14:paraId="6758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3F95C8EB">
            <w:pPr>
              <w:rPr>
                <w:rFonts w:ascii="宋体" w:hAnsi="宋体" w:cs="宋体"/>
                <w:color w:val="auto"/>
                <w:sz w:val="24"/>
                <w:szCs w:val="24"/>
                <w:highlight w:val="none"/>
              </w:rPr>
            </w:pPr>
          </w:p>
        </w:tc>
        <w:tc>
          <w:tcPr>
            <w:tcW w:w="2824" w:type="dxa"/>
            <w:vAlign w:val="center"/>
          </w:tcPr>
          <w:p w14:paraId="23014072">
            <w:pPr>
              <w:pStyle w:val="27"/>
              <w:spacing w:line="400" w:lineRule="exact"/>
              <w:rPr>
                <w:color w:val="auto"/>
                <w:sz w:val="24"/>
                <w:szCs w:val="24"/>
                <w:highlight w:val="none"/>
              </w:rPr>
            </w:pPr>
          </w:p>
        </w:tc>
        <w:tc>
          <w:tcPr>
            <w:tcW w:w="2410" w:type="dxa"/>
          </w:tcPr>
          <w:p w14:paraId="62294F51">
            <w:pPr>
              <w:rPr>
                <w:rFonts w:ascii="宋体" w:cs="宋体"/>
                <w:color w:val="auto"/>
                <w:sz w:val="24"/>
                <w:szCs w:val="24"/>
                <w:highlight w:val="none"/>
              </w:rPr>
            </w:pPr>
          </w:p>
        </w:tc>
        <w:tc>
          <w:tcPr>
            <w:tcW w:w="1843" w:type="dxa"/>
          </w:tcPr>
          <w:p w14:paraId="0857225A">
            <w:pPr>
              <w:rPr>
                <w:rFonts w:ascii="宋体" w:cs="宋体"/>
                <w:color w:val="auto"/>
                <w:sz w:val="24"/>
                <w:szCs w:val="24"/>
                <w:highlight w:val="none"/>
              </w:rPr>
            </w:pPr>
          </w:p>
        </w:tc>
        <w:tc>
          <w:tcPr>
            <w:tcW w:w="1701" w:type="dxa"/>
          </w:tcPr>
          <w:p w14:paraId="448B1E6D">
            <w:pPr>
              <w:rPr>
                <w:rFonts w:ascii="宋体" w:cs="宋体"/>
                <w:color w:val="auto"/>
                <w:sz w:val="24"/>
                <w:szCs w:val="24"/>
                <w:highlight w:val="none"/>
              </w:rPr>
            </w:pPr>
          </w:p>
        </w:tc>
      </w:tr>
      <w:tr w14:paraId="269E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09D7069B">
            <w:pPr>
              <w:rPr>
                <w:rFonts w:ascii="宋体" w:cs="宋体"/>
                <w:color w:val="auto"/>
                <w:sz w:val="24"/>
                <w:szCs w:val="24"/>
                <w:highlight w:val="none"/>
              </w:rPr>
            </w:pPr>
          </w:p>
        </w:tc>
        <w:tc>
          <w:tcPr>
            <w:tcW w:w="2824" w:type="dxa"/>
            <w:vAlign w:val="center"/>
          </w:tcPr>
          <w:p w14:paraId="43C833CC">
            <w:pPr>
              <w:pStyle w:val="27"/>
              <w:spacing w:line="400" w:lineRule="exact"/>
              <w:rPr>
                <w:color w:val="auto"/>
                <w:sz w:val="24"/>
                <w:szCs w:val="24"/>
                <w:highlight w:val="none"/>
              </w:rPr>
            </w:pPr>
          </w:p>
        </w:tc>
        <w:tc>
          <w:tcPr>
            <w:tcW w:w="2410" w:type="dxa"/>
          </w:tcPr>
          <w:p w14:paraId="46041933">
            <w:pPr>
              <w:rPr>
                <w:rFonts w:ascii="宋体" w:cs="宋体"/>
                <w:color w:val="auto"/>
                <w:sz w:val="24"/>
                <w:szCs w:val="24"/>
                <w:highlight w:val="none"/>
              </w:rPr>
            </w:pPr>
          </w:p>
        </w:tc>
        <w:tc>
          <w:tcPr>
            <w:tcW w:w="1843" w:type="dxa"/>
          </w:tcPr>
          <w:p w14:paraId="60748B97">
            <w:pPr>
              <w:rPr>
                <w:rFonts w:ascii="宋体" w:cs="宋体"/>
                <w:color w:val="auto"/>
                <w:sz w:val="24"/>
                <w:szCs w:val="24"/>
                <w:highlight w:val="none"/>
              </w:rPr>
            </w:pPr>
          </w:p>
        </w:tc>
        <w:tc>
          <w:tcPr>
            <w:tcW w:w="1701" w:type="dxa"/>
          </w:tcPr>
          <w:p w14:paraId="19ED374C">
            <w:pPr>
              <w:rPr>
                <w:rFonts w:ascii="宋体" w:cs="宋体"/>
                <w:color w:val="auto"/>
                <w:sz w:val="24"/>
                <w:szCs w:val="24"/>
                <w:highlight w:val="none"/>
              </w:rPr>
            </w:pPr>
          </w:p>
        </w:tc>
      </w:tr>
      <w:tr w14:paraId="29A7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1BA335A2">
            <w:pPr>
              <w:rPr>
                <w:rFonts w:ascii="宋体" w:cs="宋体"/>
                <w:color w:val="auto"/>
                <w:sz w:val="24"/>
                <w:szCs w:val="24"/>
                <w:highlight w:val="none"/>
              </w:rPr>
            </w:pPr>
          </w:p>
        </w:tc>
        <w:tc>
          <w:tcPr>
            <w:tcW w:w="2824" w:type="dxa"/>
            <w:vAlign w:val="center"/>
          </w:tcPr>
          <w:p w14:paraId="4B44EACB">
            <w:pPr>
              <w:pStyle w:val="27"/>
              <w:spacing w:line="400" w:lineRule="exact"/>
              <w:rPr>
                <w:color w:val="auto"/>
                <w:sz w:val="24"/>
                <w:szCs w:val="24"/>
                <w:highlight w:val="none"/>
              </w:rPr>
            </w:pPr>
          </w:p>
        </w:tc>
        <w:tc>
          <w:tcPr>
            <w:tcW w:w="2410" w:type="dxa"/>
          </w:tcPr>
          <w:p w14:paraId="0FD6B78A">
            <w:pPr>
              <w:rPr>
                <w:rFonts w:ascii="宋体" w:cs="宋体"/>
                <w:color w:val="auto"/>
                <w:sz w:val="24"/>
                <w:szCs w:val="24"/>
                <w:highlight w:val="none"/>
              </w:rPr>
            </w:pPr>
          </w:p>
        </w:tc>
        <w:tc>
          <w:tcPr>
            <w:tcW w:w="1843" w:type="dxa"/>
          </w:tcPr>
          <w:p w14:paraId="58ABB122">
            <w:pPr>
              <w:rPr>
                <w:rFonts w:ascii="宋体" w:cs="宋体"/>
                <w:color w:val="auto"/>
                <w:sz w:val="24"/>
                <w:szCs w:val="24"/>
                <w:highlight w:val="none"/>
              </w:rPr>
            </w:pPr>
          </w:p>
        </w:tc>
        <w:tc>
          <w:tcPr>
            <w:tcW w:w="1701" w:type="dxa"/>
          </w:tcPr>
          <w:p w14:paraId="67D72C17">
            <w:pPr>
              <w:rPr>
                <w:rFonts w:ascii="宋体" w:cs="宋体"/>
                <w:color w:val="auto"/>
                <w:sz w:val="24"/>
                <w:szCs w:val="24"/>
                <w:highlight w:val="none"/>
              </w:rPr>
            </w:pPr>
          </w:p>
        </w:tc>
      </w:tr>
      <w:tr w14:paraId="5DCF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52" w:type="dxa"/>
            <w:gridSpan w:val="2"/>
            <w:vAlign w:val="center"/>
          </w:tcPr>
          <w:p w14:paraId="3973E3A6">
            <w:pPr>
              <w:jc w:val="center"/>
              <w:rPr>
                <w:rFonts w:ascii="宋体" w:cs="宋体"/>
                <w:color w:val="auto"/>
                <w:sz w:val="24"/>
                <w:szCs w:val="24"/>
                <w:highlight w:val="none"/>
              </w:rPr>
            </w:pPr>
            <w:r>
              <w:rPr>
                <w:rFonts w:hint="eastAsia" w:ascii="宋体" w:hAnsi="宋体" w:cs="宋体"/>
                <w:color w:val="auto"/>
                <w:sz w:val="24"/>
                <w:szCs w:val="24"/>
                <w:highlight w:val="none"/>
              </w:rPr>
              <w:t>合计得分</w:t>
            </w:r>
          </w:p>
        </w:tc>
        <w:tc>
          <w:tcPr>
            <w:tcW w:w="2410" w:type="dxa"/>
          </w:tcPr>
          <w:p w14:paraId="3A63D89D">
            <w:pPr>
              <w:rPr>
                <w:rFonts w:ascii="宋体" w:cs="宋体"/>
                <w:color w:val="auto"/>
                <w:sz w:val="24"/>
                <w:szCs w:val="24"/>
                <w:highlight w:val="none"/>
              </w:rPr>
            </w:pPr>
          </w:p>
        </w:tc>
        <w:tc>
          <w:tcPr>
            <w:tcW w:w="1843" w:type="dxa"/>
          </w:tcPr>
          <w:p w14:paraId="7884291B">
            <w:pPr>
              <w:rPr>
                <w:rFonts w:ascii="宋体" w:cs="宋体"/>
                <w:color w:val="auto"/>
                <w:sz w:val="24"/>
                <w:szCs w:val="24"/>
                <w:highlight w:val="none"/>
              </w:rPr>
            </w:pPr>
          </w:p>
        </w:tc>
        <w:tc>
          <w:tcPr>
            <w:tcW w:w="1701" w:type="dxa"/>
          </w:tcPr>
          <w:p w14:paraId="3DFCAED8">
            <w:pPr>
              <w:rPr>
                <w:rFonts w:ascii="宋体" w:cs="宋体"/>
                <w:color w:val="auto"/>
                <w:sz w:val="24"/>
                <w:szCs w:val="24"/>
                <w:highlight w:val="none"/>
              </w:rPr>
            </w:pPr>
          </w:p>
        </w:tc>
      </w:tr>
    </w:tbl>
    <w:p w14:paraId="253A87BD">
      <w:pPr>
        <w:spacing w:line="460" w:lineRule="exact"/>
        <w:ind w:firstLine="480" w:firstLineChars="200"/>
        <w:rPr>
          <w:rFonts w:ascii="宋体" w:hAnsi="宋体" w:cs="宋体"/>
          <w:color w:val="auto"/>
          <w:sz w:val="24"/>
          <w:szCs w:val="24"/>
          <w:highlight w:val="none"/>
        </w:rPr>
      </w:pPr>
    </w:p>
    <w:p w14:paraId="7FAAAA24">
      <w:pPr>
        <w:spacing w:line="460" w:lineRule="exact"/>
        <w:ind w:firstLine="480" w:firstLineChars="200"/>
        <w:rPr>
          <w:rFonts w:ascii="宋体" w:hAnsi="宋体" w:cs="宋体"/>
          <w:color w:val="auto"/>
          <w:sz w:val="24"/>
          <w:szCs w:val="24"/>
          <w:highlight w:val="none"/>
        </w:rPr>
      </w:pPr>
    </w:p>
    <w:p w14:paraId="47CD993F">
      <w:pPr>
        <w:spacing w:line="460" w:lineRule="exact"/>
        <w:ind w:firstLine="480" w:firstLineChars="200"/>
        <w:rPr>
          <w:rFonts w:ascii="宋体" w:hAnsi="宋体" w:cs="宋体"/>
          <w:color w:val="auto"/>
          <w:sz w:val="24"/>
          <w:szCs w:val="24"/>
          <w:highlight w:val="none"/>
        </w:rPr>
      </w:pPr>
    </w:p>
    <w:p w14:paraId="22BD1890">
      <w:pPr>
        <w:spacing w:line="460" w:lineRule="exact"/>
        <w:ind w:firstLine="480" w:firstLineChars="200"/>
        <w:rPr>
          <w:rFonts w:ascii="宋体" w:hAnsi="宋体" w:cs="宋体"/>
          <w:color w:val="auto"/>
          <w:sz w:val="24"/>
          <w:szCs w:val="24"/>
          <w:highlight w:val="none"/>
        </w:rPr>
      </w:pPr>
    </w:p>
    <w:p w14:paraId="4D9E1876">
      <w:pPr>
        <w:spacing w:line="460" w:lineRule="exact"/>
        <w:ind w:firstLine="480" w:firstLineChars="200"/>
        <w:rPr>
          <w:rFonts w:ascii="宋体" w:hAnsi="宋体" w:cs="宋体"/>
          <w:color w:val="auto"/>
          <w:sz w:val="24"/>
          <w:szCs w:val="24"/>
          <w:highlight w:val="none"/>
        </w:rPr>
      </w:pPr>
    </w:p>
    <w:p w14:paraId="05AABA9A">
      <w:pPr>
        <w:spacing w:line="460" w:lineRule="exact"/>
        <w:ind w:firstLine="480" w:firstLineChars="200"/>
        <w:rPr>
          <w:rFonts w:ascii="宋体" w:hAnsi="宋体" w:cs="宋体"/>
          <w:color w:val="auto"/>
          <w:sz w:val="24"/>
          <w:szCs w:val="24"/>
          <w:highlight w:val="none"/>
        </w:rPr>
      </w:pPr>
    </w:p>
    <w:p w14:paraId="6DD71FCF">
      <w:pPr>
        <w:spacing w:line="460" w:lineRule="exact"/>
        <w:ind w:firstLine="480" w:firstLineChars="200"/>
        <w:rPr>
          <w:rFonts w:ascii="宋体" w:hAnsi="宋体" w:cs="宋体"/>
          <w:color w:val="auto"/>
          <w:sz w:val="24"/>
          <w:szCs w:val="24"/>
          <w:highlight w:val="none"/>
        </w:rPr>
      </w:pPr>
      <w:bookmarkStart w:id="81" w:name="_Toc68614001"/>
    </w:p>
    <w:p w14:paraId="767F70C2">
      <w:pPr>
        <w:pStyle w:val="2"/>
        <w:rPr>
          <w:color w:val="auto"/>
          <w:highlight w:val="none"/>
        </w:rPr>
      </w:pPr>
    </w:p>
    <w:p w14:paraId="1BBEB3B5">
      <w:pPr>
        <w:pStyle w:val="2"/>
        <w:rPr>
          <w:color w:val="auto"/>
          <w:highlight w:val="none"/>
        </w:rPr>
      </w:pPr>
    </w:p>
    <w:p w14:paraId="2F629F38">
      <w:pPr>
        <w:pStyle w:val="2"/>
        <w:rPr>
          <w:color w:val="auto"/>
          <w:highlight w:val="none"/>
        </w:rPr>
      </w:pPr>
    </w:p>
    <w:p w14:paraId="017D7182">
      <w:pPr>
        <w:pStyle w:val="2"/>
        <w:rPr>
          <w:color w:val="auto"/>
          <w:highlight w:val="none"/>
        </w:rPr>
      </w:pPr>
    </w:p>
    <w:p w14:paraId="2E1B8EAE">
      <w:pPr>
        <w:pStyle w:val="2"/>
        <w:rPr>
          <w:color w:val="auto"/>
          <w:highlight w:val="none"/>
        </w:rPr>
      </w:pPr>
    </w:p>
    <w:p w14:paraId="573E98E9">
      <w:pPr>
        <w:spacing w:line="460" w:lineRule="exact"/>
        <w:ind w:firstLine="480" w:firstLineChars="200"/>
        <w:rPr>
          <w:rFonts w:ascii="宋体" w:hAnsi="宋体" w:cs="宋体"/>
          <w:color w:val="auto"/>
          <w:sz w:val="24"/>
          <w:szCs w:val="24"/>
          <w:highlight w:val="none"/>
        </w:rPr>
      </w:pPr>
    </w:p>
    <w:p w14:paraId="0DEF5B54">
      <w:pPr>
        <w:pStyle w:val="3"/>
        <w:spacing w:before="0" w:after="0" w:line="560" w:lineRule="exact"/>
        <w:jc w:val="center"/>
        <w:rPr>
          <w:rFonts w:ascii="宋体"/>
          <w:color w:val="auto"/>
          <w:highlight w:val="none"/>
        </w:rPr>
      </w:pPr>
      <w:r>
        <w:rPr>
          <w:rFonts w:hint="eastAsia" w:ascii="宋体" w:hAnsi="宋体" w:cs="宋体"/>
          <w:color w:val="auto"/>
          <w:highlight w:val="none"/>
        </w:rPr>
        <w:t>第五章 磋商办法及评分标准</w:t>
      </w:r>
      <w:bookmarkEnd w:id="81"/>
    </w:p>
    <w:p w14:paraId="73DC0BF6">
      <w:pPr>
        <w:spacing w:line="460" w:lineRule="exact"/>
        <w:ind w:firstLine="482" w:firstLineChars="200"/>
        <w:rPr>
          <w:rFonts w:ascii="宋体" w:cs="Times New Roman"/>
          <w:b/>
          <w:bCs/>
          <w:color w:val="auto"/>
          <w:sz w:val="24"/>
          <w:szCs w:val="24"/>
          <w:highlight w:val="none"/>
        </w:rPr>
      </w:pPr>
      <w:r>
        <w:rPr>
          <w:rFonts w:hint="eastAsia" w:ascii="宋体" w:hAnsi="宋体" w:cs="宋体"/>
          <w:b/>
          <w:bCs/>
          <w:color w:val="auto"/>
          <w:sz w:val="24"/>
          <w:szCs w:val="24"/>
          <w:highlight w:val="none"/>
        </w:rPr>
        <w:t>为公正、公平、科学地选择成交人，根据《政府采购竞争性磋商采购方式管理暂行办法》等有关法律法规的规定，并结合本项目的实际，制定本办法。</w:t>
      </w:r>
    </w:p>
    <w:p w14:paraId="591839AC">
      <w:pPr>
        <w:spacing w:line="460" w:lineRule="exact"/>
        <w:outlineLvl w:val="0"/>
        <w:rPr>
          <w:rFonts w:ascii="宋体" w:cs="Times New Roman"/>
          <w:b/>
          <w:bCs/>
          <w:color w:val="auto"/>
          <w:sz w:val="24"/>
          <w:szCs w:val="24"/>
          <w:highlight w:val="none"/>
        </w:rPr>
      </w:pPr>
      <w:bookmarkStart w:id="82" w:name="_Toc68614002"/>
      <w:r>
        <w:rPr>
          <w:rFonts w:ascii="宋体" w:hAnsi="宋体" w:cs="宋体"/>
          <w:b/>
          <w:bCs/>
          <w:color w:val="auto"/>
          <w:sz w:val="24"/>
          <w:szCs w:val="24"/>
          <w:highlight w:val="none"/>
        </w:rPr>
        <w:t>1.</w:t>
      </w:r>
      <w:r>
        <w:rPr>
          <w:rFonts w:hint="eastAsia" w:ascii="宋体" w:hAnsi="宋体" w:cs="宋体"/>
          <w:b/>
          <w:bCs/>
          <w:color w:val="auto"/>
          <w:sz w:val="24"/>
          <w:szCs w:val="24"/>
          <w:highlight w:val="none"/>
        </w:rPr>
        <w:t>磋商依据</w:t>
      </w:r>
      <w:bookmarkEnd w:id="82"/>
    </w:p>
    <w:p w14:paraId="11725227">
      <w:pPr>
        <w:spacing w:line="460" w:lineRule="exact"/>
        <w:ind w:firstLine="480" w:firstLineChars="200"/>
        <w:rPr>
          <w:rFonts w:ascii="宋体" w:cs="Times New Roman"/>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《政府采购竞争性磋商采购方式管理暂行办法》</w:t>
      </w:r>
    </w:p>
    <w:p w14:paraId="603B0214">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本项目磋商文件</w:t>
      </w:r>
    </w:p>
    <w:p w14:paraId="1CC0F822">
      <w:pPr>
        <w:spacing w:line="460" w:lineRule="exact"/>
        <w:outlineLvl w:val="0"/>
        <w:rPr>
          <w:rFonts w:ascii="宋体" w:cs="Times New Roman"/>
          <w:b/>
          <w:bCs/>
          <w:color w:val="auto"/>
          <w:sz w:val="24"/>
          <w:szCs w:val="24"/>
          <w:highlight w:val="none"/>
        </w:rPr>
      </w:pPr>
      <w:bookmarkStart w:id="83" w:name="_Toc68614003"/>
      <w:r>
        <w:rPr>
          <w:rFonts w:ascii="宋体" w:hAnsi="宋体" w:cs="宋体"/>
          <w:b/>
          <w:bCs/>
          <w:color w:val="auto"/>
          <w:sz w:val="24"/>
          <w:szCs w:val="24"/>
          <w:highlight w:val="none"/>
        </w:rPr>
        <w:t>2.</w:t>
      </w:r>
      <w:r>
        <w:rPr>
          <w:rFonts w:hint="eastAsia" w:ascii="宋体" w:hAnsi="宋体" w:cs="宋体"/>
          <w:b/>
          <w:bCs/>
          <w:color w:val="auto"/>
          <w:sz w:val="24"/>
          <w:szCs w:val="24"/>
          <w:highlight w:val="none"/>
        </w:rPr>
        <w:t>磋商原则</w:t>
      </w:r>
      <w:bookmarkEnd w:id="83"/>
    </w:p>
    <w:p w14:paraId="4B9025C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磋商小组遵循公开、公平、公正、科学合理、竞争择优的原则；</w:t>
      </w:r>
    </w:p>
    <w:p w14:paraId="662D0BC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磋商由磋商小组负责，磋商小组由有关技术、经济等方面的专家</w:t>
      </w:r>
      <w:r>
        <w:rPr>
          <w:rFonts w:ascii="宋体" w:hAnsi="宋体" w:cs="宋体"/>
          <w:color w:val="auto"/>
          <w:sz w:val="24"/>
          <w:szCs w:val="24"/>
          <w:highlight w:val="none"/>
        </w:rPr>
        <w:t>2</w:t>
      </w:r>
      <w:r>
        <w:rPr>
          <w:rFonts w:hint="eastAsia" w:ascii="宋体" w:hAnsi="宋体" w:cs="宋体"/>
          <w:color w:val="auto"/>
          <w:sz w:val="24"/>
          <w:szCs w:val="24"/>
          <w:highlight w:val="none"/>
        </w:rPr>
        <w:t>人和采购人</w:t>
      </w:r>
      <w:r>
        <w:rPr>
          <w:rFonts w:ascii="宋体" w:hAnsi="宋体" w:cs="宋体"/>
          <w:color w:val="auto"/>
          <w:sz w:val="24"/>
          <w:szCs w:val="24"/>
          <w:highlight w:val="none"/>
        </w:rPr>
        <w:t>1</w:t>
      </w:r>
      <w:r>
        <w:rPr>
          <w:rFonts w:hint="eastAsia" w:ascii="宋体" w:hAnsi="宋体" w:cs="宋体"/>
          <w:color w:val="auto"/>
          <w:sz w:val="24"/>
          <w:szCs w:val="24"/>
          <w:highlight w:val="none"/>
        </w:rPr>
        <w:t>人组成。磋商小组由磋商采购单位依据有关规定组建，其中技术、经济专家于磋商前在监管人员的监督下从专家库中随机抽取。有关人员对磋商小组成员名单必须严格保密，与磋商有利害关系的人员不得参加磋商会；</w:t>
      </w:r>
    </w:p>
    <w:p w14:paraId="613888D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磋商小组成员及参加磋商的其他相关人员应严格遵守国家有关保密的法律、法规和规定，并接受有关部门的监督；</w:t>
      </w:r>
    </w:p>
    <w:p w14:paraId="4366D41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磋商小组应按磋商文件规定的程序进行磋商；</w:t>
      </w:r>
    </w:p>
    <w:p w14:paraId="75D2A25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通讯工具管理：在磋商期间，磋商小组每个成员的手机都必须关机。</w:t>
      </w:r>
    </w:p>
    <w:p w14:paraId="05FD5AB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在磋商期间，磋商小组各成员不得随意离开规定的磋商地点，所有资料由采购代理机构工作人员专门保管和发放。磋商小组成员完成评标时应如数、及时归还，任何与本项目有关的资料不得带离磋商现场。</w:t>
      </w:r>
    </w:p>
    <w:p w14:paraId="49B23279">
      <w:pPr>
        <w:spacing w:line="460" w:lineRule="exact"/>
        <w:rPr>
          <w:rFonts w:ascii="宋体" w:cs="Times New Roman"/>
          <w:b/>
          <w:bCs/>
          <w:color w:val="auto"/>
          <w:sz w:val="24"/>
          <w:szCs w:val="24"/>
          <w:highlight w:val="none"/>
        </w:rPr>
      </w:pPr>
      <w:r>
        <w:rPr>
          <w:rFonts w:ascii="宋体" w:hAnsi="宋体" w:cs="宋体"/>
          <w:b/>
          <w:bCs/>
          <w:color w:val="auto"/>
          <w:sz w:val="24"/>
          <w:szCs w:val="24"/>
          <w:highlight w:val="none"/>
        </w:rPr>
        <w:t xml:space="preserve">3. </w:t>
      </w:r>
      <w:r>
        <w:rPr>
          <w:rFonts w:hint="eastAsia" w:ascii="宋体" w:hAnsi="宋体" w:cs="宋体"/>
          <w:b/>
          <w:bCs/>
          <w:color w:val="auto"/>
          <w:sz w:val="24"/>
          <w:szCs w:val="24"/>
          <w:highlight w:val="none"/>
        </w:rPr>
        <w:t>评标方法：综合评分法</w:t>
      </w:r>
    </w:p>
    <w:p w14:paraId="767CAFEA">
      <w:pPr>
        <w:spacing w:line="44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本次磋商采用综合评分法，总分为</w:t>
      </w:r>
      <w:r>
        <w:rPr>
          <w:rFonts w:ascii="宋体" w:hAnsi="宋体" w:cs="宋体"/>
          <w:color w:val="auto"/>
          <w:sz w:val="24"/>
          <w:szCs w:val="24"/>
          <w:highlight w:val="none"/>
        </w:rPr>
        <w:t>100</w:t>
      </w:r>
      <w:r>
        <w:rPr>
          <w:rFonts w:hint="eastAsia" w:ascii="宋体" w:hAnsi="宋体" w:cs="宋体"/>
          <w:color w:val="auto"/>
          <w:sz w:val="24"/>
          <w:szCs w:val="24"/>
          <w:highlight w:val="none"/>
        </w:rPr>
        <w:t>分，其中价格分30分，技术、商务/资信及其他70分。合格供应商的评标得分为各项目汇总得分（在对各评委分值汇总时，以算术平均值为各供应商得分），成交候选资格按评标得分由高到低顺序排列，得分相同的，按磋商报价由低到高顺序排列；得分且磋商报价相同的，按技术得分由高到低顺序排列。以最终得分最高的供应商为第一成交候选供应商。评分过程中采用四舍五入法，并保留小数</w:t>
      </w:r>
      <w:r>
        <w:rPr>
          <w:rFonts w:ascii="宋体" w:hAnsi="宋体" w:cs="宋体"/>
          <w:color w:val="auto"/>
          <w:sz w:val="24"/>
          <w:szCs w:val="24"/>
          <w:highlight w:val="none"/>
        </w:rPr>
        <w:t>2</w:t>
      </w:r>
      <w:r>
        <w:rPr>
          <w:rFonts w:hint="eastAsia" w:ascii="宋体" w:hAnsi="宋体" w:cs="宋体"/>
          <w:color w:val="auto"/>
          <w:sz w:val="24"/>
          <w:szCs w:val="24"/>
          <w:highlight w:val="none"/>
        </w:rPr>
        <w:t>位。</w:t>
      </w:r>
    </w:p>
    <w:p w14:paraId="084C49CC">
      <w:pPr>
        <w:tabs>
          <w:tab w:val="left" w:pos="3870"/>
          <w:tab w:val="left" w:pos="4085"/>
        </w:tabs>
        <w:snapToGrid w:val="0"/>
        <w:spacing w:line="560" w:lineRule="exact"/>
        <w:jc w:val="left"/>
        <w:rPr>
          <w:rFonts w:ascii="宋体" w:cs="Times New Roman"/>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、计算方法：</w:t>
      </w:r>
    </w:p>
    <w:p w14:paraId="1094CC3F">
      <w:pPr>
        <w:spacing w:line="560" w:lineRule="exact"/>
        <w:ind w:firstLine="482" w:firstLineChars="200"/>
        <w:jc w:val="left"/>
        <w:rPr>
          <w:rFonts w:ascii="宋体" w:cs="Times New Roman"/>
          <w:b/>
          <w:bCs/>
          <w:color w:val="auto"/>
          <w:sz w:val="24"/>
          <w:szCs w:val="24"/>
          <w:highlight w:val="none"/>
        </w:rPr>
      </w:pPr>
      <w:r>
        <w:rPr>
          <w:rFonts w:ascii="宋体" w:hAnsi="宋体" w:cs="宋体"/>
          <w:b/>
          <w:bCs/>
          <w:color w:val="auto"/>
          <w:sz w:val="24"/>
          <w:szCs w:val="24"/>
          <w:highlight w:val="none"/>
        </w:rPr>
        <w:t>4.1</w:t>
      </w:r>
      <w:r>
        <w:rPr>
          <w:rFonts w:hint="eastAsia" w:ascii="宋体" w:hAnsi="宋体" w:cs="宋体"/>
          <w:b/>
          <w:bCs/>
          <w:color w:val="auto"/>
          <w:sz w:val="24"/>
          <w:szCs w:val="24"/>
          <w:highlight w:val="none"/>
        </w:rPr>
        <w:t>价格部分：30分</w:t>
      </w:r>
    </w:p>
    <w:p w14:paraId="0EA6A7C6">
      <w:pPr>
        <w:spacing w:line="360" w:lineRule="auto"/>
        <w:ind w:firstLine="480" w:firstLineChars="200"/>
        <w:jc w:val="left"/>
        <w:rPr>
          <w:rFonts w:ascii="宋体" w:cs="Times New Roman"/>
          <w:color w:val="auto"/>
          <w:sz w:val="24"/>
          <w:szCs w:val="24"/>
          <w:highlight w:val="none"/>
        </w:rPr>
      </w:pPr>
      <w:r>
        <w:rPr>
          <w:rFonts w:hint="eastAsia" w:ascii="宋体" w:hAnsi="宋体" w:cs="宋体"/>
          <w:color w:val="auto"/>
          <w:sz w:val="24"/>
          <w:szCs w:val="24"/>
          <w:highlight w:val="none"/>
        </w:rPr>
        <w:t>以有效磋商价格最低的磋商报价为基准价，其价格分为满分。其他供应商的报价分按照下列公式计算：</w:t>
      </w:r>
    </w:p>
    <w:p w14:paraId="27AEEAF1">
      <w:pPr>
        <w:spacing w:line="360" w:lineRule="auto"/>
        <w:ind w:firstLine="480" w:firstLineChars="200"/>
        <w:jc w:val="left"/>
        <w:rPr>
          <w:rFonts w:cs="Times New Roman"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磋商报价得分</w:t>
      </w:r>
      <w:r>
        <w:rPr>
          <w:rFonts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rPr>
        <w:t>（基准价</w:t>
      </w:r>
      <w:r>
        <w:rPr>
          <w:rFonts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rPr>
        <w:t>磋商报价）×3</w:t>
      </w:r>
      <w:r>
        <w:rPr>
          <w:rFonts w:cs="宋体" w:asciiTheme="majorEastAsia" w:hAnsiTheme="majorEastAsia" w:eastAsiaTheme="majorEastAsia"/>
          <w:color w:val="auto"/>
          <w:sz w:val="24"/>
          <w:szCs w:val="24"/>
          <w:highlight w:val="none"/>
        </w:rPr>
        <w:t>0%</w:t>
      </w:r>
      <w:r>
        <w:rPr>
          <w:rFonts w:hint="eastAsia" w:cs="宋体" w:asciiTheme="majorEastAsia" w:hAnsiTheme="majorEastAsia" w:eastAsiaTheme="majorEastAsia"/>
          <w:color w:val="auto"/>
          <w:sz w:val="24"/>
          <w:szCs w:val="24"/>
          <w:highlight w:val="none"/>
        </w:rPr>
        <w:t>×</w:t>
      </w:r>
      <w:r>
        <w:rPr>
          <w:rFonts w:cs="宋体" w:asciiTheme="majorEastAsia" w:hAnsiTheme="majorEastAsia" w:eastAsiaTheme="majorEastAsia"/>
          <w:color w:val="auto"/>
          <w:sz w:val="24"/>
          <w:szCs w:val="24"/>
          <w:highlight w:val="none"/>
        </w:rPr>
        <w:t>100</w:t>
      </w:r>
    </w:p>
    <w:p w14:paraId="67C2042C">
      <w:pPr>
        <w:spacing w:line="360" w:lineRule="auto"/>
        <w:rPr>
          <w:rFonts w:ascii="宋体" w:hAnsi="宋体" w:cs="宋体"/>
          <w:b/>
          <w:bCs/>
          <w:color w:val="auto"/>
          <w:sz w:val="24"/>
          <w:szCs w:val="24"/>
          <w:highlight w:val="none"/>
        </w:rPr>
      </w:pPr>
      <w:r>
        <w:rPr>
          <w:rFonts w:ascii="宋体" w:hAnsi="宋体" w:cs="宋体"/>
          <w:b/>
          <w:bCs/>
          <w:color w:val="auto"/>
          <w:sz w:val="24"/>
          <w:szCs w:val="24"/>
          <w:highlight w:val="none"/>
        </w:rPr>
        <w:t>4.2</w:t>
      </w:r>
      <w:r>
        <w:rPr>
          <w:rFonts w:hint="eastAsia" w:ascii="宋体" w:hAnsi="宋体" w:cs="宋体"/>
          <w:b/>
          <w:bCs/>
          <w:color w:val="auto"/>
          <w:sz w:val="24"/>
          <w:szCs w:val="24"/>
          <w:highlight w:val="none"/>
        </w:rPr>
        <w:t>技术、商务/资信及其他70分</w:t>
      </w:r>
    </w:p>
    <w:tbl>
      <w:tblPr>
        <w:tblStyle w:val="63"/>
        <w:tblW w:w="1020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31"/>
        <w:gridCol w:w="850"/>
      </w:tblGrid>
      <w:tr w14:paraId="2CF1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tcBorders>
              <w:top w:val="single" w:color="auto" w:sz="4" w:space="0"/>
              <w:left w:val="single" w:color="auto" w:sz="4" w:space="0"/>
              <w:bottom w:val="single" w:color="auto" w:sz="4" w:space="0"/>
              <w:right w:val="single" w:color="auto" w:sz="4" w:space="0"/>
            </w:tcBorders>
            <w:vAlign w:val="center"/>
          </w:tcPr>
          <w:p w14:paraId="1328EC0F">
            <w:pPr>
              <w:pStyle w:val="28"/>
              <w:spacing w:before="156" w:beforeLines="50" w:after="156" w:afterLines="50" w:line="360" w:lineRule="auto"/>
              <w:ind w:left="0" w:leftChars="0"/>
              <w:rPr>
                <w:rFonts w:hAnsi="宋体"/>
                <w:color w:val="auto"/>
                <w:sz w:val="24"/>
                <w:highlight w:val="none"/>
              </w:rPr>
            </w:pPr>
            <w:r>
              <w:rPr>
                <w:rFonts w:hint="eastAsia" w:hAnsi="宋体"/>
                <w:color w:val="auto"/>
                <w:sz w:val="24"/>
                <w:highlight w:val="none"/>
              </w:rPr>
              <w:t>评定项目</w:t>
            </w:r>
          </w:p>
        </w:tc>
        <w:tc>
          <w:tcPr>
            <w:tcW w:w="8073" w:type="dxa"/>
            <w:gridSpan w:val="2"/>
            <w:tcBorders>
              <w:top w:val="single" w:color="auto" w:sz="4" w:space="0"/>
              <w:left w:val="single" w:color="auto" w:sz="4" w:space="0"/>
              <w:bottom w:val="single" w:color="auto" w:sz="4" w:space="0"/>
              <w:right w:val="single" w:color="auto" w:sz="4" w:space="0"/>
            </w:tcBorders>
            <w:vAlign w:val="center"/>
          </w:tcPr>
          <w:p w14:paraId="4355641B">
            <w:pPr>
              <w:pStyle w:val="28"/>
              <w:spacing w:before="156" w:beforeLines="50" w:after="156" w:afterLines="50" w:line="360" w:lineRule="auto"/>
              <w:ind w:firstLine="480" w:firstLineChars="200"/>
              <w:rPr>
                <w:rFonts w:hAnsi="宋体"/>
                <w:color w:val="auto"/>
                <w:sz w:val="24"/>
                <w:highlight w:val="none"/>
              </w:rPr>
            </w:pPr>
            <w:r>
              <w:rPr>
                <w:rFonts w:hint="eastAsia" w:hAnsi="宋体"/>
                <w:color w:val="auto"/>
                <w:sz w:val="24"/>
                <w:highlight w:val="none"/>
              </w:rPr>
              <w:t>评定内容</w:t>
            </w:r>
          </w:p>
        </w:tc>
        <w:tc>
          <w:tcPr>
            <w:tcW w:w="850" w:type="dxa"/>
            <w:tcBorders>
              <w:top w:val="single" w:color="auto" w:sz="4" w:space="0"/>
              <w:left w:val="single" w:color="auto" w:sz="4" w:space="0"/>
              <w:bottom w:val="single" w:color="auto" w:sz="4" w:space="0"/>
              <w:right w:val="single" w:color="auto" w:sz="4" w:space="0"/>
            </w:tcBorders>
            <w:vAlign w:val="center"/>
          </w:tcPr>
          <w:p w14:paraId="743B0A05">
            <w:pPr>
              <w:pStyle w:val="28"/>
              <w:spacing w:before="156" w:beforeLines="50" w:after="156" w:afterLines="50" w:line="360" w:lineRule="auto"/>
              <w:ind w:left="0" w:leftChars="0"/>
              <w:rPr>
                <w:rFonts w:hAnsi="宋体"/>
                <w:color w:val="auto"/>
                <w:sz w:val="24"/>
                <w:highlight w:val="none"/>
              </w:rPr>
            </w:pPr>
            <w:r>
              <w:rPr>
                <w:rFonts w:hint="eastAsia" w:hAnsi="宋体"/>
                <w:color w:val="auto"/>
                <w:sz w:val="24"/>
                <w:highlight w:val="none"/>
              </w:rPr>
              <w:t>分值范围</w:t>
            </w:r>
          </w:p>
        </w:tc>
      </w:tr>
      <w:tr w14:paraId="4F8C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0" w:type="dxa"/>
            <w:gridSpan w:val="3"/>
            <w:tcBorders>
              <w:top w:val="single" w:color="auto" w:sz="4" w:space="0"/>
              <w:left w:val="single" w:color="auto" w:sz="4" w:space="0"/>
              <w:bottom w:val="single" w:color="auto" w:sz="4" w:space="0"/>
              <w:right w:val="single" w:color="auto" w:sz="4" w:space="0"/>
            </w:tcBorders>
            <w:vAlign w:val="center"/>
          </w:tcPr>
          <w:p w14:paraId="3F626EF5">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技术部分</w:t>
            </w:r>
          </w:p>
        </w:tc>
        <w:tc>
          <w:tcPr>
            <w:tcW w:w="850" w:type="dxa"/>
            <w:tcBorders>
              <w:top w:val="single" w:color="auto" w:sz="4" w:space="0"/>
              <w:left w:val="single" w:color="auto" w:sz="4" w:space="0"/>
              <w:bottom w:val="single" w:color="auto" w:sz="4" w:space="0"/>
              <w:right w:val="single" w:color="auto" w:sz="4" w:space="0"/>
            </w:tcBorders>
            <w:vAlign w:val="center"/>
          </w:tcPr>
          <w:p w14:paraId="2A14DD8A">
            <w:pPr>
              <w:widowControl/>
              <w:spacing w:line="44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50分</w:t>
            </w:r>
          </w:p>
        </w:tc>
      </w:tr>
      <w:tr w14:paraId="6E5E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tcBorders>
              <w:top w:val="single" w:color="auto" w:sz="4" w:space="0"/>
              <w:left w:val="single" w:color="auto" w:sz="4" w:space="0"/>
              <w:bottom w:val="single" w:color="auto" w:sz="4" w:space="0"/>
              <w:right w:val="single" w:color="auto" w:sz="4" w:space="0"/>
            </w:tcBorders>
            <w:vAlign w:val="center"/>
          </w:tcPr>
          <w:p w14:paraId="56957A66">
            <w:pPr>
              <w:pStyle w:val="52"/>
              <w:spacing w:line="380" w:lineRule="exact"/>
              <w:ind w:left="0" w:leftChars="0"/>
              <w:rPr>
                <w:rFonts w:ascii="宋体"/>
                <w:b/>
                <w:bCs/>
                <w:color w:val="auto"/>
                <w:highlight w:val="none"/>
              </w:rPr>
            </w:pPr>
            <w:bookmarkStart w:id="84" w:name="OLE_LINK9"/>
            <w:bookmarkStart w:id="85" w:name="OLE_LINK4"/>
            <w:r>
              <w:rPr>
                <w:rFonts w:hint="eastAsia" w:hAnsi="宋体"/>
                <w:bCs/>
                <w:color w:val="auto"/>
                <w:sz w:val="24"/>
                <w:szCs w:val="21"/>
                <w:highlight w:val="none"/>
              </w:rPr>
              <w:t>项目理解</w:t>
            </w:r>
            <w:bookmarkEnd w:id="84"/>
            <w:bookmarkEnd w:id="85"/>
          </w:p>
        </w:tc>
        <w:tc>
          <w:tcPr>
            <w:tcW w:w="7931" w:type="dxa"/>
            <w:tcBorders>
              <w:top w:val="single" w:color="auto" w:sz="4" w:space="0"/>
              <w:left w:val="single" w:color="auto" w:sz="4" w:space="0"/>
              <w:bottom w:val="single" w:color="auto" w:sz="4" w:space="0"/>
              <w:right w:val="single" w:color="auto" w:sz="4" w:space="0"/>
            </w:tcBorders>
            <w:vAlign w:val="center"/>
          </w:tcPr>
          <w:p w14:paraId="360190C0">
            <w:pPr>
              <w:pStyle w:val="28"/>
              <w:spacing w:before="156" w:beforeLines="50" w:after="156" w:afterLines="50" w:line="360" w:lineRule="auto"/>
              <w:ind w:left="0" w:leftChars="0"/>
              <w:jc w:val="left"/>
              <w:rPr>
                <w:rFonts w:hAnsi="宋体"/>
                <w:bCs/>
                <w:color w:val="auto"/>
                <w:sz w:val="24"/>
                <w:highlight w:val="none"/>
              </w:rPr>
            </w:pPr>
            <w:r>
              <w:rPr>
                <w:rFonts w:hint="eastAsia" w:ascii="宋体" w:hAnsi="宋体" w:cs="宋体"/>
                <w:color w:val="auto"/>
                <w:sz w:val="24"/>
                <w:highlight w:val="none"/>
                <w:lang w:val="zh-CN"/>
              </w:rPr>
              <w:t>1. 供应商对采购项目背景及条件的理解</w:t>
            </w:r>
            <w:r>
              <w:rPr>
                <w:rFonts w:hint="eastAsia" w:asciiTheme="minorEastAsia" w:hAnsiTheme="minorEastAsia" w:eastAsiaTheme="minorEastAsia"/>
                <w:color w:val="auto"/>
                <w:sz w:val="24"/>
                <w:highlight w:val="none"/>
              </w:rPr>
              <w:t>全面、科学、合理，</w:t>
            </w:r>
            <w:r>
              <w:rPr>
                <w:rFonts w:hint="eastAsia" w:hAnsi="宋体"/>
                <w:bCs/>
                <w:color w:val="auto"/>
                <w:sz w:val="24"/>
                <w:highlight w:val="none"/>
              </w:rPr>
              <w:t>有针对性解释说明：</w:t>
            </w:r>
            <w:r>
              <w:rPr>
                <w:rFonts w:hAnsi="宋体"/>
                <w:bCs/>
                <w:color w:val="auto"/>
                <w:sz w:val="24"/>
                <w:highlight w:val="none"/>
              </w:rPr>
              <w:t>5</w:t>
            </w:r>
            <w:r>
              <w:rPr>
                <w:rFonts w:hint="eastAsia" w:hAnsi="宋体"/>
                <w:bCs/>
                <w:color w:val="auto"/>
                <w:sz w:val="24"/>
                <w:highlight w:val="none"/>
              </w:rPr>
              <w:t>分；提供的方案基本全面，有针对性解释说明：</w:t>
            </w:r>
            <w:r>
              <w:rPr>
                <w:rFonts w:hAnsi="宋体"/>
                <w:bCs/>
                <w:color w:val="auto"/>
                <w:sz w:val="24"/>
                <w:highlight w:val="none"/>
              </w:rPr>
              <w:t>4</w:t>
            </w:r>
            <w:r>
              <w:rPr>
                <w:rFonts w:hint="eastAsia" w:hAnsi="宋体"/>
                <w:bCs/>
                <w:color w:val="auto"/>
                <w:sz w:val="24"/>
                <w:highlight w:val="none"/>
              </w:rPr>
              <w:t>分；提供方案的不够全面，有针对性有解释说明</w:t>
            </w:r>
            <w:r>
              <w:rPr>
                <w:rFonts w:hAnsi="宋体"/>
                <w:bCs/>
                <w:color w:val="auto"/>
                <w:sz w:val="24"/>
                <w:highlight w:val="none"/>
              </w:rPr>
              <w:t>3</w:t>
            </w:r>
            <w:r>
              <w:rPr>
                <w:rFonts w:hint="eastAsia" w:hAnsi="宋体"/>
                <w:bCs/>
                <w:color w:val="auto"/>
                <w:sz w:val="24"/>
                <w:highlight w:val="none"/>
              </w:rPr>
              <w:t>分；提供的方案不全面，有针对性解释说明：</w:t>
            </w:r>
            <w:r>
              <w:rPr>
                <w:rFonts w:hAnsi="宋体"/>
                <w:bCs/>
                <w:color w:val="auto"/>
                <w:sz w:val="24"/>
                <w:highlight w:val="none"/>
              </w:rPr>
              <w:t>2</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p>
          <w:p w14:paraId="630F676A">
            <w:pPr>
              <w:pStyle w:val="28"/>
              <w:spacing w:before="156" w:beforeLines="50" w:after="156" w:afterLines="50" w:line="360" w:lineRule="auto"/>
              <w:ind w:left="0" w:leftChars="0"/>
              <w:jc w:val="left"/>
              <w:rPr>
                <w:rFonts w:hAnsi="宋体"/>
                <w:bCs/>
                <w:color w:val="auto"/>
                <w:sz w:val="24"/>
                <w:highlight w:val="none"/>
              </w:rPr>
            </w:pPr>
            <w:r>
              <w:rPr>
                <w:rFonts w:hint="eastAsia" w:ascii="宋体" w:hAnsi="宋体" w:cs="宋体"/>
                <w:color w:val="auto"/>
                <w:sz w:val="24"/>
                <w:highlight w:val="none"/>
                <w:lang w:val="zh-CN"/>
              </w:rPr>
              <w:t>2.供应商对项目</w:t>
            </w:r>
            <w:r>
              <w:rPr>
                <w:rFonts w:hint="eastAsia" w:ascii="宋体" w:hAnsi="宋体" w:cs="宋体"/>
                <w:color w:val="auto"/>
                <w:sz w:val="24"/>
                <w:highlight w:val="none"/>
              </w:rPr>
              <w:t>需求的理解清晰明了，</w:t>
            </w:r>
            <w:r>
              <w:rPr>
                <w:rFonts w:hint="eastAsia" w:asciiTheme="minorEastAsia" w:hAnsiTheme="minorEastAsia" w:eastAsiaTheme="minorEastAsia"/>
                <w:color w:val="auto"/>
                <w:sz w:val="24"/>
                <w:highlight w:val="none"/>
              </w:rPr>
              <w:t>采购需求的理解、现状等全面、科学、合理，</w:t>
            </w:r>
            <w:r>
              <w:rPr>
                <w:rFonts w:hint="eastAsia" w:hAnsi="宋体"/>
                <w:bCs/>
                <w:color w:val="auto"/>
                <w:sz w:val="24"/>
                <w:highlight w:val="none"/>
              </w:rPr>
              <w:t>有针对性解释说明：</w:t>
            </w:r>
            <w:r>
              <w:rPr>
                <w:rFonts w:hAnsi="宋体"/>
                <w:bCs/>
                <w:color w:val="auto"/>
                <w:sz w:val="24"/>
                <w:highlight w:val="none"/>
              </w:rPr>
              <w:t>5</w:t>
            </w:r>
            <w:r>
              <w:rPr>
                <w:rFonts w:hint="eastAsia" w:hAnsi="宋体"/>
                <w:bCs/>
                <w:color w:val="auto"/>
                <w:sz w:val="24"/>
                <w:highlight w:val="none"/>
              </w:rPr>
              <w:t>分；提供的方案基本全面，有针对性解释说明：</w:t>
            </w:r>
            <w:r>
              <w:rPr>
                <w:rFonts w:hAnsi="宋体"/>
                <w:bCs/>
                <w:color w:val="auto"/>
                <w:sz w:val="24"/>
                <w:highlight w:val="none"/>
              </w:rPr>
              <w:t>4</w:t>
            </w:r>
            <w:r>
              <w:rPr>
                <w:rFonts w:hint="eastAsia" w:hAnsi="宋体"/>
                <w:bCs/>
                <w:color w:val="auto"/>
                <w:sz w:val="24"/>
                <w:highlight w:val="none"/>
              </w:rPr>
              <w:t>分；提供方案的不够全面，有针对性有解释说明</w:t>
            </w:r>
            <w:r>
              <w:rPr>
                <w:rFonts w:hAnsi="宋体"/>
                <w:bCs/>
                <w:color w:val="auto"/>
                <w:sz w:val="24"/>
                <w:highlight w:val="none"/>
              </w:rPr>
              <w:t>3</w:t>
            </w:r>
            <w:r>
              <w:rPr>
                <w:rFonts w:hint="eastAsia" w:hAnsi="宋体"/>
                <w:bCs/>
                <w:color w:val="auto"/>
                <w:sz w:val="24"/>
                <w:highlight w:val="none"/>
              </w:rPr>
              <w:t>分；提供的方案不全面，有针对性解释说明：</w:t>
            </w:r>
            <w:r>
              <w:rPr>
                <w:rFonts w:hAnsi="宋体"/>
                <w:bCs/>
                <w:color w:val="auto"/>
                <w:sz w:val="24"/>
                <w:highlight w:val="none"/>
              </w:rPr>
              <w:t>2</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4B1AACBC">
            <w:pPr>
              <w:widowControl/>
              <w:spacing w:line="44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10分</w:t>
            </w:r>
          </w:p>
        </w:tc>
      </w:tr>
      <w:tr w14:paraId="1A34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tcBorders>
              <w:top w:val="single" w:color="auto" w:sz="4" w:space="0"/>
              <w:left w:val="single" w:color="auto" w:sz="4" w:space="0"/>
              <w:bottom w:val="single" w:color="auto" w:sz="4" w:space="0"/>
              <w:right w:val="single" w:color="auto" w:sz="4" w:space="0"/>
            </w:tcBorders>
            <w:vAlign w:val="center"/>
          </w:tcPr>
          <w:p w14:paraId="7E40B7D5">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实施方案</w:t>
            </w:r>
          </w:p>
        </w:tc>
        <w:tc>
          <w:tcPr>
            <w:tcW w:w="7931" w:type="dxa"/>
            <w:tcBorders>
              <w:top w:val="single" w:color="auto" w:sz="4" w:space="0"/>
              <w:left w:val="single" w:color="auto" w:sz="4" w:space="0"/>
              <w:bottom w:val="single" w:color="auto" w:sz="4" w:space="0"/>
              <w:right w:val="single" w:color="auto" w:sz="4" w:space="0"/>
            </w:tcBorders>
            <w:vAlign w:val="center"/>
          </w:tcPr>
          <w:p w14:paraId="73E1385C">
            <w:pPr>
              <w:pStyle w:val="28"/>
              <w:spacing w:before="156" w:beforeLines="50" w:after="156" w:afterLines="50" w:line="360" w:lineRule="auto"/>
              <w:ind w:left="0" w:leftChars="0"/>
              <w:jc w:val="left"/>
              <w:rPr>
                <w:rFonts w:hAnsi="宋体"/>
                <w:bCs/>
                <w:color w:val="auto"/>
                <w:sz w:val="24"/>
                <w:highlight w:val="none"/>
              </w:rPr>
            </w:pPr>
            <w:r>
              <w:rPr>
                <w:rFonts w:hAnsi="宋体"/>
                <w:bCs/>
                <w:color w:val="auto"/>
                <w:sz w:val="24"/>
                <w:highlight w:val="none"/>
              </w:rPr>
              <w:t>1.</w:t>
            </w:r>
            <w:r>
              <w:rPr>
                <w:rFonts w:hint="eastAsia" w:hAnsi="宋体"/>
                <w:bCs/>
                <w:color w:val="auto"/>
                <w:sz w:val="24"/>
                <w:highlight w:val="none"/>
              </w:rPr>
              <w:t>项目整体实施方案（组织机构、工作程序和步骤、管理和协调方法、关键步骤的思路和要点）技术先进、经济合理、实用可靠，</w:t>
            </w:r>
            <w:bookmarkStart w:id="86" w:name="OLE_LINK2"/>
            <w:bookmarkStart w:id="87" w:name="OLE_LINK3"/>
            <w:r>
              <w:rPr>
                <w:rFonts w:hint="eastAsia" w:hAnsi="宋体"/>
                <w:bCs/>
                <w:color w:val="auto"/>
                <w:sz w:val="24"/>
                <w:highlight w:val="none"/>
              </w:rPr>
              <w:t>有针对性解释说明：</w:t>
            </w:r>
            <w:bookmarkStart w:id="88" w:name="OLE_LINK15"/>
            <w:r>
              <w:rPr>
                <w:rFonts w:hAnsi="宋体"/>
                <w:bCs/>
                <w:color w:val="auto"/>
                <w:sz w:val="24"/>
                <w:highlight w:val="none"/>
              </w:rPr>
              <w:t>5</w:t>
            </w:r>
            <w:r>
              <w:rPr>
                <w:rFonts w:hint="eastAsia" w:hAnsi="宋体"/>
                <w:bCs/>
                <w:color w:val="auto"/>
                <w:sz w:val="24"/>
                <w:highlight w:val="none"/>
              </w:rPr>
              <w:t>分；</w:t>
            </w:r>
            <w:bookmarkEnd w:id="88"/>
            <w:r>
              <w:rPr>
                <w:rFonts w:hint="eastAsia" w:hAnsi="宋体"/>
                <w:bCs/>
                <w:color w:val="auto"/>
                <w:sz w:val="24"/>
                <w:highlight w:val="none"/>
              </w:rPr>
              <w:t>提供的方案基本全面，有针对性解释说明：</w:t>
            </w:r>
            <w:r>
              <w:rPr>
                <w:rFonts w:hAnsi="宋体"/>
                <w:bCs/>
                <w:color w:val="auto"/>
                <w:sz w:val="24"/>
                <w:highlight w:val="none"/>
              </w:rPr>
              <w:t>4</w:t>
            </w:r>
            <w:r>
              <w:rPr>
                <w:rFonts w:hint="eastAsia" w:hAnsi="宋体"/>
                <w:bCs/>
                <w:color w:val="auto"/>
                <w:sz w:val="24"/>
                <w:highlight w:val="none"/>
              </w:rPr>
              <w:t>分；提供方案的不够全面，有针对性有解释说明</w:t>
            </w:r>
            <w:r>
              <w:rPr>
                <w:rFonts w:hAnsi="宋体"/>
                <w:bCs/>
                <w:color w:val="auto"/>
                <w:sz w:val="24"/>
                <w:highlight w:val="none"/>
              </w:rPr>
              <w:t>3</w:t>
            </w:r>
            <w:r>
              <w:rPr>
                <w:rFonts w:hint="eastAsia" w:hAnsi="宋体"/>
                <w:bCs/>
                <w:color w:val="auto"/>
                <w:sz w:val="24"/>
                <w:highlight w:val="none"/>
              </w:rPr>
              <w:t>分；提供的方案不全面，有针对性解释说明：</w:t>
            </w:r>
            <w:r>
              <w:rPr>
                <w:rFonts w:hAnsi="宋体"/>
                <w:bCs/>
                <w:color w:val="auto"/>
                <w:sz w:val="24"/>
                <w:highlight w:val="none"/>
              </w:rPr>
              <w:t>2</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p>
          <w:bookmarkEnd w:id="86"/>
          <w:bookmarkEnd w:id="87"/>
          <w:p w14:paraId="3D55612C">
            <w:pPr>
              <w:pStyle w:val="28"/>
              <w:spacing w:before="156" w:beforeLines="50" w:after="156" w:afterLines="50" w:line="360" w:lineRule="auto"/>
              <w:ind w:left="0" w:leftChars="0"/>
              <w:jc w:val="left"/>
              <w:rPr>
                <w:rFonts w:hAnsi="宋体"/>
                <w:bCs/>
                <w:color w:val="auto"/>
                <w:sz w:val="24"/>
                <w:highlight w:val="none"/>
              </w:rPr>
            </w:pPr>
            <w:r>
              <w:rPr>
                <w:rFonts w:hAnsi="宋体"/>
                <w:bCs/>
                <w:color w:val="auto"/>
                <w:sz w:val="24"/>
                <w:highlight w:val="none"/>
              </w:rPr>
              <w:t>2.</w:t>
            </w:r>
            <w:r>
              <w:rPr>
                <w:rFonts w:hint="eastAsia" w:ascii="宋体" w:hAnsi="宋体" w:cs="宋体"/>
                <w:color w:val="auto"/>
                <w:sz w:val="24"/>
                <w:highlight w:val="none"/>
              </w:rPr>
              <w:t>针对本项目重点问题和难点分析并提出解决方案，方案科学、合理、切实可行，</w:t>
            </w:r>
            <w:r>
              <w:rPr>
                <w:rFonts w:hint="eastAsia" w:hAnsi="宋体"/>
                <w:bCs/>
                <w:color w:val="auto"/>
                <w:sz w:val="24"/>
                <w:highlight w:val="none"/>
              </w:rPr>
              <w:t>有针对性解释说明：</w:t>
            </w:r>
            <w:r>
              <w:rPr>
                <w:rFonts w:hAnsi="宋体"/>
                <w:bCs/>
                <w:color w:val="auto"/>
                <w:sz w:val="24"/>
                <w:highlight w:val="none"/>
              </w:rPr>
              <w:t>5</w:t>
            </w:r>
            <w:r>
              <w:rPr>
                <w:rFonts w:hint="eastAsia" w:hAnsi="宋体"/>
                <w:bCs/>
                <w:color w:val="auto"/>
                <w:sz w:val="24"/>
                <w:highlight w:val="none"/>
              </w:rPr>
              <w:t>分；提供的方案基本全面，有针对性解释说明：</w:t>
            </w:r>
            <w:r>
              <w:rPr>
                <w:rFonts w:hAnsi="宋体"/>
                <w:bCs/>
                <w:color w:val="auto"/>
                <w:sz w:val="24"/>
                <w:highlight w:val="none"/>
              </w:rPr>
              <w:t>4</w:t>
            </w:r>
            <w:r>
              <w:rPr>
                <w:rFonts w:hint="eastAsia" w:hAnsi="宋体"/>
                <w:bCs/>
                <w:color w:val="auto"/>
                <w:sz w:val="24"/>
                <w:highlight w:val="none"/>
              </w:rPr>
              <w:t>分；提供方案的不够全面，有针对性有解释说明</w:t>
            </w:r>
            <w:r>
              <w:rPr>
                <w:rFonts w:hAnsi="宋体"/>
                <w:bCs/>
                <w:color w:val="auto"/>
                <w:sz w:val="24"/>
                <w:highlight w:val="none"/>
              </w:rPr>
              <w:t>3</w:t>
            </w:r>
            <w:r>
              <w:rPr>
                <w:rFonts w:hint="eastAsia" w:hAnsi="宋体"/>
                <w:bCs/>
                <w:color w:val="auto"/>
                <w:sz w:val="24"/>
                <w:highlight w:val="none"/>
              </w:rPr>
              <w:t>分；提供的方案不全面，有针对性解释说明：</w:t>
            </w:r>
            <w:r>
              <w:rPr>
                <w:rFonts w:hAnsi="宋体"/>
                <w:bCs/>
                <w:color w:val="auto"/>
                <w:sz w:val="24"/>
                <w:highlight w:val="none"/>
              </w:rPr>
              <w:t>2</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089D502D">
            <w:pPr>
              <w:widowControl/>
              <w:spacing w:line="440" w:lineRule="exact"/>
              <w:jc w:val="center"/>
              <w:rPr>
                <w:rFonts w:ascii="新宋体" w:hAnsi="新宋体" w:eastAsia="新宋体" w:cs="新宋体"/>
                <w:color w:val="auto"/>
                <w:sz w:val="24"/>
                <w:highlight w:val="none"/>
              </w:rPr>
            </w:pPr>
            <w:bookmarkStart w:id="89" w:name="OLE_LINK52"/>
            <w:bookmarkStart w:id="90" w:name="OLE_LINK54"/>
            <w:bookmarkStart w:id="91" w:name="OLE_LINK55"/>
            <w:bookmarkStart w:id="92" w:name="OLE_LINK53"/>
            <w:r>
              <w:rPr>
                <w:rFonts w:hint="eastAsia" w:ascii="新宋体" w:hAnsi="新宋体" w:eastAsia="新宋体" w:cs="新宋体"/>
                <w:color w:val="auto"/>
                <w:sz w:val="24"/>
                <w:highlight w:val="none"/>
              </w:rPr>
              <w:t>10分</w:t>
            </w:r>
            <w:bookmarkEnd w:id="89"/>
            <w:bookmarkEnd w:id="90"/>
            <w:bookmarkEnd w:id="91"/>
            <w:bookmarkEnd w:id="92"/>
          </w:p>
        </w:tc>
      </w:tr>
      <w:tr w14:paraId="3E90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tcBorders>
              <w:top w:val="single" w:color="auto" w:sz="4" w:space="0"/>
              <w:left w:val="single" w:color="auto" w:sz="4" w:space="0"/>
              <w:bottom w:val="single" w:color="auto" w:sz="4" w:space="0"/>
              <w:right w:val="single" w:color="auto" w:sz="4" w:space="0"/>
            </w:tcBorders>
            <w:vAlign w:val="center"/>
          </w:tcPr>
          <w:p w14:paraId="7B5BF7E5">
            <w:pPr>
              <w:pStyle w:val="28"/>
              <w:spacing w:before="156" w:beforeLines="50" w:after="156" w:afterLines="50" w:line="360" w:lineRule="auto"/>
              <w:ind w:left="0" w:leftChars="0"/>
              <w:jc w:val="left"/>
              <w:rPr>
                <w:rFonts w:hAnsi="宋体"/>
                <w:bCs/>
                <w:color w:val="auto"/>
                <w:sz w:val="24"/>
                <w:highlight w:val="none"/>
              </w:rPr>
            </w:pPr>
            <w:bookmarkStart w:id="93" w:name="OLE_LINK85"/>
            <w:bookmarkStart w:id="94" w:name="OLE_LINK84"/>
            <w:r>
              <w:rPr>
                <w:rFonts w:hint="eastAsia" w:hAnsi="宋体"/>
                <w:bCs/>
                <w:color w:val="auto"/>
                <w:sz w:val="24"/>
                <w:highlight w:val="none"/>
              </w:rPr>
              <w:t>质量保证</w:t>
            </w:r>
            <w:bookmarkStart w:id="95" w:name="OLE_LINK75"/>
            <w:bookmarkStart w:id="96" w:name="OLE_LINK72"/>
            <w:r>
              <w:rPr>
                <w:rFonts w:hint="eastAsia" w:hAnsi="宋体"/>
                <w:bCs/>
                <w:color w:val="auto"/>
                <w:sz w:val="24"/>
                <w:highlight w:val="none"/>
              </w:rPr>
              <w:t>措施</w:t>
            </w:r>
            <w:bookmarkEnd w:id="93"/>
            <w:bookmarkEnd w:id="94"/>
            <w:bookmarkEnd w:id="95"/>
            <w:bookmarkEnd w:id="96"/>
          </w:p>
        </w:tc>
        <w:tc>
          <w:tcPr>
            <w:tcW w:w="7931" w:type="dxa"/>
            <w:tcBorders>
              <w:top w:val="single" w:color="auto" w:sz="4" w:space="0"/>
              <w:left w:val="single" w:color="auto" w:sz="4" w:space="0"/>
              <w:bottom w:val="single" w:color="auto" w:sz="4" w:space="0"/>
              <w:right w:val="single" w:color="auto" w:sz="4" w:space="0"/>
            </w:tcBorders>
            <w:vAlign w:val="center"/>
          </w:tcPr>
          <w:p w14:paraId="4B94FE11">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服务质量目标清晰、完整，有明确的服务质量保证、服务保障措施，措施合理可行、执行有保障、内容齐全，有针对性解释说明：</w:t>
            </w:r>
            <w:r>
              <w:rPr>
                <w:rFonts w:hAnsi="宋体"/>
                <w:bCs/>
                <w:color w:val="auto"/>
                <w:sz w:val="24"/>
                <w:highlight w:val="none"/>
              </w:rPr>
              <w:t>5</w:t>
            </w:r>
            <w:r>
              <w:rPr>
                <w:rFonts w:hint="eastAsia" w:hAnsi="宋体"/>
                <w:bCs/>
                <w:color w:val="auto"/>
                <w:sz w:val="24"/>
                <w:highlight w:val="none"/>
              </w:rPr>
              <w:t>分；提供的</w:t>
            </w:r>
            <w:r>
              <w:rPr>
                <w:rFonts w:hint="eastAsia" w:asciiTheme="majorEastAsia" w:hAnsiTheme="majorEastAsia" w:eastAsiaTheme="majorEastAsia" w:cstheme="majorEastAsia"/>
                <w:color w:val="auto"/>
                <w:sz w:val="24"/>
                <w:highlight w:val="none"/>
              </w:rPr>
              <w:t>措施</w:t>
            </w:r>
            <w:r>
              <w:rPr>
                <w:rFonts w:hint="eastAsia" w:hAnsi="宋体"/>
                <w:bCs/>
                <w:color w:val="auto"/>
                <w:sz w:val="24"/>
                <w:highlight w:val="none"/>
              </w:rPr>
              <w:t>基本全面，有针对性解释说明：</w:t>
            </w:r>
            <w:r>
              <w:rPr>
                <w:rFonts w:hAnsi="宋体"/>
                <w:bCs/>
                <w:color w:val="auto"/>
                <w:sz w:val="24"/>
                <w:highlight w:val="none"/>
              </w:rPr>
              <w:t>4</w:t>
            </w:r>
            <w:r>
              <w:rPr>
                <w:rFonts w:hint="eastAsia" w:hAnsi="宋体"/>
                <w:bCs/>
                <w:color w:val="auto"/>
                <w:sz w:val="24"/>
                <w:highlight w:val="none"/>
              </w:rPr>
              <w:t>分；提供</w:t>
            </w:r>
            <w:r>
              <w:rPr>
                <w:rFonts w:hint="eastAsia" w:asciiTheme="majorEastAsia" w:hAnsiTheme="majorEastAsia" w:eastAsiaTheme="majorEastAsia" w:cstheme="majorEastAsia"/>
                <w:color w:val="auto"/>
                <w:sz w:val="24"/>
                <w:highlight w:val="none"/>
              </w:rPr>
              <w:t>措施</w:t>
            </w:r>
            <w:r>
              <w:rPr>
                <w:rFonts w:hint="eastAsia" w:hAnsi="宋体"/>
                <w:bCs/>
                <w:color w:val="auto"/>
                <w:sz w:val="24"/>
                <w:highlight w:val="none"/>
              </w:rPr>
              <w:t>的不够全面，有针对性有解释说明</w:t>
            </w:r>
            <w:r>
              <w:rPr>
                <w:rFonts w:hAnsi="宋体"/>
                <w:bCs/>
                <w:color w:val="auto"/>
                <w:sz w:val="24"/>
                <w:highlight w:val="none"/>
              </w:rPr>
              <w:t>3</w:t>
            </w:r>
            <w:r>
              <w:rPr>
                <w:rFonts w:hint="eastAsia" w:hAnsi="宋体"/>
                <w:bCs/>
                <w:color w:val="auto"/>
                <w:sz w:val="24"/>
                <w:highlight w:val="none"/>
              </w:rPr>
              <w:t>分；提供的</w:t>
            </w:r>
            <w:r>
              <w:rPr>
                <w:rFonts w:hint="eastAsia" w:asciiTheme="majorEastAsia" w:hAnsiTheme="majorEastAsia" w:eastAsiaTheme="majorEastAsia" w:cstheme="majorEastAsia"/>
                <w:color w:val="auto"/>
                <w:sz w:val="24"/>
                <w:highlight w:val="none"/>
              </w:rPr>
              <w:t>措施</w:t>
            </w:r>
            <w:r>
              <w:rPr>
                <w:rFonts w:hint="eastAsia" w:hAnsi="宋体"/>
                <w:bCs/>
                <w:color w:val="auto"/>
                <w:sz w:val="24"/>
                <w:highlight w:val="none"/>
              </w:rPr>
              <w:t>不全面，有针对性解释说明：</w:t>
            </w:r>
            <w:r>
              <w:rPr>
                <w:rFonts w:hAnsi="宋体"/>
                <w:bCs/>
                <w:color w:val="auto"/>
                <w:sz w:val="24"/>
                <w:highlight w:val="none"/>
              </w:rPr>
              <w:t>2</w:t>
            </w:r>
            <w:r>
              <w:rPr>
                <w:rFonts w:hint="eastAsia" w:hAnsi="宋体"/>
                <w:bCs/>
                <w:color w:val="auto"/>
                <w:sz w:val="24"/>
                <w:highlight w:val="none"/>
              </w:rPr>
              <w:t>分；提供的</w:t>
            </w:r>
            <w:r>
              <w:rPr>
                <w:rFonts w:hint="eastAsia" w:asciiTheme="majorEastAsia" w:hAnsiTheme="majorEastAsia" w:eastAsiaTheme="majorEastAsia" w:cstheme="majorEastAsia"/>
                <w:color w:val="auto"/>
                <w:sz w:val="24"/>
                <w:highlight w:val="none"/>
              </w:rPr>
              <w:t>措施</w:t>
            </w:r>
            <w:r>
              <w:rPr>
                <w:rFonts w:hint="eastAsia" w:hAnsi="宋体"/>
                <w:bCs/>
                <w:color w:val="auto"/>
                <w:sz w:val="24"/>
                <w:highlight w:val="none"/>
              </w:rPr>
              <w:t>不全面，没有针对性有解释说明：</w:t>
            </w:r>
            <w:r>
              <w:rPr>
                <w:rFonts w:hAnsi="宋体"/>
                <w:bCs/>
                <w:color w:val="auto"/>
                <w:sz w:val="24"/>
                <w:highlight w:val="none"/>
              </w:rPr>
              <w:t>1</w:t>
            </w:r>
            <w:r>
              <w:rPr>
                <w:rFonts w:hint="eastAsia" w:hAnsi="宋体"/>
                <w:bCs/>
                <w:color w:val="auto"/>
                <w:sz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3DA95B7D">
            <w:pPr>
              <w:widowControl/>
              <w:spacing w:line="440" w:lineRule="exact"/>
              <w:jc w:val="center"/>
              <w:rPr>
                <w:rFonts w:ascii="新宋体" w:hAnsi="新宋体" w:eastAsia="新宋体" w:cs="新宋体"/>
                <w:color w:val="auto"/>
                <w:sz w:val="24"/>
                <w:highlight w:val="none"/>
              </w:rPr>
            </w:pPr>
            <w:bookmarkStart w:id="97" w:name="OLE_LINK51"/>
            <w:bookmarkStart w:id="98" w:name="OLE_LINK50"/>
            <w:r>
              <w:rPr>
                <w:rFonts w:hint="eastAsia" w:ascii="新宋体" w:hAnsi="新宋体" w:eastAsia="新宋体" w:cs="新宋体"/>
                <w:color w:val="auto"/>
                <w:sz w:val="24"/>
                <w:highlight w:val="none"/>
              </w:rPr>
              <w:t>5分</w:t>
            </w:r>
            <w:bookmarkEnd w:id="97"/>
            <w:bookmarkEnd w:id="98"/>
          </w:p>
        </w:tc>
      </w:tr>
      <w:tr w14:paraId="2733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9" w:type="dxa"/>
            <w:gridSpan w:val="2"/>
            <w:tcBorders>
              <w:top w:val="single" w:color="auto" w:sz="4" w:space="0"/>
              <w:left w:val="single" w:color="auto" w:sz="4" w:space="0"/>
              <w:bottom w:val="single" w:color="auto" w:sz="4" w:space="0"/>
              <w:right w:val="single" w:color="auto" w:sz="4" w:space="0"/>
            </w:tcBorders>
            <w:vAlign w:val="center"/>
          </w:tcPr>
          <w:p w14:paraId="473350AC">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项目进度方案</w:t>
            </w:r>
          </w:p>
        </w:tc>
        <w:tc>
          <w:tcPr>
            <w:tcW w:w="7931" w:type="dxa"/>
            <w:tcBorders>
              <w:top w:val="single" w:color="auto" w:sz="4" w:space="0"/>
              <w:left w:val="single" w:color="auto" w:sz="4" w:space="0"/>
              <w:bottom w:val="single" w:color="auto" w:sz="4" w:space="0"/>
              <w:right w:val="single" w:color="auto" w:sz="4" w:space="0"/>
            </w:tcBorders>
            <w:vAlign w:val="center"/>
          </w:tcPr>
          <w:p w14:paraId="149F9AD5">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针对进度安排与招标需求切合性，节点之间细化合理性，进度控制措施科学合理，项目进度计划安排合理，能够满足本项目的要求，切实可行，有针对性解释说明：</w:t>
            </w:r>
            <w:r>
              <w:rPr>
                <w:rFonts w:hAnsi="宋体"/>
                <w:bCs/>
                <w:color w:val="auto"/>
                <w:sz w:val="24"/>
                <w:highlight w:val="none"/>
              </w:rPr>
              <w:t>5</w:t>
            </w:r>
            <w:r>
              <w:rPr>
                <w:rFonts w:hint="eastAsia" w:hAnsi="宋体"/>
                <w:bCs/>
                <w:color w:val="auto"/>
                <w:sz w:val="24"/>
                <w:highlight w:val="none"/>
              </w:rPr>
              <w:t>分；提供的方案基本全面，有针对性解释说明：</w:t>
            </w:r>
            <w:r>
              <w:rPr>
                <w:rFonts w:hAnsi="宋体"/>
                <w:bCs/>
                <w:color w:val="auto"/>
                <w:sz w:val="24"/>
                <w:highlight w:val="none"/>
              </w:rPr>
              <w:t>4</w:t>
            </w:r>
            <w:r>
              <w:rPr>
                <w:rFonts w:hint="eastAsia" w:hAnsi="宋体"/>
                <w:bCs/>
                <w:color w:val="auto"/>
                <w:sz w:val="24"/>
                <w:highlight w:val="none"/>
              </w:rPr>
              <w:t>分；提供方案的不够全面，有针对性有解释说明</w:t>
            </w:r>
            <w:r>
              <w:rPr>
                <w:rFonts w:hAnsi="宋体"/>
                <w:bCs/>
                <w:color w:val="auto"/>
                <w:sz w:val="24"/>
                <w:highlight w:val="none"/>
              </w:rPr>
              <w:t>3</w:t>
            </w:r>
            <w:r>
              <w:rPr>
                <w:rFonts w:hint="eastAsia" w:hAnsi="宋体"/>
                <w:bCs/>
                <w:color w:val="auto"/>
                <w:sz w:val="24"/>
                <w:highlight w:val="none"/>
              </w:rPr>
              <w:t>分；提供的方案不全面，有针对性解释说明：</w:t>
            </w:r>
            <w:r>
              <w:rPr>
                <w:rFonts w:hAnsi="宋体"/>
                <w:bCs/>
                <w:color w:val="auto"/>
                <w:sz w:val="24"/>
                <w:highlight w:val="none"/>
              </w:rPr>
              <w:t>2</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315ED7C3">
            <w:pPr>
              <w:widowControl/>
              <w:spacing w:line="44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5分</w:t>
            </w:r>
          </w:p>
        </w:tc>
      </w:tr>
      <w:tr w14:paraId="2E81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tcBorders>
              <w:top w:val="single" w:color="auto" w:sz="4" w:space="0"/>
              <w:left w:val="single" w:color="auto" w:sz="4" w:space="0"/>
              <w:bottom w:val="single" w:color="auto" w:sz="4" w:space="0"/>
              <w:right w:val="single" w:color="auto" w:sz="4" w:space="0"/>
            </w:tcBorders>
            <w:vAlign w:val="center"/>
          </w:tcPr>
          <w:p w14:paraId="3C6A42C5">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应急方案</w:t>
            </w:r>
          </w:p>
        </w:tc>
        <w:tc>
          <w:tcPr>
            <w:tcW w:w="7931" w:type="dxa"/>
            <w:tcBorders>
              <w:top w:val="single" w:color="auto" w:sz="4" w:space="0"/>
              <w:left w:val="single" w:color="auto" w:sz="4" w:space="0"/>
              <w:bottom w:val="single" w:color="auto" w:sz="4" w:space="0"/>
              <w:right w:val="single" w:color="auto" w:sz="4" w:space="0"/>
            </w:tcBorders>
            <w:vAlign w:val="center"/>
          </w:tcPr>
          <w:p w14:paraId="04A8042A">
            <w:pPr>
              <w:pStyle w:val="28"/>
              <w:spacing w:before="156" w:beforeLines="50" w:after="156" w:afterLines="50" w:line="360" w:lineRule="auto"/>
              <w:ind w:left="0" w:leftChars="0"/>
              <w:jc w:val="left"/>
              <w:rPr>
                <w:rFonts w:hAnsi="宋体"/>
                <w:bCs/>
                <w:color w:val="auto"/>
                <w:sz w:val="24"/>
                <w:highlight w:val="none"/>
              </w:rPr>
            </w:pPr>
            <w:r>
              <w:rPr>
                <w:rFonts w:hint="eastAsia" w:ascii="宋体"/>
                <w:color w:val="auto"/>
                <w:sz w:val="24"/>
                <w:highlight w:val="none"/>
              </w:rPr>
              <w:t>实施本项目期间出现的突发事件（包括但不限于系统数据错误、实施人员调整、信息服务出错或不及时等）的应急预案科学有效、务实、具有完善的风控方案，</w:t>
            </w:r>
            <w:r>
              <w:rPr>
                <w:rFonts w:hint="eastAsia" w:hAnsi="宋体"/>
                <w:bCs/>
                <w:color w:val="auto"/>
                <w:sz w:val="24"/>
                <w:highlight w:val="none"/>
              </w:rPr>
              <w:t>有针对性解释说明：</w:t>
            </w:r>
            <w:r>
              <w:rPr>
                <w:rFonts w:hAnsi="宋体"/>
                <w:bCs/>
                <w:color w:val="auto"/>
                <w:sz w:val="24"/>
                <w:highlight w:val="none"/>
              </w:rPr>
              <w:t>5</w:t>
            </w:r>
            <w:r>
              <w:rPr>
                <w:rFonts w:hint="eastAsia" w:hAnsi="宋体"/>
                <w:bCs/>
                <w:color w:val="auto"/>
                <w:sz w:val="24"/>
                <w:highlight w:val="none"/>
              </w:rPr>
              <w:t>分；提供的方案基本全面，有针对性解释说明：</w:t>
            </w:r>
            <w:r>
              <w:rPr>
                <w:rFonts w:hAnsi="宋体"/>
                <w:bCs/>
                <w:color w:val="auto"/>
                <w:sz w:val="24"/>
                <w:highlight w:val="none"/>
              </w:rPr>
              <w:t>4</w:t>
            </w:r>
            <w:r>
              <w:rPr>
                <w:rFonts w:hint="eastAsia" w:hAnsi="宋体"/>
                <w:bCs/>
                <w:color w:val="auto"/>
                <w:sz w:val="24"/>
                <w:highlight w:val="none"/>
              </w:rPr>
              <w:t>分；提供方案的不够全面，有针对性有解释说明</w:t>
            </w:r>
            <w:r>
              <w:rPr>
                <w:rFonts w:hAnsi="宋体"/>
                <w:bCs/>
                <w:color w:val="auto"/>
                <w:sz w:val="24"/>
                <w:highlight w:val="none"/>
              </w:rPr>
              <w:t>3</w:t>
            </w:r>
            <w:r>
              <w:rPr>
                <w:rFonts w:hint="eastAsia" w:hAnsi="宋体"/>
                <w:bCs/>
                <w:color w:val="auto"/>
                <w:sz w:val="24"/>
                <w:highlight w:val="none"/>
              </w:rPr>
              <w:t>分；提供的方案不全面，有针对性解释说明：</w:t>
            </w:r>
            <w:r>
              <w:rPr>
                <w:rFonts w:hAnsi="宋体"/>
                <w:bCs/>
                <w:color w:val="auto"/>
                <w:sz w:val="24"/>
                <w:highlight w:val="none"/>
              </w:rPr>
              <w:t>2</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12486D31">
            <w:pPr>
              <w:widowControl/>
              <w:spacing w:line="44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5分</w:t>
            </w:r>
          </w:p>
        </w:tc>
      </w:tr>
      <w:tr w14:paraId="1FB8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tcBorders>
              <w:top w:val="single" w:color="auto" w:sz="4" w:space="0"/>
              <w:left w:val="single" w:color="auto" w:sz="4" w:space="0"/>
              <w:bottom w:val="single" w:color="auto" w:sz="4" w:space="0"/>
              <w:right w:val="single" w:color="auto" w:sz="4" w:space="0"/>
            </w:tcBorders>
            <w:vAlign w:val="center"/>
          </w:tcPr>
          <w:p w14:paraId="148128DD">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拟投入本项目人员</w:t>
            </w:r>
          </w:p>
        </w:tc>
        <w:tc>
          <w:tcPr>
            <w:tcW w:w="7931" w:type="dxa"/>
            <w:tcBorders>
              <w:top w:val="single" w:color="auto" w:sz="4" w:space="0"/>
              <w:left w:val="single" w:color="auto" w:sz="4" w:space="0"/>
              <w:bottom w:val="single" w:color="auto" w:sz="4" w:space="0"/>
              <w:right w:val="single" w:color="auto" w:sz="4" w:space="0"/>
            </w:tcBorders>
            <w:vAlign w:val="center"/>
          </w:tcPr>
          <w:p w14:paraId="272554CF">
            <w:pPr>
              <w:pStyle w:val="28"/>
              <w:spacing w:before="156" w:beforeLines="50" w:after="156" w:afterLines="50" w:line="360" w:lineRule="auto"/>
              <w:ind w:left="0" w:leftChars="0"/>
              <w:jc w:val="left"/>
              <w:rPr>
                <w:rFonts w:ascii="宋体" w:hAnsi="宋体" w:cs="宋体"/>
                <w:color w:val="auto"/>
                <w:sz w:val="24"/>
                <w:highlight w:val="none"/>
              </w:rPr>
            </w:pPr>
            <w:r>
              <w:rPr>
                <w:rFonts w:hint="eastAsia" w:ascii="宋体" w:hAnsi="宋体" w:cs="宋体"/>
                <w:color w:val="auto"/>
                <w:sz w:val="24"/>
                <w:highlight w:val="none"/>
              </w:rPr>
              <w:t>1.项目负责人具有高级工程师证书的得2分，中级工程师证书的得1分。2.项目组成员需配备信息技术应用创新运维工程师</w:t>
            </w:r>
            <w:r>
              <w:rPr>
                <w:rFonts w:hint="eastAsia" w:ascii="宋体" w:hAnsi="宋体" w:cs="宋体"/>
                <w:color w:val="auto"/>
                <w:sz w:val="24"/>
                <w:highlight w:val="none"/>
                <w:lang w:eastAsia="zh-CN"/>
              </w:rPr>
              <w:t>、信息安全保障人员、</w:t>
            </w:r>
            <w:r>
              <w:rPr>
                <w:rFonts w:hint="eastAsia" w:ascii="宋体" w:hAnsi="宋体" w:cs="宋体"/>
                <w:color w:val="auto"/>
                <w:sz w:val="24"/>
                <w:highlight w:val="none"/>
                <w:lang w:val="en-US" w:eastAsia="zh-CN"/>
              </w:rPr>
              <w:t>IT服务工程师、</w:t>
            </w:r>
            <w:r>
              <w:rPr>
                <w:rFonts w:hint="eastAsia" w:ascii="宋体" w:hAnsi="宋体" w:cs="宋体"/>
                <w:color w:val="auto"/>
                <w:sz w:val="24"/>
                <w:highlight w:val="none"/>
              </w:rPr>
              <w:t>系统集成项目管理工程师，每提供1人得2分，最高得8分。</w:t>
            </w:r>
          </w:p>
          <w:p w14:paraId="59ABD8BA">
            <w:pPr>
              <w:pStyle w:val="28"/>
              <w:spacing w:before="156" w:beforeLines="50" w:after="156" w:afterLines="50" w:line="360" w:lineRule="auto"/>
              <w:ind w:left="0" w:leftChars="0"/>
              <w:jc w:val="left"/>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提供以上相关人员证书复印件及本单位或分公司为其缴纳的近一个月的社保证明。</w:t>
            </w:r>
          </w:p>
        </w:tc>
        <w:tc>
          <w:tcPr>
            <w:tcW w:w="850" w:type="dxa"/>
            <w:tcBorders>
              <w:top w:val="single" w:color="auto" w:sz="4" w:space="0"/>
              <w:left w:val="single" w:color="auto" w:sz="4" w:space="0"/>
              <w:bottom w:val="single" w:color="auto" w:sz="4" w:space="0"/>
              <w:right w:val="single" w:color="auto" w:sz="4" w:space="0"/>
            </w:tcBorders>
            <w:vAlign w:val="center"/>
          </w:tcPr>
          <w:p w14:paraId="1355E589">
            <w:pPr>
              <w:widowControl/>
              <w:spacing w:line="440" w:lineRule="exact"/>
              <w:jc w:val="center"/>
              <w:rPr>
                <w:rFonts w:ascii="仿宋" w:hAnsi="仿宋" w:eastAsia="仿宋" w:cs="仿宋"/>
                <w:color w:val="auto"/>
                <w:sz w:val="24"/>
                <w:szCs w:val="24"/>
                <w:highlight w:val="none"/>
              </w:rPr>
            </w:pPr>
            <w:r>
              <w:rPr>
                <w:rFonts w:hint="eastAsia" w:ascii="新宋体" w:hAnsi="新宋体" w:eastAsia="新宋体" w:cs="新宋体"/>
                <w:color w:val="auto"/>
                <w:sz w:val="24"/>
                <w:highlight w:val="none"/>
              </w:rPr>
              <w:t>10分</w:t>
            </w:r>
          </w:p>
        </w:tc>
      </w:tr>
      <w:tr w14:paraId="415B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tcBorders>
              <w:top w:val="single" w:color="auto" w:sz="4" w:space="0"/>
              <w:left w:val="single" w:color="auto" w:sz="4" w:space="0"/>
              <w:bottom w:val="single" w:color="auto" w:sz="4" w:space="0"/>
              <w:right w:val="single" w:color="auto" w:sz="4" w:space="0"/>
            </w:tcBorders>
            <w:vAlign w:val="center"/>
          </w:tcPr>
          <w:p w14:paraId="2CFA98B1">
            <w:pPr>
              <w:pStyle w:val="28"/>
              <w:spacing w:before="156" w:beforeLines="50" w:after="156" w:afterLines="50" w:line="360" w:lineRule="auto"/>
              <w:ind w:left="0" w:leftChars="0"/>
              <w:jc w:val="left"/>
              <w:rPr>
                <w:rFonts w:hAnsi="宋体"/>
                <w:bCs/>
                <w:color w:val="auto"/>
                <w:sz w:val="24"/>
                <w:highlight w:val="none"/>
              </w:rPr>
            </w:pPr>
            <w:bookmarkStart w:id="99" w:name="_Hlk193116653"/>
            <w:r>
              <w:rPr>
                <w:rFonts w:hint="eastAsia" w:hAnsi="宋体"/>
                <w:bCs/>
                <w:color w:val="auto"/>
                <w:sz w:val="24"/>
                <w:highlight w:val="none"/>
              </w:rPr>
              <w:t>有效的改进措施和合理化建议</w:t>
            </w:r>
          </w:p>
        </w:tc>
        <w:tc>
          <w:tcPr>
            <w:tcW w:w="7931" w:type="dxa"/>
            <w:tcBorders>
              <w:top w:val="single" w:color="auto" w:sz="4" w:space="0"/>
              <w:left w:val="single" w:color="auto" w:sz="4" w:space="0"/>
              <w:bottom w:val="single" w:color="auto" w:sz="4" w:space="0"/>
              <w:right w:val="single" w:color="auto" w:sz="4" w:space="0"/>
            </w:tcBorders>
            <w:vAlign w:val="center"/>
          </w:tcPr>
          <w:p w14:paraId="2643ECD2">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对本项目有效建议和措施每项得1分，最高得5分，未提供的不得分。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3E0C2165">
            <w:pPr>
              <w:widowControl/>
              <w:spacing w:line="440" w:lineRule="exact"/>
              <w:jc w:val="center"/>
              <w:rPr>
                <w:rFonts w:ascii="Times New Roman" w:hAnsi="宋体" w:cs="Times New Roman"/>
                <w:bCs/>
                <w:color w:val="auto"/>
                <w:kern w:val="0"/>
                <w:sz w:val="24"/>
                <w:szCs w:val="20"/>
                <w:highlight w:val="none"/>
              </w:rPr>
            </w:pPr>
            <w:r>
              <w:rPr>
                <w:rFonts w:hint="eastAsia" w:ascii="新宋体" w:hAnsi="新宋体" w:eastAsia="新宋体" w:cs="新宋体"/>
                <w:color w:val="auto"/>
                <w:sz w:val="24"/>
                <w:highlight w:val="none"/>
              </w:rPr>
              <w:t>5分</w:t>
            </w:r>
          </w:p>
        </w:tc>
      </w:tr>
      <w:bookmarkEnd w:id="99"/>
      <w:tr w14:paraId="147C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0" w:type="dxa"/>
            <w:gridSpan w:val="3"/>
            <w:tcBorders>
              <w:top w:val="single" w:color="auto" w:sz="4" w:space="0"/>
              <w:left w:val="single" w:color="auto" w:sz="4" w:space="0"/>
              <w:bottom w:val="single" w:color="auto" w:sz="4" w:space="0"/>
              <w:right w:val="single" w:color="auto" w:sz="4" w:space="0"/>
            </w:tcBorders>
            <w:vAlign w:val="center"/>
          </w:tcPr>
          <w:p w14:paraId="35F948C9">
            <w:pPr>
              <w:pStyle w:val="28"/>
              <w:spacing w:before="156" w:beforeLines="50" w:after="156" w:afterLines="50" w:line="360" w:lineRule="auto"/>
              <w:ind w:left="0" w:leftChars="0"/>
              <w:jc w:val="left"/>
              <w:rPr>
                <w:rFonts w:ascii="宋体" w:hAnsi="宋体" w:cs="宋体"/>
                <w:bCs/>
                <w:color w:val="auto"/>
                <w:sz w:val="24"/>
                <w:highlight w:val="none"/>
              </w:rPr>
            </w:pPr>
            <w:r>
              <w:rPr>
                <w:rFonts w:hint="eastAsia" w:ascii="宋体" w:hAnsi="宋体" w:cs="宋体"/>
                <w:bCs/>
                <w:color w:val="auto"/>
                <w:sz w:val="24"/>
                <w:highlight w:val="none"/>
              </w:rPr>
              <w:t>资信、商务及其他部分</w:t>
            </w:r>
          </w:p>
        </w:tc>
        <w:tc>
          <w:tcPr>
            <w:tcW w:w="850" w:type="dxa"/>
            <w:tcBorders>
              <w:top w:val="single" w:color="auto" w:sz="4" w:space="0"/>
              <w:left w:val="single" w:color="auto" w:sz="4" w:space="0"/>
              <w:bottom w:val="single" w:color="auto" w:sz="4" w:space="0"/>
              <w:right w:val="single" w:color="auto" w:sz="4" w:space="0"/>
            </w:tcBorders>
            <w:vAlign w:val="center"/>
          </w:tcPr>
          <w:p w14:paraId="313BC220">
            <w:pPr>
              <w:widowControl/>
              <w:spacing w:line="44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20分</w:t>
            </w:r>
          </w:p>
        </w:tc>
      </w:tr>
      <w:tr w14:paraId="5B27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14:paraId="44CAAEB6">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企业业绩</w:t>
            </w:r>
          </w:p>
        </w:tc>
        <w:tc>
          <w:tcPr>
            <w:tcW w:w="7932" w:type="dxa"/>
            <w:tcBorders>
              <w:top w:val="single" w:color="auto" w:sz="4" w:space="0"/>
              <w:left w:val="single" w:color="auto" w:sz="4" w:space="0"/>
              <w:bottom w:val="single" w:color="auto" w:sz="4" w:space="0"/>
              <w:right w:val="single" w:color="auto" w:sz="4" w:space="0"/>
            </w:tcBorders>
            <w:vAlign w:val="center"/>
          </w:tcPr>
          <w:p w14:paraId="028DA7C8">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投标人</w:t>
            </w:r>
            <w:r>
              <w:rPr>
                <w:rFonts w:hAnsi="宋体"/>
                <w:bCs/>
                <w:color w:val="auto"/>
                <w:sz w:val="24"/>
                <w:highlight w:val="none"/>
              </w:rPr>
              <w:t>202</w:t>
            </w:r>
            <w:r>
              <w:rPr>
                <w:rFonts w:hint="eastAsia" w:hAnsi="宋体"/>
                <w:bCs/>
                <w:color w:val="auto"/>
                <w:sz w:val="24"/>
                <w:highlight w:val="none"/>
                <w:lang w:val="en-US" w:eastAsia="zh-CN"/>
              </w:rPr>
              <w:t>1</w:t>
            </w:r>
            <w:r>
              <w:rPr>
                <w:rFonts w:hint="eastAsia" w:hAnsi="宋体"/>
                <w:bCs/>
                <w:color w:val="auto"/>
                <w:sz w:val="24"/>
                <w:highlight w:val="none"/>
              </w:rPr>
              <w:t>年</w:t>
            </w:r>
            <w:r>
              <w:rPr>
                <w:rFonts w:hAnsi="宋体"/>
                <w:bCs/>
                <w:color w:val="auto"/>
                <w:sz w:val="24"/>
                <w:highlight w:val="none"/>
              </w:rPr>
              <w:t>1</w:t>
            </w:r>
            <w:r>
              <w:rPr>
                <w:rFonts w:hint="eastAsia" w:hAnsi="宋体"/>
                <w:bCs/>
                <w:color w:val="auto"/>
                <w:sz w:val="24"/>
                <w:highlight w:val="none"/>
              </w:rPr>
              <w:t>月</w:t>
            </w:r>
            <w:r>
              <w:rPr>
                <w:rFonts w:hAnsi="宋体"/>
                <w:bCs/>
                <w:color w:val="auto"/>
                <w:sz w:val="24"/>
                <w:highlight w:val="none"/>
              </w:rPr>
              <w:t>1</w:t>
            </w:r>
            <w:r>
              <w:rPr>
                <w:rFonts w:hint="eastAsia" w:hAnsi="宋体"/>
                <w:bCs/>
                <w:color w:val="auto"/>
                <w:sz w:val="24"/>
                <w:highlight w:val="none"/>
              </w:rPr>
              <w:t>日至今（以合同签订时间为准）同类项目业绩，每提供</w:t>
            </w:r>
            <w:r>
              <w:rPr>
                <w:rFonts w:hAnsi="宋体"/>
                <w:bCs/>
                <w:color w:val="auto"/>
                <w:sz w:val="24"/>
                <w:highlight w:val="none"/>
              </w:rPr>
              <w:t>1</w:t>
            </w:r>
            <w:r>
              <w:rPr>
                <w:rFonts w:hint="eastAsia" w:hAnsi="宋体"/>
                <w:bCs/>
                <w:color w:val="auto"/>
                <w:sz w:val="24"/>
                <w:highlight w:val="none"/>
              </w:rPr>
              <w:t>个合同的得1分，最高得3分，未提供采购项目合同复印件的不得分。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2CAFA674">
            <w:pPr>
              <w:widowControl/>
              <w:spacing w:line="44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3分</w:t>
            </w:r>
          </w:p>
        </w:tc>
      </w:tr>
      <w:tr w14:paraId="113F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14:paraId="6A8D0B05">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权威认证</w:t>
            </w:r>
          </w:p>
        </w:tc>
        <w:tc>
          <w:tcPr>
            <w:tcW w:w="7932" w:type="dxa"/>
            <w:tcBorders>
              <w:top w:val="single" w:color="auto" w:sz="4" w:space="0"/>
              <w:left w:val="single" w:color="auto" w:sz="4" w:space="0"/>
              <w:bottom w:val="single" w:color="auto" w:sz="4" w:space="0"/>
              <w:right w:val="single" w:color="auto" w:sz="4" w:space="0"/>
            </w:tcBorders>
          </w:tcPr>
          <w:p w14:paraId="350C9331">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供应商具有有效的质量管理体系认证证书、环境管理体系认证证书、企业诚信管理体系认证证书的，每提供</w:t>
            </w:r>
            <w:r>
              <w:rPr>
                <w:rFonts w:hAnsi="宋体"/>
                <w:bCs/>
                <w:color w:val="auto"/>
                <w:sz w:val="24"/>
                <w:highlight w:val="none"/>
              </w:rPr>
              <w:t>1</w:t>
            </w:r>
            <w:r>
              <w:rPr>
                <w:rFonts w:hint="eastAsia" w:hAnsi="宋体"/>
                <w:bCs/>
                <w:color w:val="auto"/>
                <w:sz w:val="24"/>
                <w:highlight w:val="none"/>
              </w:rPr>
              <w:t>个得</w:t>
            </w:r>
            <w:r>
              <w:rPr>
                <w:rFonts w:hAnsi="宋体"/>
                <w:bCs/>
                <w:color w:val="auto"/>
                <w:sz w:val="24"/>
                <w:highlight w:val="none"/>
              </w:rPr>
              <w:t>1</w:t>
            </w:r>
            <w:r>
              <w:rPr>
                <w:rFonts w:hint="eastAsia" w:hAnsi="宋体"/>
                <w:bCs/>
                <w:color w:val="auto"/>
                <w:sz w:val="24"/>
                <w:highlight w:val="none"/>
              </w:rPr>
              <w:t>分，最高得3分。注：</w:t>
            </w:r>
            <w:bookmarkStart w:id="100" w:name="OLE_LINK47"/>
            <w:bookmarkStart w:id="101" w:name="OLE_LINK46"/>
            <w:r>
              <w:rPr>
                <w:rFonts w:hint="eastAsia" w:hAnsi="宋体"/>
                <w:bCs/>
                <w:color w:val="auto"/>
                <w:sz w:val="24"/>
                <w:highlight w:val="none"/>
              </w:rPr>
              <w:t>提供</w:t>
            </w:r>
            <w:bookmarkEnd w:id="100"/>
            <w:bookmarkEnd w:id="101"/>
            <w:r>
              <w:rPr>
                <w:rFonts w:hint="eastAsia" w:hAnsi="宋体"/>
                <w:bCs/>
                <w:color w:val="auto"/>
                <w:sz w:val="24"/>
                <w:highlight w:val="none"/>
              </w:rPr>
              <w:t>全国认证认可信息公共服务平台查询结果及认证</w:t>
            </w:r>
            <w:bookmarkStart w:id="102" w:name="OLE_LINK40"/>
            <w:bookmarkStart w:id="103" w:name="OLE_LINK41"/>
            <w:r>
              <w:rPr>
                <w:rFonts w:hint="eastAsia" w:hAnsi="宋体"/>
                <w:bCs/>
                <w:color w:val="auto"/>
                <w:sz w:val="24"/>
                <w:highlight w:val="none"/>
              </w:rPr>
              <w:t>证书复印件，未提供不得分。</w:t>
            </w:r>
            <w:bookmarkEnd w:id="102"/>
            <w:bookmarkEnd w:id="103"/>
          </w:p>
        </w:tc>
        <w:tc>
          <w:tcPr>
            <w:tcW w:w="850" w:type="dxa"/>
            <w:tcBorders>
              <w:top w:val="single" w:color="auto" w:sz="4" w:space="0"/>
              <w:left w:val="single" w:color="auto" w:sz="4" w:space="0"/>
              <w:bottom w:val="single" w:color="auto" w:sz="4" w:space="0"/>
              <w:right w:val="single" w:color="auto" w:sz="4" w:space="0"/>
            </w:tcBorders>
            <w:vAlign w:val="center"/>
          </w:tcPr>
          <w:p w14:paraId="76B0386A">
            <w:pPr>
              <w:widowControl/>
              <w:spacing w:line="44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3分</w:t>
            </w:r>
          </w:p>
        </w:tc>
      </w:tr>
      <w:tr w14:paraId="131A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14:paraId="539737E7">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企业证书</w:t>
            </w:r>
          </w:p>
        </w:tc>
        <w:tc>
          <w:tcPr>
            <w:tcW w:w="7932" w:type="dxa"/>
            <w:tcBorders>
              <w:top w:val="single" w:color="auto" w:sz="4" w:space="0"/>
              <w:left w:val="single" w:color="auto" w:sz="4" w:space="0"/>
              <w:bottom w:val="single" w:color="auto" w:sz="4" w:space="0"/>
              <w:right w:val="single" w:color="auto" w:sz="4" w:space="0"/>
            </w:tcBorders>
          </w:tcPr>
          <w:p w14:paraId="274C284D">
            <w:pPr>
              <w:pStyle w:val="28"/>
              <w:spacing w:before="156" w:beforeLines="50" w:after="156" w:afterLines="50" w:line="360" w:lineRule="auto"/>
              <w:ind w:left="0" w:leftChars="0"/>
              <w:jc w:val="left"/>
              <w:rPr>
                <w:rFonts w:hAnsi="宋体"/>
                <w:bCs/>
                <w:color w:val="auto"/>
                <w:sz w:val="24"/>
                <w:highlight w:val="none"/>
              </w:rPr>
            </w:pPr>
            <w:r>
              <w:rPr>
                <w:rFonts w:hint="eastAsia" w:ascii="新宋体" w:hAnsi="新宋体" w:eastAsia="新宋体" w:cs="新宋体"/>
                <w:color w:val="auto"/>
                <w:sz w:val="24"/>
                <w:highlight w:val="none"/>
              </w:rPr>
              <w:t>供应商具有有效的ITSS信息技术服务运行维护标准符合性证书二级及以上证书、信息系统建设和服务能力优秀级（CS4)及以上证书的每个得1分，最高得</w:t>
            </w:r>
            <w:bookmarkStart w:id="104" w:name="OLE_LINK39"/>
            <w:bookmarkStart w:id="105" w:name="OLE_LINK38"/>
            <w:r>
              <w:rPr>
                <w:rFonts w:hint="eastAsia" w:ascii="新宋体" w:hAnsi="新宋体" w:eastAsia="新宋体" w:cs="新宋体"/>
                <w:color w:val="auto"/>
                <w:sz w:val="24"/>
                <w:highlight w:val="none"/>
              </w:rPr>
              <w:t>2分</w:t>
            </w:r>
            <w:bookmarkEnd w:id="104"/>
            <w:bookmarkEnd w:id="105"/>
            <w:r>
              <w:rPr>
                <w:rFonts w:hint="eastAsia" w:ascii="新宋体" w:hAnsi="新宋体" w:eastAsia="新宋体" w:cs="新宋体"/>
                <w:color w:val="auto"/>
                <w:sz w:val="24"/>
                <w:highlight w:val="none"/>
              </w:rPr>
              <w:t>。</w:t>
            </w:r>
            <w:r>
              <w:rPr>
                <w:rFonts w:hint="eastAsia" w:hAnsi="宋体"/>
                <w:bCs/>
                <w:color w:val="auto"/>
                <w:sz w:val="24"/>
                <w:highlight w:val="none"/>
              </w:rPr>
              <w:t>提供证书复印件，未提供不得分。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62153BBF">
            <w:pPr>
              <w:widowControl/>
              <w:spacing w:line="44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2分</w:t>
            </w:r>
          </w:p>
        </w:tc>
      </w:tr>
      <w:tr w14:paraId="0B04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14:paraId="6759FEF1">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服务承诺</w:t>
            </w:r>
          </w:p>
        </w:tc>
        <w:tc>
          <w:tcPr>
            <w:tcW w:w="7932" w:type="dxa"/>
            <w:tcBorders>
              <w:top w:val="single" w:color="auto" w:sz="4" w:space="0"/>
              <w:left w:val="single" w:color="auto" w:sz="4" w:space="0"/>
              <w:bottom w:val="single" w:color="auto" w:sz="4" w:space="0"/>
              <w:right w:val="single" w:color="auto" w:sz="4" w:space="0"/>
            </w:tcBorders>
            <w:vAlign w:val="center"/>
          </w:tcPr>
          <w:p w14:paraId="0ECF7B0D">
            <w:pPr>
              <w:pStyle w:val="28"/>
              <w:spacing w:before="156" w:beforeLines="50" w:after="156" w:afterLines="50" w:line="360" w:lineRule="auto"/>
              <w:ind w:left="0" w:leftChars="0"/>
              <w:jc w:val="left"/>
              <w:rPr>
                <w:rFonts w:hAnsi="宋体"/>
                <w:bCs/>
                <w:color w:val="auto"/>
                <w:sz w:val="24"/>
                <w:highlight w:val="none"/>
              </w:rPr>
            </w:pPr>
            <w:r>
              <w:rPr>
                <w:rFonts w:hint="eastAsia" w:ascii="宋体" w:hAnsi="宋体" w:cs="宋体"/>
                <w:color w:val="auto"/>
                <w:sz w:val="24"/>
                <w:highlight w:val="none"/>
              </w:rPr>
              <w:t>售后服务方案和承诺（</w:t>
            </w:r>
            <w:r>
              <w:rPr>
                <w:rFonts w:hint="eastAsia" w:ascii="宋体" w:hAnsi="宋体" w:cs="仿宋"/>
                <w:color w:val="auto"/>
                <w:sz w:val="24"/>
                <w:highlight w:val="none"/>
              </w:rPr>
              <w:t>包括服务措施、本地化服务能力、回访、优惠措施等</w:t>
            </w:r>
            <w:r>
              <w:rPr>
                <w:rFonts w:hint="eastAsia" w:ascii="宋体" w:hAnsi="宋体" w:cs="宋体"/>
                <w:color w:val="auto"/>
                <w:sz w:val="24"/>
                <w:highlight w:val="none"/>
              </w:rPr>
              <w:t>）完整、可行，落实保障措施和其他优惠承诺等全面周到</w:t>
            </w:r>
            <w:r>
              <w:rPr>
                <w:rFonts w:hint="eastAsia" w:hAnsi="宋体"/>
                <w:bCs/>
                <w:color w:val="auto"/>
                <w:sz w:val="24"/>
                <w:highlight w:val="none"/>
              </w:rPr>
              <w:t>，</w:t>
            </w:r>
            <w:bookmarkStart w:id="106" w:name="OLE_LINK45"/>
            <w:bookmarkStart w:id="107" w:name="OLE_LINK44"/>
            <w:r>
              <w:rPr>
                <w:rFonts w:hint="eastAsia" w:hAnsi="宋体"/>
                <w:bCs/>
                <w:color w:val="auto"/>
                <w:sz w:val="24"/>
                <w:highlight w:val="none"/>
              </w:rPr>
              <w:t>有针对性解释说明：</w:t>
            </w:r>
            <w:bookmarkStart w:id="108" w:name="OLE_LINK42"/>
            <w:bookmarkStart w:id="109" w:name="OLE_LINK43"/>
            <w:r>
              <w:rPr>
                <w:rFonts w:hAnsi="宋体"/>
                <w:bCs/>
                <w:color w:val="auto"/>
                <w:sz w:val="24"/>
                <w:highlight w:val="none"/>
              </w:rPr>
              <w:t>5</w:t>
            </w:r>
            <w:r>
              <w:rPr>
                <w:rFonts w:hint="eastAsia" w:hAnsi="宋体"/>
                <w:bCs/>
                <w:color w:val="auto"/>
                <w:sz w:val="24"/>
                <w:highlight w:val="none"/>
              </w:rPr>
              <w:t>分；提供的方案基本全面，有针对性解释说明：</w:t>
            </w:r>
            <w:r>
              <w:rPr>
                <w:rFonts w:hAnsi="宋体"/>
                <w:bCs/>
                <w:color w:val="auto"/>
                <w:sz w:val="24"/>
                <w:highlight w:val="none"/>
              </w:rPr>
              <w:t>4</w:t>
            </w:r>
            <w:r>
              <w:rPr>
                <w:rFonts w:hint="eastAsia" w:hAnsi="宋体"/>
                <w:bCs/>
                <w:color w:val="auto"/>
                <w:sz w:val="24"/>
                <w:highlight w:val="none"/>
              </w:rPr>
              <w:t>分；提供方案的不够全面，有针对性有解释说明</w:t>
            </w:r>
            <w:r>
              <w:rPr>
                <w:rFonts w:hAnsi="宋体"/>
                <w:bCs/>
                <w:color w:val="auto"/>
                <w:sz w:val="24"/>
                <w:highlight w:val="none"/>
              </w:rPr>
              <w:t>3</w:t>
            </w:r>
            <w:r>
              <w:rPr>
                <w:rFonts w:hint="eastAsia" w:hAnsi="宋体"/>
                <w:bCs/>
                <w:color w:val="auto"/>
                <w:sz w:val="24"/>
                <w:highlight w:val="none"/>
              </w:rPr>
              <w:t>分；提供的方案不全面，有针对性解释说明：</w:t>
            </w:r>
            <w:r>
              <w:rPr>
                <w:rFonts w:hAnsi="宋体"/>
                <w:bCs/>
                <w:color w:val="auto"/>
                <w:sz w:val="24"/>
                <w:highlight w:val="none"/>
              </w:rPr>
              <w:t>2</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bookmarkEnd w:id="106"/>
            <w:bookmarkEnd w:id="107"/>
            <w:bookmarkEnd w:id="108"/>
            <w:bookmarkEnd w:id="109"/>
          </w:p>
        </w:tc>
        <w:tc>
          <w:tcPr>
            <w:tcW w:w="850" w:type="dxa"/>
            <w:tcBorders>
              <w:top w:val="single" w:color="auto" w:sz="4" w:space="0"/>
              <w:left w:val="single" w:color="auto" w:sz="4" w:space="0"/>
              <w:bottom w:val="single" w:color="auto" w:sz="4" w:space="0"/>
              <w:right w:val="single" w:color="auto" w:sz="4" w:space="0"/>
            </w:tcBorders>
            <w:vAlign w:val="center"/>
          </w:tcPr>
          <w:p w14:paraId="35451326">
            <w:pPr>
              <w:widowControl/>
              <w:spacing w:line="44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5分</w:t>
            </w:r>
          </w:p>
        </w:tc>
      </w:tr>
      <w:tr w14:paraId="4CF8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14:paraId="7F4F63DB">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培训方案</w:t>
            </w:r>
          </w:p>
        </w:tc>
        <w:tc>
          <w:tcPr>
            <w:tcW w:w="7932" w:type="dxa"/>
            <w:tcBorders>
              <w:top w:val="single" w:color="auto" w:sz="4" w:space="0"/>
              <w:left w:val="single" w:color="auto" w:sz="4" w:space="0"/>
              <w:bottom w:val="single" w:color="auto" w:sz="4" w:space="0"/>
              <w:right w:val="single" w:color="auto" w:sz="4" w:space="0"/>
            </w:tcBorders>
            <w:vAlign w:val="center"/>
          </w:tcPr>
          <w:p w14:paraId="7874204B">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培训计划和承诺完善且有针对性，能与本项目需求贴合且有详细的培训计划，培训方案（培训计划、地点、组织、人员配备、资料等）内容完整、科学合理、切实可行的，有针对性解释说明：4分；提供的方案基本全面，有针对性解释说明：3分；提供方案的不够全面，有针对性有解释说明2分；提供的方案不全面，有针对性解释说明：1分；提供的方案不全面，没有针对性有解释说明：0.5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66EA7A48">
            <w:pPr>
              <w:autoSpaceDN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highlight w:val="none"/>
              </w:rPr>
              <w:t>4分</w:t>
            </w:r>
          </w:p>
        </w:tc>
      </w:tr>
      <w:tr w14:paraId="4FA4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14:paraId="24484D75">
            <w:pPr>
              <w:pStyle w:val="28"/>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响应时间</w:t>
            </w:r>
          </w:p>
        </w:tc>
        <w:tc>
          <w:tcPr>
            <w:tcW w:w="7932" w:type="dxa"/>
            <w:tcBorders>
              <w:top w:val="single" w:color="auto" w:sz="4" w:space="0"/>
              <w:left w:val="single" w:color="auto" w:sz="4" w:space="0"/>
              <w:bottom w:val="single" w:color="auto" w:sz="4" w:space="0"/>
              <w:right w:val="single" w:color="auto" w:sz="4" w:space="0"/>
            </w:tcBorders>
            <w:vAlign w:val="center"/>
          </w:tcPr>
          <w:p w14:paraId="79567032">
            <w:pPr>
              <w:pStyle w:val="28"/>
              <w:spacing w:before="156" w:beforeLines="50" w:after="156" w:afterLines="50" w:line="360" w:lineRule="auto"/>
              <w:ind w:left="0" w:leftChars="0"/>
              <w:jc w:val="left"/>
              <w:rPr>
                <w:rFonts w:hAnsi="宋体"/>
                <w:bCs/>
                <w:color w:val="auto"/>
                <w:sz w:val="24"/>
                <w:highlight w:val="none"/>
              </w:rPr>
            </w:pPr>
            <w:r>
              <w:rPr>
                <w:rFonts w:hint="eastAsia" w:ascii="宋体" w:hAnsi="宋体" w:cs="宋体"/>
                <w:color w:val="auto"/>
                <w:sz w:val="24"/>
                <w:highlight w:val="none"/>
              </w:rPr>
              <w:t>接到采购单位的通知在12小时内响应并到达现场的得3分，每增加1小时扣1分，扣完为止。</w:t>
            </w:r>
          </w:p>
        </w:tc>
        <w:tc>
          <w:tcPr>
            <w:tcW w:w="850" w:type="dxa"/>
            <w:tcBorders>
              <w:top w:val="single" w:color="auto" w:sz="4" w:space="0"/>
              <w:left w:val="single" w:color="auto" w:sz="4" w:space="0"/>
              <w:bottom w:val="single" w:color="auto" w:sz="4" w:space="0"/>
              <w:right w:val="single" w:color="auto" w:sz="4" w:space="0"/>
            </w:tcBorders>
            <w:vAlign w:val="center"/>
          </w:tcPr>
          <w:p w14:paraId="225CEA9D">
            <w:pPr>
              <w:autoSpaceDN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highlight w:val="none"/>
              </w:rPr>
              <w:t>3分</w:t>
            </w:r>
          </w:p>
        </w:tc>
      </w:tr>
    </w:tbl>
    <w:p w14:paraId="690CB708">
      <w:pPr>
        <w:spacing w:line="360" w:lineRule="auto"/>
        <w:rPr>
          <w:rFonts w:ascii="宋体" w:cs="Times New Roman"/>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3技术、商务、资信及其他分的计算</w:t>
      </w:r>
    </w:p>
    <w:p w14:paraId="2475757A">
      <w:pPr>
        <w:spacing w:line="360" w:lineRule="auto"/>
        <w:ind w:firstLine="480" w:firstLineChars="200"/>
        <w:rPr>
          <w:rFonts w:cs="Times New Roman"/>
          <w:color w:val="auto"/>
          <w:highlight w:val="none"/>
        </w:rPr>
      </w:pPr>
      <w:r>
        <w:rPr>
          <w:rFonts w:hint="eastAsia" w:ascii="宋体" w:hAnsi="宋体" w:cs="宋体"/>
          <w:color w:val="auto"/>
          <w:sz w:val="24"/>
          <w:szCs w:val="24"/>
          <w:highlight w:val="none"/>
        </w:rPr>
        <w:t>技术、商务、资信及其他分按照评标委员会成员的独立评分结果汇总数的算术平均分计算，计算公式为：技术商务资信分</w:t>
      </w:r>
      <w:r>
        <w:rPr>
          <w:rFonts w:ascii="宋体" w:hAnsi="宋体" w:cs="宋体"/>
          <w:color w:val="auto"/>
          <w:sz w:val="24"/>
          <w:szCs w:val="24"/>
          <w:highlight w:val="none"/>
        </w:rPr>
        <w:t>=</w:t>
      </w:r>
      <w:r>
        <w:rPr>
          <w:rFonts w:hint="eastAsia" w:ascii="宋体" w:hAnsi="宋体" w:cs="宋体"/>
          <w:color w:val="auto"/>
          <w:sz w:val="24"/>
          <w:szCs w:val="24"/>
          <w:highlight w:val="none"/>
        </w:rPr>
        <w:t>（评标委员会所有成员评分合计数）</w:t>
      </w:r>
      <w:r>
        <w:rPr>
          <w:rFonts w:ascii="宋体" w:hAnsi="宋体" w:cs="宋体"/>
          <w:color w:val="auto"/>
          <w:sz w:val="24"/>
          <w:szCs w:val="24"/>
          <w:highlight w:val="none"/>
        </w:rPr>
        <w:t>/</w:t>
      </w:r>
      <w:r>
        <w:rPr>
          <w:rFonts w:hint="eastAsia" w:ascii="宋体" w:hAnsi="宋体" w:cs="宋体"/>
          <w:color w:val="auto"/>
          <w:sz w:val="24"/>
          <w:szCs w:val="24"/>
          <w:highlight w:val="none"/>
        </w:rPr>
        <w:t>（评标委员会组成人员数）</w:t>
      </w:r>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1"/>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幼圆">
    <w:altName w:val="黑体"/>
    <w:panose1 w:val="00000000000000000000"/>
    <w:charset w:val="86"/>
    <w:family w:val="modern"/>
    <w:pitch w:val="default"/>
    <w:sig w:usb0="00000000" w:usb1="00000000" w:usb2="00000010" w:usb3="00000000" w:csb0="00040000"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华文新魏">
    <w:altName w:val="宋体"/>
    <w:panose1 w:val="00000000000000000000"/>
    <w:charset w:val="86"/>
    <w:family w:val="auto"/>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CG Times (W1)">
    <w:altName w:val="Times New Roman"/>
    <w:panose1 w:val="00000000000000000000"/>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B739">
    <w:pPr>
      <w:pStyle w:val="42"/>
      <w:rPr>
        <w:rFonts w:cs="Times New Roman"/>
        <w:sz w:val="24"/>
        <w:szCs w:val="24"/>
      </w:rPr>
    </w:pPr>
    <w:r>
      <w:rPr>
        <w:rFonts w:hint="eastAsia" w:cs="宋体"/>
        <w:sz w:val="24"/>
        <w:szCs w:val="24"/>
      </w:rPr>
      <w:t>浙江华耀建设咨询有限公司</w:t>
    </w:r>
    <w:r>
      <w:rPr>
        <w:rFonts w:cs="Times New Roman"/>
        <w:sz w:val="24"/>
        <w:szCs w:val="24"/>
      </w:rP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25</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2F5B">
    <w:pPr>
      <w:pStyle w:val="42"/>
      <w:tabs>
        <w:tab w:val="left" w:pos="4335"/>
      </w:tabs>
      <w:rPr>
        <w:rFonts w:ascii="宋体" w:hAnsi="宋体" w:cs="宋体"/>
        <w:sz w:val="21"/>
        <w:szCs w:val="21"/>
        <w:u w:val="single"/>
      </w:rPr>
    </w:pPr>
    <w:r>
      <w:rPr>
        <w:rFonts w:hint="eastAsia" w:ascii="宋体" w:hAnsi="宋体" w:cs="宋体"/>
        <w:sz w:val="21"/>
        <w:szCs w:val="21"/>
        <w:u w:val="single"/>
      </w:rPr>
      <w:t>浙江华耀建设咨询有限公司</w:t>
    </w:r>
    <w:r>
      <w:rPr>
        <w:rFonts w:ascii="宋体" w:cs="Times New Roman"/>
        <w:sz w:val="21"/>
        <w:szCs w:val="21"/>
        <w:u w:val="single"/>
      </w:rPr>
      <w:tab/>
    </w:r>
    <w:r>
      <w:rPr>
        <w:rFonts w:ascii="宋体" w:cs="Times New Roman"/>
        <w:sz w:val="21"/>
        <w:szCs w:val="21"/>
        <w:u w:val="single"/>
      </w:rPr>
      <w:tab/>
    </w:r>
    <w:r>
      <w:rPr>
        <w:rFonts w:ascii="宋体" w:hAnsi="宋体" w:cs="宋体"/>
        <w:sz w:val="21"/>
        <w:szCs w:val="21"/>
        <w:u w:val="single"/>
      </w:rPr>
      <w:t xml:space="preserve">- </w:t>
    </w:r>
    <w:r>
      <w:rPr>
        <w:rFonts w:ascii="宋体" w:hAnsi="宋体" w:cs="宋体"/>
        <w:sz w:val="21"/>
        <w:szCs w:val="21"/>
        <w:u w:val="single"/>
      </w:rPr>
      <w:fldChar w:fldCharType="begin"/>
    </w:r>
    <w:r>
      <w:rPr>
        <w:rFonts w:ascii="宋体" w:hAnsi="宋体" w:cs="宋体"/>
        <w:sz w:val="21"/>
        <w:szCs w:val="21"/>
        <w:u w:val="single"/>
      </w:rPr>
      <w:instrText xml:space="preserve"> PAGE </w:instrText>
    </w:r>
    <w:r>
      <w:rPr>
        <w:rFonts w:ascii="宋体" w:hAnsi="宋体" w:cs="宋体"/>
        <w:sz w:val="21"/>
        <w:szCs w:val="21"/>
        <w:u w:val="single"/>
      </w:rPr>
      <w:fldChar w:fldCharType="separate"/>
    </w:r>
    <w:r>
      <w:rPr>
        <w:rFonts w:ascii="宋体" w:hAnsi="宋体" w:cs="宋体"/>
        <w:sz w:val="21"/>
        <w:szCs w:val="21"/>
        <w:u w:val="single"/>
      </w:rPr>
      <w:t>44</w:t>
    </w:r>
    <w:r>
      <w:rPr>
        <w:rFonts w:ascii="宋体" w:hAnsi="宋体" w:cs="宋体"/>
        <w:sz w:val="21"/>
        <w:szCs w:val="21"/>
        <w:u w:val="single"/>
      </w:rPr>
      <w:fldChar w:fldCharType="end"/>
    </w:r>
    <w:r>
      <w:rPr>
        <w:rFonts w:ascii="宋体" w:hAnsi="宋体" w:cs="宋体"/>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AAAA">
    <w:pPr>
      <w:pStyle w:val="35"/>
      <w:snapToGrid w:val="0"/>
      <w:spacing w:beforeLines="0" w:afterLines="0" w:line="360" w:lineRule="auto"/>
      <w:ind w:left="178" w:leftChars="85"/>
      <w:rPr>
        <w:rFonts w:cs="Times New Roman"/>
        <w:sz w:val="21"/>
        <w:szCs w:val="21"/>
        <w:u w:val="single"/>
      </w:rPr>
    </w:pPr>
    <w:r>
      <w:rPr>
        <w:rFonts w:hAnsi="宋体"/>
        <w:sz w:val="21"/>
        <w:szCs w:val="21"/>
        <w:u w:val="single"/>
      </w:rPr>
      <w:t>湖州市长兴县交通运输行政执法队</w:t>
    </w:r>
    <w:bookmarkStart w:id="110" w:name="OLE_LINK33"/>
    <w:bookmarkStart w:id="111" w:name="OLE_LINK32"/>
    <w:r>
      <w:rPr>
        <w:rFonts w:hAnsi="宋体"/>
        <w:sz w:val="21"/>
        <w:szCs w:val="21"/>
        <w:u w:val="single"/>
      </w:rPr>
      <w:t>船舶自动核查抓拍系统维护保障项目</w:t>
    </w:r>
    <w:bookmarkEnd w:id="110"/>
    <w:bookmarkEnd w:id="111"/>
    <w:r>
      <w:rPr>
        <w:rFonts w:hint="eastAsia" w:hAnsi="宋体"/>
        <w:sz w:val="21"/>
        <w:szCs w:val="21"/>
        <w:u w:val="single"/>
      </w:rPr>
      <w:t xml:space="preserve">               </w:t>
    </w:r>
    <w:r>
      <w:rPr>
        <w:rFonts w:hint="eastAsia"/>
        <w:sz w:val="21"/>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96BE">
    <w:pPr>
      <w:pStyle w:val="35"/>
      <w:snapToGrid w:val="0"/>
      <w:spacing w:beforeLines="0" w:afterLines="0" w:line="360" w:lineRule="auto"/>
      <w:ind w:left="178" w:leftChars="85"/>
      <w:rPr>
        <w:rFonts w:cs="Times New Roman"/>
        <w:sz w:val="21"/>
        <w:szCs w:val="21"/>
        <w:u w:val="single"/>
      </w:rPr>
    </w:pPr>
    <w:r>
      <w:rPr>
        <w:rFonts w:hAnsi="宋体"/>
        <w:sz w:val="21"/>
        <w:szCs w:val="21"/>
        <w:u w:val="single"/>
      </w:rPr>
      <w:t>湖州市长兴县交通运输行政执法队船舶自动核查抓拍系统维护保障项目</w:t>
    </w:r>
    <w:r>
      <w:rPr>
        <w:rFonts w:hint="eastAsia" w:hAnsi="宋体"/>
        <w:sz w:val="21"/>
        <w:szCs w:val="21"/>
        <w:u w:val="single"/>
      </w:rPr>
      <w:t xml:space="preserve">            </w:t>
    </w:r>
    <w:r>
      <w:rPr>
        <w:rFonts w:hint="eastAsia"/>
        <w:sz w:val="21"/>
        <w:szCs w:val="21"/>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ideographTraditional"/>
      <w:suff w:val="nothing"/>
      <w:lvlText w:val="%1、"/>
      <w:lvlJc w:val="left"/>
      <w:pPr>
        <w:ind w:left="0" w:firstLine="0"/>
      </w:pPr>
    </w:lvl>
  </w:abstractNum>
  <w:abstractNum w:abstractNumId="1">
    <w:nsid w:val="132B1759"/>
    <w:multiLevelType w:val="multilevel"/>
    <w:tmpl w:val="132B1759"/>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7572D5"/>
    <w:multiLevelType w:val="singleLevel"/>
    <w:tmpl w:val="3D7572D5"/>
    <w:lvl w:ilvl="0" w:tentative="0">
      <w:start w:val="1"/>
      <w:numFmt w:val="decimal"/>
      <w:suff w:val="nothing"/>
      <w:lvlText w:val="%1、"/>
      <w:lvlJc w:val="left"/>
      <w:pPr>
        <w:ind w:left="0" w:firstLine="0"/>
      </w:pPr>
    </w:lvl>
  </w:abstractNum>
  <w:abstractNum w:abstractNumId="3">
    <w:nsid w:val="4CC27A65"/>
    <w:multiLevelType w:val="multilevel"/>
    <w:tmpl w:val="4CC27A65"/>
    <w:lvl w:ilvl="0" w:tentative="0">
      <w:start w:val="2"/>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482A15"/>
    <w:multiLevelType w:val="multilevel"/>
    <w:tmpl w:val="66482A15"/>
    <w:lvl w:ilvl="0" w:tentative="0">
      <w:start w:val="1"/>
      <w:numFmt w:val="decimalEnclosedCircle"/>
      <w:lvlText w:val="%1"/>
      <w:lvlJc w:val="left"/>
      <w:pPr>
        <w:ind w:left="360" w:hanging="360"/>
      </w:pPr>
      <w:rPr>
        <w:rFonts w:hint="eastAsia" w:ascii="宋体" w:hAnsi="宋体" w:eastAsia="宋体" w:cs="TimesNewRomanPSM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lvlOverride w:ilvl="0">
      <w:startOverride w:val="1"/>
    </w:lvlOverride>
  </w:num>
  <w:num w:numId="3">
    <w:abstractNumId w:val="3"/>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D2"/>
    <w:rsid w:val="000001AB"/>
    <w:rsid w:val="00002BC3"/>
    <w:rsid w:val="000033CE"/>
    <w:rsid w:val="0000404C"/>
    <w:rsid w:val="0000476F"/>
    <w:rsid w:val="00004DA5"/>
    <w:rsid w:val="000054EC"/>
    <w:rsid w:val="00006FE2"/>
    <w:rsid w:val="00007BE4"/>
    <w:rsid w:val="0001006A"/>
    <w:rsid w:val="00011F10"/>
    <w:rsid w:val="00014370"/>
    <w:rsid w:val="00017249"/>
    <w:rsid w:val="00023006"/>
    <w:rsid w:val="000255BD"/>
    <w:rsid w:val="00026515"/>
    <w:rsid w:val="00026D2D"/>
    <w:rsid w:val="00027365"/>
    <w:rsid w:val="0003115F"/>
    <w:rsid w:val="0003325A"/>
    <w:rsid w:val="000346AF"/>
    <w:rsid w:val="000373BF"/>
    <w:rsid w:val="00040E08"/>
    <w:rsid w:val="00040FD1"/>
    <w:rsid w:val="00041719"/>
    <w:rsid w:val="0004207C"/>
    <w:rsid w:val="0004424B"/>
    <w:rsid w:val="00046B80"/>
    <w:rsid w:val="00050900"/>
    <w:rsid w:val="00050A73"/>
    <w:rsid w:val="0005328F"/>
    <w:rsid w:val="00056354"/>
    <w:rsid w:val="00056D4F"/>
    <w:rsid w:val="00061A82"/>
    <w:rsid w:val="0006535B"/>
    <w:rsid w:val="00065BDB"/>
    <w:rsid w:val="00072079"/>
    <w:rsid w:val="0007259B"/>
    <w:rsid w:val="0007387D"/>
    <w:rsid w:val="00074121"/>
    <w:rsid w:val="00074FB4"/>
    <w:rsid w:val="000759CB"/>
    <w:rsid w:val="00083E9E"/>
    <w:rsid w:val="00083ED5"/>
    <w:rsid w:val="000915EE"/>
    <w:rsid w:val="0009206D"/>
    <w:rsid w:val="0009545F"/>
    <w:rsid w:val="000967C0"/>
    <w:rsid w:val="00097E5A"/>
    <w:rsid w:val="000A4DE4"/>
    <w:rsid w:val="000A5D35"/>
    <w:rsid w:val="000B28C9"/>
    <w:rsid w:val="000B473E"/>
    <w:rsid w:val="000B5B32"/>
    <w:rsid w:val="000B69E1"/>
    <w:rsid w:val="000C01AA"/>
    <w:rsid w:val="000C45E3"/>
    <w:rsid w:val="000C4E05"/>
    <w:rsid w:val="000C5A5A"/>
    <w:rsid w:val="000D0640"/>
    <w:rsid w:val="000D276F"/>
    <w:rsid w:val="000D3131"/>
    <w:rsid w:val="000D665E"/>
    <w:rsid w:val="000E0EFD"/>
    <w:rsid w:val="000E5D04"/>
    <w:rsid w:val="000E686C"/>
    <w:rsid w:val="000F0495"/>
    <w:rsid w:val="000F0D85"/>
    <w:rsid w:val="000F11DD"/>
    <w:rsid w:val="000F2703"/>
    <w:rsid w:val="000F3FDE"/>
    <w:rsid w:val="00104F52"/>
    <w:rsid w:val="001053BB"/>
    <w:rsid w:val="00105F9B"/>
    <w:rsid w:val="00106E81"/>
    <w:rsid w:val="001073E1"/>
    <w:rsid w:val="00111B88"/>
    <w:rsid w:val="001136C1"/>
    <w:rsid w:val="001141A0"/>
    <w:rsid w:val="00115589"/>
    <w:rsid w:val="001238FF"/>
    <w:rsid w:val="00125222"/>
    <w:rsid w:val="00127D96"/>
    <w:rsid w:val="00130F4F"/>
    <w:rsid w:val="00142622"/>
    <w:rsid w:val="00160EF5"/>
    <w:rsid w:val="00163114"/>
    <w:rsid w:val="001636C1"/>
    <w:rsid w:val="00163CAF"/>
    <w:rsid w:val="00167F65"/>
    <w:rsid w:val="00174120"/>
    <w:rsid w:val="001744EE"/>
    <w:rsid w:val="0017457A"/>
    <w:rsid w:val="00174F58"/>
    <w:rsid w:val="0018533A"/>
    <w:rsid w:val="00192F3A"/>
    <w:rsid w:val="00192F76"/>
    <w:rsid w:val="00196CE2"/>
    <w:rsid w:val="001A5087"/>
    <w:rsid w:val="001B18CC"/>
    <w:rsid w:val="001B21A0"/>
    <w:rsid w:val="001B2F54"/>
    <w:rsid w:val="001B42F7"/>
    <w:rsid w:val="001C31E1"/>
    <w:rsid w:val="001D50F5"/>
    <w:rsid w:val="001D59DC"/>
    <w:rsid w:val="001D700D"/>
    <w:rsid w:val="001E2191"/>
    <w:rsid w:val="001E5CE0"/>
    <w:rsid w:val="001F1FDF"/>
    <w:rsid w:val="001F7E59"/>
    <w:rsid w:val="00206643"/>
    <w:rsid w:val="00206A33"/>
    <w:rsid w:val="002109A3"/>
    <w:rsid w:val="002152E4"/>
    <w:rsid w:val="0021545C"/>
    <w:rsid w:val="0021572F"/>
    <w:rsid w:val="0021575F"/>
    <w:rsid w:val="0021701B"/>
    <w:rsid w:val="00226503"/>
    <w:rsid w:val="00227824"/>
    <w:rsid w:val="00230FD0"/>
    <w:rsid w:val="00235EED"/>
    <w:rsid w:val="00236D72"/>
    <w:rsid w:val="00241A52"/>
    <w:rsid w:val="00242A62"/>
    <w:rsid w:val="002443C0"/>
    <w:rsid w:val="002455F1"/>
    <w:rsid w:val="002467D7"/>
    <w:rsid w:val="002474D2"/>
    <w:rsid w:val="002508DF"/>
    <w:rsid w:val="00250BC1"/>
    <w:rsid w:val="00251D23"/>
    <w:rsid w:val="00251E9B"/>
    <w:rsid w:val="00251EA6"/>
    <w:rsid w:val="0025358D"/>
    <w:rsid w:val="00253FE0"/>
    <w:rsid w:val="0026023C"/>
    <w:rsid w:val="002604B5"/>
    <w:rsid w:val="00261E96"/>
    <w:rsid w:val="002665B3"/>
    <w:rsid w:val="002712D7"/>
    <w:rsid w:val="00273030"/>
    <w:rsid w:val="002734D7"/>
    <w:rsid w:val="002774D3"/>
    <w:rsid w:val="002855D5"/>
    <w:rsid w:val="002932C1"/>
    <w:rsid w:val="0029663B"/>
    <w:rsid w:val="00296F00"/>
    <w:rsid w:val="002A3D35"/>
    <w:rsid w:val="002B12FF"/>
    <w:rsid w:val="002B5157"/>
    <w:rsid w:val="002B5C20"/>
    <w:rsid w:val="002C0841"/>
    <w:rsid w:val="002C2566"/>
    <w:rsid w:val="002C30BE"/>
    <w:rsid w:val="002C793F"/>
    <w:rsid w:val="002D0AAB"/>
    <w:rsid w:val="002D5556"/>
    <w:rsid w:val="002D5BB2"/>
    <w:rsid w:val="002D675A"/>
    <w:rsid w:val="002E04BE"/>
    <w:rsid w:val="002E4BF5"/>
    <w:rsid w:val="002E7578"/>
    <w:rsid w:val="00301625"/>
    <w:rsid w:val="003054BB"/>
    <w:rsid w:val="00312AD3"/>
    <w:rsid w:val="00312E8F"/>
    <w:rsid w:val="00314580"/>
    <w:rsid w:val="0031575D"/>
    <w:rsid w:val="00315A13"/>
    <w:rsid w:val="00317919"/>
    <w:rsid w:val="003211F4"/>
    <w:rsid w:val="003216ED"/>
    <w:rsid w:val="00325307"/>
    <w:rsid w:val="00325526"/>
    <w:rsid w:val="003256B9"/>
    <w:rsid w:val="00325C43"/>
    <w:rsid w:val="0032723D"/>
    <w:rsid w:val="00327368"/>
    <w:rsid w:val="0033086A"/>
    <w:rsid w:val="00332222"/>
    <w:rsid w:val="00332B2B"/>
    <w:rsid w:val="00334D6A"/>
    <w:rsid w:val="00334DDE"/>
    <w:rsid w:val="00336B46"/>
    <w:rsid w:val="00340249"/>
    <w:rsid w:val="00341616"/>
    <w:rsid w:val="00342A1A"/>
    <w:rsid w:val="00344639"/>
    <w:rsid w:val="00356289"/>
    <w:rsid w:val="00356409"/>
    <w:rsid w:val="00357071"/>
    <w:rsid w:val="0036298B"/>
    <w:rsid w:val="00364092"/>
    <w:rsid w:val="00364BD5"/>
    <w:rsid w:val="003726A2"/>
    <w:rsid w:val="003767C9"/>
    <w:rsid w:val="0038080A"/>
    <w:rsid w:val="003812EF"/>
    <w:rsid w:val="00384D3A"/>
    <w:rsid w:val="00390BB6"/>
    <w:rsid w:val="0039189C"/>
    <w:rsid w:val="00391BBB"/>
    <w:rsid w:val="0039399E"/>
    <w:rsid w:val="00395141"/>
    <w:rsid w:val="00395793"/>
    <w:rsid w:val="00395C57"/>
    <w:rsid w:val="003A1189"/>
    <w:rsid w:val="003A21FE"/>
    <w:rsid w:val="003A39E4"/>
    <w:rsid w:val="003A3E83"/>
    <w:rsid w:val="003A579E"/>
    <w:rsid w:val="003B0293"/>
    <w:rsid w:val="003B1923"/>
    <w:rsid w:val="003B3D01"/>
    <w:rsid w:val="003B42F2"/>
    <w:rsid w:val="003B60DD"/>
    <w:rsid w:val="003C37CE"/>
    <w:rsid w:val="003C5AD4"/>
    <w:rsid w:val="003C6C01"/>
    <w:rsid w:val="003C6CD7"/>
    <w:rsid w:val="003D01EC"/>
    <w:rsid w:val="003D5591"/>
    <w:rsid w:val="003D5D1E"/>
    <w:rsid w:val="003E0F9F"/>
    <w:rsid w:val="003E3D1B"/>
    <w:rsid w:val="003E73F8"/>
    <w:rsid w:val="003F39CE"/>
    <w:rsid w:val="003F4834"/>
    <w:rsid w:val="0040115E"/>
    <w:rsid w:val="004015E7"/>
    <w:rsid w:val="0040289E"/>
    <w:rsid w:val="0040313A"/>
    <w:rsid w:val="0040624D"/>
    <w:rsid w:val="004126C5"/>
    <w:rsid w:val="00413290"/>
    <w:rsid w:val="00413B19"/>
    <w:rsid w:val="00417F17"/>
    <w:rsid w:val="00420D96"/>
    <w:rsid w:val="00423737"/>
    <w:rsid w:val="00426936"/>
    <w:rsid w:val="00427CF3"/>
    <w:rsid w:val="00434CFA"/>
    <w:rsid w:val="004363F0"/>
    <w:rsid w:val="004379A5"/>
    <w:rsid w:val="00443EF9"/>
    <w:rsid w:val="004467F2"/>
    <w:rsid w:val="00450155"/>
    <w:rsid w:val="00451C7C"/>
    <w:rsid w:val="00453C0C"/>
    <w:rsid w:val="00460AB6"/>
    <w:rsid w:val="00463DCF"/>
    <w:rsid w:val="00467B88"/>
    <w:rsid w:val="00472E33"/>
    <w:rsid w:val="0047636C"/>
    <w:rsid w:val="004824F9"/>
    <w:rsid w:val="00484F83"/>
    <w:rsid w:val="0048632C"/>
    <w:rsid w:val="00486371"/>
    <w:rsid w:val="0048740B"/>
    <w:rsid w:val="00493073"/>
    <w:rsid w:val="00494F81"/>
    <w:rsid w:val="004A0C86"/>
    <w:rsid w:val="004A1948"/>
    <w:rsid w:val="004A63A3"/>
    <w:rsid w:val="004A7487"/>
    <w:rsid w:val="004B06E8"/>
    <w:rsid w:val="004B2727"/>
    <w:rsid w:val="004B3913"/>
    <w:rsid w:val="004C7131"/>
    <w:rsid w:val="004C7221"/>
    <w:rsid w:val="004D0168"/>
    <w:rsid w:val="004D2B98"/>
    <w:rsid w:val="004D3E29"/>
    <w:rsid w:val="004E0413"/>
    <w:rsid w:val="004E32C5"/>
    <w:rsid w:val="004F121D"/>
    <w:rsid w:val="004F2C17"/>
    <w:rsid w:val="004F5D2B"/>
    <w:rsid w:val="004F5F48"/>
    <w:rsid w:val="004F7AC7"/>
    <w:rsid w:val="00511C68"/>
    <w:rsid w:val="00523F1D"/>
    <w:rsid w:val="005262C5"/>
    <w:rsid w:val="0052714E"/>
    <w:rsid w:val="00527AB4"/>
    <w:rsid w:val="00527DF8"/>
    <w:rsid w:val="00530B57"/>
    <w:rsid w:val="00530F13"/>
    <w:rsid w:val="00540780"/>
    <w:rsid w:val="00542805"/>
    <w:rsid w:val="00544393"/>
    <w:rsid w:val="00544909"/>
    <w:rsid w:val="00545DC6"/>
    <w:rsid w:val="00545F8C"/>
    <w:rsid w:val="00550075"/>
    <w:rsid w:val="00550246"/>
    <w:rsid w:val="00550B06"/>
    <w:rsid w:val="00552F51"/>
    <w:rsid w:val="0055348C"/>
    <w:rsid w:val="00556F51"/>
    <w:rsid w:val="00562D6A"/>
    <w:rsid w:val="005678A1"/>
    <w:rsid w:val="00580EFF"/>
    <w:rsid w:val="00581638"/>
    <w:rsid w:val="00581A99"/>
    <w:rsid w:val="00584FF0"/>
    <w:rsid w:val="00585FAE"/>
    <w:rsid w:val="00586021"/>
    <w:rsid w:val="00592233"/>
    <w:rsid w:val="00594043"/>
    <w:rsid w:val="00594CE2"/>
    <w:rsid w:val="00595010"/>
    <w:rsid w:val="00595C73"/>
    <w:rsid w:val="00596C28"/>
    <w:rsid w:val="0059726A"/>
    <w:rsid w:val="00597F5C"/>
    <w:rsid w:val="005A2349"/>
    <w:rsid w:val="005A60F3"/>
    <w:rsid w:val="005B0045"/>
    <w:rsid w:val="005B43DF"/>
    <w:rsid w:val="005B5877"/>
    <w:rsid w:val="005B7C25"/>
    <w:rsid w:val="005C0FA6"/>
    <w:rsid w:val="005C35C3"/>
    <w:rsid w:val="005C38CF"/>
    <w:rsid w:val="005D202E"/>
    <w:rsid w:val="005E04CE"/>
    <w:rsid w:val="005E277C"/>
    <w:rsid w:val="005E61E3"/>
    <w:rsid w:val="005F2E12"/>
    <w:rsid w:val="005F366A"/>
    <w:rsid w:val="005F6727"/>
    <w:rsid w:val="005F71F3"/>
    <w:rsid w:val="00605DAB"/>
    <w:rsid w:val="0060670F"/>
    <w:rsid w:val="006069E2"/>
    <w:rsid w:val="00606A77"/>
    <w:rsid w:val="006073F9"/>
    <w:rsid w:val="00610BF5"/>
    <w:rsid w:val="006131EB"/>
    <w:rsid w:val="0061640E"/>
    <w:rsid w:val="00622A88"/>
    <w:rsid w:val="00625191"/>
    <w:rsid w:val="00632AA4"/>
    <w:rsid w:val="00640CE8"/>
    <w:rsid w:val="006420BA"/>
    <w:rsid w:val="006563B6"/>
    <w:rsid w:val="00670C32"/>
    <w:rsid w:val="00672259"/>
    <w:rsid w:val="00677949"/>
    <w:rsid w:val="00691C0F"/>
    <w:rsid w:val="0069570F"/>
    <w:rsid w:val="006A31B1"/>
    <w:rsid w:val="006A5719"/>
    <w:rsid w:val="006A5946"/>
    <w:rsid w:val="006A641D"/>
    <w:rsid w:val="006B3F2B"/>
    <w:rsid w:val="006B6744"/>
    <w:rsid w:val="006B6F8C"/>
    <w:rsid w:val="006C24DA"/>
    <w:rsid w:val="006C39EC"/>
    <w:rsid w:val="006C7FC5"/>
    <w:rsid w:val="006D29AA"/>
    <w:rsid w:val="006D44F9"/>
    <w:rsid w:val="006D4DD2"/>
    <w:rsid w:val="006D5179"/>
    <w:rsid w:val="006D534D"/>
    <w:rsid w:val="006D5A36"/>
    <w:rsid w:val="006D5A5A"/>
    <w:rsid w:val="006E5A44"/>
    <w:rsid w:val="006F0AAB"/>
    <w:rsid w:val="006F3284"/>
    <w:rsid w:val="00700725"/>
    <w:rsid w:val="00705AD5"/>
    <w:rsid w:val="00722217"/>
    <w:rsid w:val="0072443A"/>
    <w:rsid w:val="00726677"/>
    <w:rsid w:val="00727D98"/>
    <w:rsid w:val="00727F86"/>
    <w:rsid w:val="00730F1E"/>
    <w:rsid w:val="007329DF"/>
    <w:rsid w:val="00735860"/>
    <w:rsid w:val="007379C5"/>
    <w:rsid w:val="00741F68"/>
    <w:rsid w:val="00751629"/>
    <w:rsid w:val="0076435D"/>
    <w:rsid w:val="007660DF"/>
    <w:rsid w:val="007663CD"/>
    <w:rsid w:val="0077081E"/>
    <w:rsid w:val="00773EF6"/>
    <w:rsid w:val="00775525"/>
    <w:rsid w:val="007762FC"/>
    <w:rsid w:val="00777B71"/>
    <w:rsid w:val="007847F3"/>
    <w:rsid w:val="007915E3"/>
    <w:rsid w:val="00793058"/>
    <w:rsid w:val="00793680"/>
    <w:rsid w:val="007A165E"/>
    <w:rsid w:val="007A2869"/>
    <w:rsid w:val="007A394E"/>
    <w:rsid w:val="007A73C3"/>
    <w:rsid w:val="007A741A"/>
    <w:rsid w:val="007A78BE"/>
    <w:rsid w:val="007A794A"/>
    <w:rsid w:val="007A7F5B"/>
    <w:rsid w:val="007B4DCA"/>
    <w:rsid w:val="007B7CE1"/>
    <w:rsid w:val="007C2E21"/>
    <w:rsid w:val="007C45D7"/>
    <w:rsid w:val="007C722E"/>
    <w:rsid w:val="007D102A"/>
    <w:rsid w:val="007D232F"/>
    <w:rsid w:val="007D6B53"/>
    <w:rsid w:val="007D74FD"/>
    <w:rsid w:val="007E4B0C"/>
    <w:rsid w:val="007F1D96"/>
    <w:rsid w:val="007F6F18"/>
    <w:rsid w:val="007F732F"/>
    <w:rsid w:val="008043C9"/>
    <w:rsid w:val="0080706B"/>
    <w:rsid w:val="008110D4"/>
    <w:rsid w:val="008121FB"/>
    <w:rsid w:val="00812976"/>
    <w:rsid w:val="00823224"/>
    <w:rsid w:val="0082327F"/>
    <w:rsid w:val="00823B20"/>
    <w:rsid w:val="00826FBD"/>
    <w:rsid w:val="00830FAE"/>
    <w:rsid w:val="00831BC7"/>
    <w:rsid w:val="008346FB"/>
    <w:rsid w:val="00835281"/>
    <w:rsid w:val="00837B6B"/>
    <w:rsid w:val="00840E1D"/>
    <w:rsid w:val="00846092"/>
    <w:rsid w:val="008509FE"/>
    <w:rsid w:val="00854CBF"/>
    <w:rsid w:val="00856B13"/>
    <w:rsid w:val="00857F1E"/>
    <w:rsid w:val="008606ED"/>
    <w:rsid w:val="00860751"/>
    <w:rsid w:val="008632EC"/>
    <w:rsid w:val="0086458C"/>
    <w:rsid w:val="00865A08"/>
    <w:rsid w:val="00870FDA"/>
    <w:rsid w:val="00875648"/>
    <w:rsid w:val="00877546"/>
    <w:rsid w:val="0088134D"/>
    <w:rsid w:val="008832AA"/>
    <w:rsid w:val="0088608B"/>
    <w:rsid w:val="00891803"/>
    <w:rsid w:val="00895951"/>
    <w:rsid w:val="00895C57"/>
    <w:rsid w:val="00896853"/>
    <w:rsid w:val="00896E62"/>
    <w:rsid w:val="008A156A"/>
    <w:rsid w:val="008A1B3F"/>
    <w:rsid w:val="008A1DEF"/>
    <w:rsid w:val="008A6FF3"/>
    <w:rsid w:val="008A719D"/>
    <w:rsid w:val="008B139A"/>
    <w:rsid w:val="008B17F7"/>
    <w:rsid w:val="008B1B7D"/>
    <w:rsid w:val="008B2272"/>
    <w:rsid w:val="008B23AA"/>
    <w:rsid w:val="008B26E2"/>
    <w:rsid w:val="008B3209"/>
    <w:rsid w:val="008B5740"/>
    <w:rsid w:val="008B64D3"/>
    <w:rsid w:val="008B76B7"/>
    <w:rsid w:val="008B7EE9"/>
    <w:rsid w:val="008C3B5F"/>
    <w:rsid w:val="008C47EC"/>
    <w:rsid w:val="008C4937"/>
    <w:rsid w:val="008C5037"/>
    <w:rsid w:val="008C5FA2"/>
    <w:rsid w:val="008C61A3"/>
    <w:rsid w:val="008D0CC7"/>
    <w:rsid w:val="008D19C1"/>
    <w:rsid w:val="008D2AF9"/>
    <w:rsid w:val="008D3577"/>
    <w:rsid w:val="008D4179"/>
    <w:rsid w:val="008D456E"/>
    <w:rsid w:val="008D463D"/>
    <w:rsid w:val="008D5859"/>
    <w:rsid w:val="008E69D5"/>
    <w:rsid w:val="008F084E"/>
    <w:rsid w:val="008F0870"/>
    <w:rsid w:val="008F6C74"/>
    <w:rsid w:val="008F73C0"/>
    <w:rsid w:val="00903D4D"/>
    <w:rsid w:val="00906ABC"/>
    <w:rsid w:val="00913963"/>
    <w:rsid w:val="00917AAA"/>
    <w:rsid w:val="00917CF8"/>
    <w:rsid w:val="00920A35"/>
    <w:rsid w:val="009214F9"/>
    <w:rsid w:val="009225CD"/>
    <w:rsid w:val="00927B7C"/>
    <w:rsid w:val="00931E7D"/>
    <w:rsid w:val="00932FBA"/>
    <w:rsid w:val="0093495F"/>
    <w:rsid w:val="009370DE"/>
    <w:rsid w:val="00941CC1"/>
    <w:rsid w:val="00943213"/>
    <w:rsid w:val="00943453"/>
    <w:rsid w:val="009520FA"/>
    <w:rsid w:val="00956302"/>
    <w:rsid w:val="009564F0"/>
    <w:rsid w:val="009603D5"/>
    <w:rsid w:val="00960588"/>
    <w:rsid w:val="009610A6"/>
    <w:rsid w:val="009638F2"/>
    <w:rsid w:val="00964349"/>
    <w:rsid w:val="00966DBE"/>
    <w:rsid w:val="009677F7"/>
    <w:rsid w:val="00970766"/>
    <w:rsid w:val="009804A0"/>
    <w:rsid w:val="009816FF"/>
    <w:rsid w:val="00990C3B"/>
    <w:rsid w:val="00990D33"/>
    <w:rsid w:val="0099336E"/>
    <w:rsid w:val="009971BF"/>
    <w:rsid w:val="009A6CE8"/>
    <w:rsid w:val="009B13F0"/>
    <w:rsid w:val="009B49E9"/>
    <w:rsid w:val="009B4F5E"/>
    <w:rsid w:val="009C17CC"/>
    <w:rsid w:val="009C4A2C"/>
    <w:rsid w:val="009C4C3B"/>
    <w:rsid w:val="009C5082"/>
    <w:rsid w:val="009C5C62"/>
    <w:rsid w:val="009C7108"/>
    <w:rsid w:val="009D1EB7"/>
    <w:rsid w:val="009D1F72"/>
    <w:rsid w:val="009D28C9"/>
    <w:rsid w:val="009D3602"/>
    <w:rsid w:val="009D5D5C"/>
    <w:rsid w:val="009D60E5"/>
    <w:rsid w:val="009E2883"/>
    <w:rsid w:val="009E34A2"/>
    <w:rsid w:val="009E3DB2"/>
    <w:rsid w:val="009E4832"/>
    <w:rsid w:val="009E5A61"/>
    <w:rsid w:val="009E5F92"/>
    <w:rsid w:val="009E7E41"/>
    <w:rsid w:val="009F021C"/>
    <w:rsid w:val="009F3FB6"/>
    <w:rsid w:val="009F40EC"/>
    <w:rsid w:val="009F5083"/>
    <w:rsid w:val="009F53BF"/>
    <w:rsid w:val="009F62D3"/>
    <w:rsid w:val="00A01766"/>
    <w:rsid w:val="00A04F1E"/>
    <w:rsid w:val="00A06192"/>
    <w:rsid w:val="00A071AD"/>
    <w:rsid w:val="00A108E7"/>
    <w:rsid w:val="00A14030"/>
    <w:rsid w:val="00A14D0E"/>
    <w:rsid w:val="00A15B0D"/>
    <w:rsid w:val="00A168B4"/>
    <w:rsid w:val="00A2172A"/>
    <w:rsid w:val="00A2558D"/>
    <w:rsid w:val="00A25A5C"/>
    <w:rsid w:val="00A25F2D"/>
    <w:rsid w:val="00A265F6"/>
    <w:rsid w:val="00A3164A"/>
    <w:rsid w:val="00A35A99"/>
    <w:rsid w:val="00A457C7"/>
    <w:rsid w:val="00A52550"/>
    <w:rsid w:val="00A52651"/>
    <w:rsid w:val="00A60045"/>
    <w:rsid w:val="00A60B82"/>
    <w:rsid w:val="00A76BC0"/>
    <w:rsid w:val="00A839C4"/>
    <w:rsid w:val="00A845C2"/>
    <w:rsid w:val="00A91E4E"/>
    <w:rsid w:val="00A93066"/>
    <w:rsid w:val="00A96066"/>
    <w:rsid w:val="00AA715D"/>
    <w:rsid w:val="00AB3B25"/>
    <w:rsid w:val="00AB3E5A"/>
    <w:rsid w:val="00AB5321"/>
    <w:rsid w:val="00AC06E5"/>
    <w:rsid w:val="00AC0B5A"/>
    <w:rsid w:val="00AC159D"/>
    <w:rsid w:val="00AC2961"/>
    <w:rsid w:val="00AC7060"/>
    <w:rsid w:val="00AC7EB4"/>
    <w:rsid w:val="00AD0569"/>
    <w:rsid w:val="00AD1D14"/>
    <w:rsid w:val="00AD5439"/>
    <w:rsid w:val="00AE2D9E"/>
    <w:rsid w:val="00AE3632"/>
    <w:rsid w:val="00AE5086"/>
    <w:rsid w:val="00AF05DB"/>
    <w:rsid w:val="00AF5351"/>
    <w:rsid w:val="00AF59EB"/>
    <w:rsid w:val="00AF6791"/>
    <w:rsid w:val="00AF7ADF"/>
    <w:rsid w:val="00AF7DD2"/>
    <w:rsid w:val="00B01935"/>
    <w:rsid w:val="00B05594"/>
    <w:rsid w:val="00B06560"/>
    <w:rsid w:val="00B1688C"/>
    <w:rsid w:val="00B20666"/>
    <w:rsid w:val="00B24CE0"/>
    <w:rsid w:val="00B26406"/>
    <w:rsid w:val="00B3595B"/>
    <w:rsid w:val="00B36767"/>
    <w:rsid w:val="00B44EBE"/>
    <w:rsid w:val="00B4544A"/>
    <w:rsid w:val="00B45696"/>
    <w:rsid w:val="00B47335"/>
    <w:rsid w:val="00B513CD"/>
    <w:rsid w:val="00B57041"/>
    <w:rsid w:val="00B62561"/>
    <w:rsid w:val="00B65C28"/>
    <w:rsid w:val="00B6796B"/>
    <w:rsid w:val="00B70114"/>
    <w:rsid w:val="00B73BDC"/>
    <w:rsid w:val="00B76274"/>
    <w:rsid w:val="00B7632E"/>
    <w:rsid w:val="00B80BD8"/>
    <w:rsid w:val="00B82897"/>
    <w:rsid w:val="00B841D1"/>
    <w:rsid w:val="00B94084"/>
    <w:rsid w:val="00B970A4"/>
    <w:rsid w:val="00B970D1"/>
    <w:rsid w:val="00B97E36"/>
    <w:rsid w:val="00BA703A"/>
    <w:rsid w:val="00BB5335"/>
    <w:rsid w:val="00BB549D"/>
    <w:rsid w:val="00BB5B9E"/>
    <w:rsid w:val="00BC481D"/>
    <w:rsid w:val="00BC4DE0"/>
    <w:rsid w:val="00BC7572"/>
    <w:rsid w:val="00BD015E"/>
    <w:rsid w:val="00BD5E73"/>
    <w:rsid w:val="00BE0D62"/>
    <w:rsid w:val="00BE1011"/>
    <w:rsid w:val="00BE4B25"/>
    <w:rsid w:val="00BE5A69"/>
    <w:rsid w:val="00BE7C16"/>
    <w:rsid w:val="00BF4CC0"/>
    <w:rsid w:val="00BF4D67"/>
    <w:rsid w:val="00BF7EAB"/>
    <w:rsid w:val="00C01640"/>
    <w:rsid w:val="00C02ADC"/>
    <w:rsid w:val="00C0717D"/>
    <w:rsid w:val="00C12FE5"/>
    <w:rsid w:val="00C14AFC"/>
    <w:rsid w:val="00C15FCF"/>
    <w:rsid w:val="00C17B5B"/>
    <w:rsid w:val="00C216DB"/>
    <w:rsid w:val="00C24FE9"/>
    <w:rsid w:val="00C25D7E"/>
    <w:rsid w:val="00C44D63"/>
    <w:rsid w:val="00C50EB3"/>
    <w:rsid w:val="00C54EB4"/>
    <w:rsid w:val="00C60802"/>
    <w:rsid w:val="00C635C5"/>
    <w:rsid w:val="00C64506"/>
    <w:rsid w:val="00C65241"/>
    <w:rsid w:val="00C660D2"/>
    <w:rsid w:val="00C67197"/>
    <w:rsid w:val="00C7102C"/>
    <w:rsid w:val="00C75694"/>
    <w:rsid w:val="00C75C05"/>
    <w:rsid w:val="00C82806"/>
    <w:rsid w:val="00C86B2A"/>
    <w:rsid w:val="00C87A53"/>
    <w:rsid w:val="00C91681"/>
    <w:rsid w:val="00C936AE"/>
    <w:rsid w:val="00C94A2B"/>
    <w:rsid w:val="00C9600E"/>
    <w:rsid w:val="00CA03FA"/>
    <w:rsid w:val="00CA264B"/>
    <w:rsid w:val="00CA27AE"/>
    <w:rsid w:val="00CA2926"/>
    <w:rsid w:val="00CA4262"/>
    <w:rsid w:val="00CB0070"/>
    <w:rsid w:val="00CB0E3C"/>
    <w:rsid w:val="00CB1AFE"/>
    <w:rsid w:val="00CB3158"/>
    <w:rsid w:val="00CB41CB"/>
    <w:rsid w:val="00CB43C2"/>
    <w:rsid w:val="00CC5F2D"/>
    <w:rsid w:val="00CD62AD"/>
    <w:rsid w:val="00CE2F27"/>
    <w:rsid w:val="00CE2FAA"/>
    <w:rsid w:val="00CE3999"/>
    <w:rsid w:val="00CE3B80"/>
    <w:rsid w:val="00CF182D"/>
    <w:rsid w:val="00CF18AA"/>
    <w:rsid w:val="00CF4F60"/>
    <w:rsid w:val="00CF5ECF"/>
    <w:rsid w:val="00CF6B69"/>
    <w:rsid w:val="00D01B8E"/>
    <w:rsid w:val="00D02B5A"/>
    <w:rsid w:val="00D050E8"/>
    <w:rsid w:val="00D071F4"/>
    <w:rsid w:val="00D110CE"/>
    <w:rsid w:val="00D1387F"/>
    <w:rsid w:val="00D1615B"/>
    <w:rsid w:val="00D167CF"/>
    <w:rsid w:val="00D22E5C"/>
    <w:rsid w:val="00D35C85"/>
    <w:rsid w:val="00D36CBB"/>
    <w:rsid w:val="00D37074"/>
    <w:rsid w:val="00D37718"/>
    <w:rsid w:val="00D47682"/>
    <w:rsid w:val="00D54C74"/>
    <w:rsid w:val="00D60254"/>
    <w:rsid w:val="00D61952"/>
    <w:rsid w:val="00D63414"/>
    <w:rsid w:val="00D6710D"/>
    <w:rsid w:val="00D701DC"/>
    <w:rsid w:val="00D737B5"/>
    <w:rsid w:val="00D73AC4"/>
    <w:rsid w:val="00D75CF1"/>
    <w:rsid w:val="00D7739F"/>
    <w:rsid w:val="00D8139C"/>
    <w:rsid w:val="00D819AD"/>
    <w:rsid w:val="00D82043"/>
    <w:rsid w:val="00D82848"/>
    <w:rsid w:val="00D840A7"/>
    <w:rsid w:val="00D865BD"/>
    <w:rsid w:val="00D865EF"/>
    <w:rsid w:val="00D96FF1"/>
    <w:rsid w:val="00DA17B1"/>
    <w:rsid w:val="00DA1928"/>
    <w:rsid w:val="00DA35C4"/>
    <w:rsid w:val="00DA616A"/>
    <w:rsid w:val="00DB025B"/>
    <w:rsid w:val="00DB191B"/>
    <w:rsid w:val="00DB7879"/>
    <w:rsid w:val="00DC042F"/>
    <w:rsid w:val="00DC2406"/>
    <w:rsid w:val="00DC3A6B"/>
    <w:rsid w:val="00DC486D"/>
    <w:rsid w:val="00DC4D3A"/>
    <w:rsid w:val="00DE2173"/>
    <w:rsid w:val="00DE3C51"/>
    <w:rsid w:val="00DF1113"/>
    <w:rsid w:val="00DF5253"/>
    <w:rsid w:val="00DF5260"/>
    <w:rsid w:val="00E02178"/>
    <w:rsid w:val="00E06881"/>
    <w:rsid w:val="00E1141F"/>
    <w:rsid w:val="00E11E6D"/>
    <w:rsid w:val="00E126FB"/>
    <w:rsid w:val="00E22C4A"/>
    <w:rsid w:val="00E250A2"/>
    <w:rsid w:val="00E26F52"/>
    <w:rsid w:val="00E27BEB"/>
    <w:rsid w:val="00E309BC"/>
    <w:rsid w:val="00E359BF"/>
    <w:rsid w:val="00E43F1B"/>
    <w:rsid w:val="00E45448"/>
    <w:rsid w:val="00E47A46"/>
    <w:rsid w:val="00E549F2"/>
    <w:rsid w:val="00E54A10"/>
    <w:rsid w:val="00E55371"/>
    <w:rsid w:val="00E60180"/>
    <w:rsid w:val="00E602C1"/>
    <w:rsid w:val="00E61917"/>
    <w:rsid w:val="00E626AE"/>
    <w:rsid w:val="00E63079"/>
    <w:rsid w:val="00E6372D"/>
    <w:rsid w:val="00E66570"/>
    <w:rsid w:val="00E714D1"/>
    <w:rsid w:val="00E72CD3"/>
    <w:rsid w:val="00E74E20"/>
    <w:rsid w:val="00E7576F"/>
    <w:rsid w:val="00E920AD"/>
    <w:rsid w:val="00E9248F"/>
    <w:rsid w:val="00E92884"/>
    <w:rsid w:val="00E92C68"/>
    <w:rsid w:val="00E969F8"/>
    <w:rsid w:val="00E96D9A"/>
    <w:rsid w:val="00EA4EA8"/>
    <w:rsid w:val="00EA4ED9"/>
    <w:rsid w:val="00EB371E"/>
    <w:rsid w:val="00EB7614"/>
    <w:rsid w:val="00EC5FFC"/>
    <w:rsid w:val="00EE1226"/>
    <w:rsid w:val="00EE647D"/>
    <w:rsid w:val="00EF004F"/>
    <w:rsid w:val="00EF0F7E"/>
    <w:rsid w:val="00F05EAD"/>
    <w:rsid w:val="00F060C1"/>
    <w:rsid w:val="00F071B5"/>
    <w:rsid w:val="00F07552"/>
    <w:rsid w:val="00F07B7B"/>
    <w:rsid w:val="00F13A6E"/>
    <w:rsid w:val="00F161AC"/>
    <w:rsid w:val="00F23109"/>
    <w:rsid w:val="00F26ABD"/>
    <w:rsid w:val="00F270CC"/>
    <w:rsid w:val="00F2781E"/>
    <w:rsid w:val="00F31F0E"/>
    <w:rsid w:val="00F335E2"/>
    <w:rsid w:val="00F34BC3"/>
    <w:rsid w:val="00F37091"/>
    <w:rsid w:val="00F378C0"/>
    <w:rsid w:val="00F46F9B"/>
    <w:rsid w:val="00F50F2A"/>
    <w:rsid w:val="00F5257D"/>
    <w:rsid w:val="00F5309C"/>
    <w:rsid w:val="00F545E7"/>
    <w:rsid w:val="00F71C54"/>
    <w:rsid w:val="00F74056"/>
    <w:rsid w:val="00F82FC9"/>
    <w:rsid w:val="00F8565B"/>
    <w:rsid w:val="00F922C4"/>
    <w:rsid w:val="00F940D1"/>
    <w:rsid w:val="00FA12A6"/>
    <w:rsid w:val="00FA16BB"/>
    <w:rsid w:val="00FA1BFE"/>
    <w:rsid w:val="00FA3101"/>
    <w:rsid w:val="00FA4318"/>
    <w:rsid w:val="00FA5679"/>
    <w:rsid w:val="00FA5EDB"/>
    <w:rsid w:val="00FA60F8"/>
    <w:rsid w:val="00FA7550"/>
    <w:rsid w:val="00FB4C9B"/>
    <w:rsid w:val="00FB5B83"/>
    <w:rsid w:val="00FB5BC3"/>
    <w:rsid w:val="00FB6AB9"/>
    <w:rsid w:val="00FC0139"/>
    <w:rsid w:val="00FC4754"/>
    <w:rsid w:val="00FD1B38"/>
    <w:rsid w:val="00FD4696"/>
    <w:rsid w:val="00FD6DC2"/>
    <w:rsid w:val="00FD6F2B"/>
    <w:rsid w:val="00FE4D71"/>
    <w:rsid w:val="00FE673D"/>
    <w:rsid w:val="00FF0735"/>
    <w:rsid w:val="00FF7B02"/>
    <w:rsid w:val="01681B97"/>
    <w:rsid w:val="01862CB3"/>
    <w:rsid w:val="01897386"/>
    <w:rsid w:val="029C0F92"/>
    <w:rsid w:val="05597A8E"/>
    <w:rsid w:val="05660CD4"/>
    <w:rsid w:val="0642466F"/>
    <w:rsid w:val="06BD3657"/>
    <w:rsid w:val="07734979"/>
    <w:rsid w:val="09CA7ABD"/>
    <w:rsid w:val="0A4C6264"/>
    <w:rsid w:val="0AF559FE"/>
    <w:rsid w:val="0D004C88"/>
    <w:rsid w:val="0F78091C"/>
    <w:rsid w:val="0FA945B7"/>
    <w:rsid w:val="0FE3460A"/>
    <w:rsid w:val="138E4DA7"/>
    <w:rsid w:val="13D84738"/>
    <w:rsid w:val="149D000F"/>
    <w:rsid w:val="16651A1E"/>
    <w:rsid w:val="16EF06ED"/>
    <w:rsid w:val="176A459C"/>
    <w:rsid w:val="17A346BF"/>
    <w:rsid w:val="19E8072D"/>
    <w:rsid w:val="1AA81C3E"/>
    <w:rsid w:val="1B9F5DE8"/>
    <w:rsid w:val="1BE7A1DB"/>
    <w:rsid w:val="1C4B388D"/>
    <w:rsid w:val="1D125E3C"/>
    <w:rsid w:val="1DE9072C"/>
    <w:rsid w:val="1E380731"/>
    <w:rsid w:val="1E3F2774"/>
    <w:rsid w:val="1E4D3EDE"/>
    <w:rsid w:val="1FD60B30"/>
    <w:rsid w:val="1FE71C39"/>
    <w:rsid w:val="21A23A96"/>
    <w:rsid w:val="21F06AC5"/>
    <w:rsid w:val="22A038EE"/>
    <w:rsid w:val="23CD4F10"/>
    <w:rsid w:val="24FE7B51"/>
    <w:rsid w:val="26B94494"/>
    <w:rsid w:val="27764169"/>
    <w:rsid w:val="27CD3E9C"/>
    <w:rsid w:val="2A52662E"/>
    <w:rsid w:val="2AF14141"/>
    <w:rsid w:val="2B3E5CDA"/>
    <w:rsid w:val="2C7D11E0"/>
    <w:rsid w:val="2CEE141D"/>
    <w:rsid w:val="2DE20727"/>
    <w:rsid w:val="2E5941AE"/>
    <w:rsid w:val="2EBC5ED6"/>
    <w:rsid w:val="2FF95D78"/>
    <w:rsid w:val="30972014"/>
    <w:rsid w:val="321860C9"/>
    <w:rsid w:val="330B1FE1"/>
    <w:rsid w:val="33960115"/>
    <w:rsid w:val="34B6593F"/>
    <w:rsid w:val="35083701"/>
    <w:rsid w:val="364E3D16"/>
    <w:rsid w:val="36AB53F9"/>
    <w:rsid w:val="376101C5"/>
    <w:rsid w:val="37BF3BB7"/>
    <w:rsid w:val="38B86CCE"/>
    <w:rsid w:val="39897C3B"/>
    <w:rsid w:val="39CD5A57"/>
    <w:rsid w:val="3AAF2776"/>
    <w:rsid w:val="3B104521"/>
    <w:rsid w:val="3B3F691F"/>
    <w:rsid w:val="3BB42DE6"/>
    <w:rsid w:val="3CDFF3FA"/>
    <w:rsid w:val="3D737B5A"/>
    <w:rsid w:val="3E355000"/>
    <w:rsid w:val="3E8C3134"/>
    <w:rsid w:val="3F7E8AED"/>
    <w:rsid w:val="3FF7CD07"/>
    <w:rsid w:val="3FFCA20F"/>
    <w:rsid w:val="42A354B3"/>
    <w:rsid w:val="441A242C"/>
    <w:rsid w:val="458355B5"/>
    <w:rsid w:val="46402F39"/>
    <w:rsid w:val="4717534D"/>
    <w:rsid w:val="476D14DB"/>
    <w:rsid w:val="476D4176"/>
    <w:rsid w:val="48EA0055"/>
    <w:rsid w:val="495EECD7"/>
    <w:rsid w:val="4A9522DB"/>
    <w:rsid w:val="4BAB79D5"/>
    <w:rsid w:val="4C522304"/>
    <w:rsid w:val="4CCC6745"/>
    <w:rsid w:val="4D6C52E1"/>
    <w:rsid w:val="4F7F41E1"/>
    <w:rsid w:val="50F45068"/>
    <w:rsid w:val="514C0518"/>
    <w:rsid w:val="53DB244A"/>
    <w:rsid w:val="542D0F28"/>
    <w:rsid w:val="561243B4"/>
    <w:rsid w:val="579B314A"/>
    <w:rsid w:val="57A731A0"/>
    <w:rsid w:val="57F10F8B"/>
    <w:rsid w:val="5830704F"/>
    <w:rsid w:val="58D44D17"/>
    <w:rsid w:val="59381795"/>
    <w:rsid w:val="5B3406F7"/>
    <w:rsid w:val="5BC9177B"/>
    <w:rsid w:val="5BDF6932"/>
    <w:rsid w:val="5BFFA4A0"/>
    <w:rsid w:val="5DB751F5"/>
    <w:rsid w:val="5DCBDD64"/>
    <w:rsid w:val="5EAFC411"/>
    <w:rsid w:val="5FEC23E8"/>
    <w:rsid w:val="61CB788F"/>
    <w:rsid w:val="634D34A3"/>
    <w:rsid w:val="6657323F"/>
    <w:rsid w:val="67F164EF"/>
    <w:rsid w:val="67FC4EE5"/>
    <w:rsid w:val="68DF5F6A"/>
    <w:rsid w:val="69F634B0"/>
    <w:rsid w:val="6ADA7E71"/>
    <w:rsid w:val="6B7F7A55"/>
    <w:rsid w:val="6BDD6BAD"/>
    <w:rsid w:val="6CF7018C"/>
    <w:rsid w:val="6DDF21D5"/>
    <w:rsid w:val="6E7F4291"/>
    <w:rsid w:val="6ECBDB44"/>
    <w:rsid w:val="6F37CFD4"/>
    <w:rsid w:val="6F446E8B"/>
    <w:rsid w:val="6FB07D14"/>
    <w:rsid w:val="6FF744B1"/>
    <w:rsid w:val="6FFFB906"/>
    <w:rsid w:val="70C07217"/>
    <w:rsid w:val="723F5428"/>
    <w:rsid w:val="72702CFF"/>
    <w:rsid w:val="74100CD1"/>
    <w:rsid w:val="76EF7DC8"/>
    <w:rsid w:val="777EAD74"/>
    <w:rsid w:val="77BEE8AD"/>
    <w:rsid w:val="77DE0860"/>
    <w:rsid w:val="78BD6FC5"/>
    <w:rsid w:val="7971638D"/>
    <w:rsid w:val="799A171D"/>
    <w:rsid w:val="79BF751E"/>
    <w:rsid w:val="7A3D3B8E"/>
    <w:rsid w:val="7AFF05DA"/>
    <w:rsid w:val="7AFFF898"/>
    <w:rsid w:val="7BDEEB06"/>
    <w:rsid w:val="7C5A5229"/>
    <w:rsid w:val="7C8BF5F3"/>
    <w:rsid w:val="7D5D22AE"/>
    <w:rsid w:val="7D6FCE46"/>
    <w:rsid w:val="7DCFABE1"/>
    <w:rsid w:val="7DDF089B"/>
    <w:rsid w:val="7E693A88"/>
    <w:rsid w:val="7EBFC2F1"/>
    <w:rsid w:val="7F1D9201"/>
    <w:rsid w:val="7FCE47B6"/>
    <w:rsid w:val="7FD69077"/>
    <w:rsid w:val="7FD7831C"/>
    <w:rsid w:val="7FED34F4"/>
    <w:rsid w:val="9FBFB957"/>
    <w:rsid w:val="B7FF0FDA"/>
    <w:rsid w:val="B7FF17FE"/>
    <w:rsid w:val="B9FB8B5C"/>
    <w:rsid w:val="BE7B39C1"/>
    <w:rsid w:val="BFF731B8"/>
    <w:rsid w:val="BFFAC6A3"/>
    <w:rsid w:val="C7FC6AE6"/>
    <w:rsid w:val="CFFDC07A"/>
    <w:rsid w:val="D6647857"/>
    <w:rsid w:val="DBBE3DFC"/>
    <w:rsid w:val="F77EC40E"/>
    <w:rsid w:val="F79FFCA2"/>
    <w:rsid w:val="F7BDE89D"/>
    <w:rsid w:val="F7CEA207"/>
    <w:rsid w:val="F7FF503E"/>
    <w:rsid w:val="F9D9D114"/>
    <w:rsid w:val="FB1CE328"/>
    <w:rsid w:val="FBBED1C6"/>
    <w:rsid w:val="FBFEE20D"/>
    <w:rsid w:val="FEEF7405"/>
    <w:rsid w:val="FFDFD5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99" w:semiHidden="0"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0" w:name="Table Web 2" w:locked="1"/>
    <w:lsdException w:uiPriority="0" w:name="Table Web 3" w:locked="1"/>
    <w:lsdException w:qFormat="1" w:unhideWhenUsed="0" w:uiPriority="99"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1"/>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8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83"/>
    <w:qFormat/>
    <w:uiPriority w:val="99"/>
    <w:pPr>
      <w:keepNext/>
      <w:keepLines/>
      <w:spacing w:before="260" w:after="260" w:line="416" w:lineRule="auto"/>
      <w:outlineLvl w:val="2"/>
    </w:pPr>
    <w:rPr>
      <w:rFonts w:ascii="Times New Roman" w:hAnsi="Times New Roman" w:cs="Times New Roman"/>
      <w:b/>
      <w:bCs/>
      <w:sz w:val="32"/>
      <w:szCs w:val="32"/>
    </w:rPr>
  </w:style>
  <w:style w:type="paragraph" w:styleId="6">
    <w:name w:val="heading 4"/>
    <w:basedOn w:val="1"/>
    <w:next w:val="1"/>
    <w:link w:val="84"/>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1"/>
    <w:link w:val="85"/>
    <w:qFormat/>
    <w:uiPriority w:val="99"/>
    <w:pPr>
      <w:keepNext/>
      <w:keepLines/>
      <w:spacing w:before="280" w:after="290" w:line="376" w:lineRule="auto"/>
      <w:outlineLvl w:val="4"/>
    </w:pPr>
    <w:rPr>
      <w:rFonts w:ascii="Times New Roman" w:hAnsi="Times New Roman" w:cs="Times New Roman"/>
      <w:b/>
      <w:bCs/>
      <w:sz w:val="28"/>
      <w:szCs w:val="28"/>
    </w:rPr>
  </w:style>
  <w:style w:type="paragraph" w:styleId="8">
    <w:name w:val="heading 6"/>
    <w:basedOn w:val="1"/>
    <w:next w:val="1"/>
    <w:link w:val="86"/>
    <w:qFormat/>
    <w:uiPriority w:val="99"/>
    <w:pPr>
      <w:keepNext/>
      <w:keepLines/>
      <w:spacing w:before="240" w:after="64" w:line="320" w:lineRule="auto"/>
      <w:outlineLvl w:val="5"/>
    </w:pPr>
    <w:rPr>
      <w:rFonts w:ascii="Arial" w:hAnsi="Arial" w:eastAsia="黑体" w:cs="Arial"/>
      <w:b/>
      <w:bCs/>
      <w:sz w:val="24"/>
      <w:szCs w:val="24"/>
    </w:rPr>
  </w:style>
  <w:style w:type="paragraph" w:styleId="9">
    <w:name w:val="heading 7"/>
    <w:basedOn w:val="1"/>
    <w:next w:val="1"/>
    <w:link w:val="87"/>
    <w:qFormat/>
    <w:uiPriority w:val="99"/>
    <w:pPr>
      <w:keepNext/>
      <w:keepLines/>
      <w:spacing w:before="240" w:after="64" w:line="320" w:lineRule="auto"/>
      <w:outlineLvl w:val="6"/>
    </w:pPr>
    <w:rPr>
      <w:rFonts w:ascii="Times New Roman" w:hAnsi="Times New Roman" w:cs="Times New Roman"/>
      <w:b/>
      <w:bCs/>
      <w:sz w:val="24"/>
      <w:szCs w:val="24"/>
    </w:rPr>
  </w:style>
  <w:style w:type="paragraph" w:styleId="10">
    <w:name w:val="heading 8"/>
    <w:basedOn w:val="1"/>
    <w:next w:val="1"/>
    <w:link w:val="88"/>
    <w:qFormat/>
    <w:uiPriority w:val="99"/>
    <w:pPr>
      <w:keepNext/>
      <w:keepLines/>
      <w:spacing w:before="240" w:after="64" w:line="320" w:lineRule="auto"/>
      <w:outlineLvl w:val="7"/>
    </w:pPr>
    <w:rPr>
      <w:rFonts w:ascii="Arial" w:hAnsi="Arial" w:eastAsia="黑体" w:cs="Arial"/>
      <w:sz w:val="24"/>
      <w:szCs w:val="24"/>
    </w:rPr>
  </w:style>
  <w:style w:type="paragraph" w:styleId="11">
    <w:name w:val="heading 9"/>
    <w:basedOn w:val="1"/>
    <w:next w:val="1"/>
    <w:link w:val="89"/>
    <w:qFormat/>
    <w:uiPriority w:val="99"/>
    <w:pPr>
      <w:keepNext/>
      <w:keepLines/>
      <w:spacing w:before="240" w:after="64" w:line="320" w:lineRule="auto"/>
      <w:outlineLvl w:val="8"/>
    </w:pPr>
    <w:rPr>
      <w:rFonts w:ascii="Arial" w:hAnsi="Arial" w:eastAsia="黑体" w:cs="Arial"/>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04"/>
    <w:semiHidden/>
    <w:qFormat/>
    <w:uiPriority w:val="99"/>
    <w:pPr>
      <w:snapToGrid w:val="0"/>
      <w:jc w:val="left"/>
    </w:pPr>
    <w:rPr>
      <w:sz w:val="18"/>
      <w:szCs w:val="18"/>
    </w:rPr>
  </w:style>
  <w:style w:type="paragraph" w:styleId="12">
    <w:name w:val="List 3"/>
    <w:basedOn w:val="1"/>
    <w:qFormat/>
    <w:uiPriority w:val="99"/>
    <w:pPr>
      <w:ind w:left="1260" w:hanging="420"/>
    </w:pPr>
    <w:rPr>
      <w:rFonts w:ascii="Times New Roman" w:hAnsi="Times New Roman" w:cs="Times New Roman"/>
    </w:rPr>
  </w:style>
  <w:style w:type="paragraph" w:styleId="13">
    <w:name w:val="toc 7"/>
    <w:basedOn w:val="1"/>
    <w:next w:val="1"/>
    <w:semiHidden/>
    <w:qFormat/>
    <w:uiPriority w:val="99"/>
    <w:pPr>
      <w:ind w:left="1260"/>
      <w:jc w:val="left"/>
    </w:pPr>
    <w:rPr>
      <w:rFonts w:ascii="Times New Roman" w:hAnsi="Times New Roman" w:cs="Times New Roman"/>
      <w:sz w:val="18"/>
      <w:szCs w:val="18"/>
    </w:rPr>
  </w:style>
  <w:style w:type="paragraph" w:styleId="14">
    <w:name w:val="List Number 2"/>
    <w:basedOn w:val="1"/>
    <w:qFormat/>
    <w:uiPriority w:val="99"/>
    <w:pPr>
      <w:tabs>
        <w:tab w:val="left" w:pos="780"/>
      </w:tabs>
      <w:ind w:left="780" w:hanging="360"/>
    </w:pPr>
    <w:rPr>
      <w:rFonts w:ascii="Times New Roman" w:hAnsi="Times New Roman" w:cs="Times New Roman"/>
    </w:rPr>
  </w:style>
  <w:style w:type="paragraph" w:styleId="15">
    <w:name w:val="Note Heading"/>
    <w:basedOn w:val="1"/>
    <w:next w:val="1"/>
    <w:link w:val="90"/>
    <w:qFormat/>
    <w:uiPriority w:val="99"/>
    <w:pPr>
      <w:jc w:val="center"/>
    </w:pPr>
    <w:rPr>
      <w:rFonts w:ascii="time new roman" w:hAnsi="time new roman" w:eastAsia="长城粗隶书" w:cs="time new roman"/>
    </w:rPr>
  </w:style>
  <w:style w:type="paragraph" w:styleId="16">
    <w:name w:val="List Bullet 4"/>
    <w:basedOn w:val="1"/>
    <w:qFormat/>
    <w:uiPriority w:val="99"/>
    <w:pPr>
      <w:tabs>
        <w:tab w:val="left" w:pos="1620"/>
      </w:tabs>
      <w:ind w:left="1620" w:hanging="360"/>
    </w:pPr>
    <w:rPr>
      <w:rFonts w:ascii="Times New Roman" w:hAnsi="Times New Roman" w:cs="Times New Roman"/>
    </w:rPr>
  </w:style>
  <w:style w:type="paragraph" w:styleId="17">
    <w:name w:val="E-mail Signature"/>
    <w:basedOn w:val="1"/>
    <w:link w:val="91"/>
    <w:qFormat/>
    <w:uiPriority w:val="99"/>
  </w:style>
  <w:style w:type="paragraph" w:styleId="18">
    <w:name w:val="List Number"/>
    <w:basedOn w:val="1"/>
    <w:qFormat/>
    <w:uiPriority w:val="99"/>
    <w:pPr>
      <w:widowControl/>
      <w:tabs>
        <w:tab w:val="left" w:pos="454"/>
        <w:tab w:val="left" w:pos="720"/>
      </w:tabs>
      <w:spacing w:afterLines="50"/>
      <w:ind w:left="454" w:hanging="284"/>
      <w:jc w:val="left"/>
    </w:pPr>
    <w:rPr>
      <w:rFonts w:ascii="Times New Roman" w:hAnsi="Times New Roman" w:cs="Times New Roman"/>
      <w:kern w:val="0"/>
      <w:sz w:val="24"/>
      <w:szCs w:val="24"/>
    </w:rPr>
  </w:style>
  <w:style w:type="paragraph" w:styleId="19">
    <w:name w:val="Normal Indent"/>
    <w:basedOn w:val="1"/>
    <w:link w:val="166"/>
    <w:qFormat/>
    <w:uiPriority w:val="0"/>
    <w:pPr>
      <w:ind w:firstLine="420"/>
    </w:pPr>
    <w:rPr>
      <w:kern w:val="0"/>
      <w:sz w:val="20"/>
      <w:szCs w:val="20"/>
    </w:rPr>
  </w:style>
  <w:style w:type="paragraph" w:styleId="20">
    <w:name w:val="caption"/>
    <w:basedOn w:val="1"/>
    <w:next w:val="1"/>
    <w:qFormat/>
    <w:uiPriority w:val="99"/>
    <w:rPr>
      <w:rFonts w:ascii="Arial" w:hAnsi="Arial" w:eastAsia="黑体" w:cs="Arial"/>
      <w:sz w:val="20"/>
      <w:szCs w:val="20"/>
    </w:rPr>
  </w:style>
  <w:style w:type="paragraph" w:styleId="21">
    <w:name w:val="List Bullet"/>
    <w:basedOn w:val="1"/>
    <w:link w:val="149"/>
    <w:qFormat/>
    <w:uiPriority w:val="99"/>
    <w:pPr>
      <w:tabs>
        <w:tab w:val="left" w:pos="360"/>
      </w:tabs>
      <w:ind w:left="360" w:hanging="360"/>
    </w:pPr>
    <w:rPr>
      <w:kern w:val="0"/>
      <w:sz w:val="20"/>
      <w:szCs w:val="20"/>
    </w:rPr>
  </w:style>
  <w:style w:type="paragraph" w:styleId="22">
    <w:name w:val="Document Map"/>
    <w:basedOn w:val="1"/>
    <w:link w:val="92"/>
    <w:semiHidden/>
    <w:qFormat/>
    <w:uiPriority w:val="99"/>
    <w:pPr>
      <w:shd w:val="clear" w:color="auto" w:fill="000080"/>
    </w:pPr>
  </w:style>
  <w:style w:type="paragraph" w:styleId="23">
    <w:name w:val="toa heading"/>
    <w:basedOn w:val="1"/>
    <w:next w:val="1"/>
    <w:qFormat/>
    <w:uiPriority w:val="0"/>
    <w:pPr>
      <w:spacing w:before="120"/>
    </w:pPr>
    <w:rPr>
      <w:rFonts w:ascii="Arial" w:hAnsi="Arial" w:cs="Arial"/>
      <w:b/>
      <w:bCs/>
    </w:rPr>
  </w:style>
  <w:style w:type="paragraph" w:styleId="24">
    <w:name w:val="annotation text"/>
    <w:basedOn w:val="1"/>
    <w:link w:val="93"/>
    <w:qFormat/>
    <w:uiPriority w:val="0"/>
    <w:pPr>
      <w:jc w:val="left"/>
    </w:pPr>
  </w:style>
  <w:style w:type="paragraph" w:styleId="25">
    <w:name w:val="Body Text 3"/>
    <w:basedOn w:val="1"/>
    <w:link w:val="94"/>
    <w:qFormat/>
    <w:uiPriority w:val="99"/>
    <w:pPr>
      <w:spacing w:after="120"/>
    </w:pPr>
    <w:rPr>
      <w:sz w:val="16"/>
      <w:szCs w:val="16"/>
    </w:rPr>
  </w:style>
  <w:style w:type="paragraph" w:styleId="26">
    <w:name w:val="List Bullet 3"/>
    <w:basedOn w:val="1"/>
    <w:qFormat/>
    <w:uiPriority w:val="99"/>
    <w:pPr>
      <w:tabs>
        <w:tab w:val="left" w:pos="1200"/>
      </w:tabs>
      <w:ind w:left="1200" w:hanging="360"/>
    </w:pPr>
    <w:rPr>
      <w:rFonts w:ascii="Times New Roman" w:hAnsi="Times New Roman" w:cs="Times New Roman"/>
    </w:rPr>
  </w:style>
  <w:style w:type="paragraph" w:styleId="27">
    <w:name w:val="Body Text"/>
    <w:basedOn w:val="1"/>
    <w:link w:val="95"/>
    <w:qFormat/>
    <w:uiPriority w:val="1"/>
    <w:pPr>
      <w:spacing w:after="120"/>
    </w:pPr>
    <w:rPr>
      <w:rFonts w:ascii="宋体" w:hAnsi="宋体" w:cs="宋体"/>
      <w:sz w:val="28"/>
      <w:szCs w:val="28"/>
    </w:rPr>
  </w:style>
  <w:style w:type="paragraph" w:styleId="28">
    <w:name w:val="Body Text Indent"/>
    <w:basedOn w:val="1"/>
    <w:link w:val="96"/>
    <w:qFormat/>
    <w:uiPriority w:val="99"/>
    <w:pPr>
      <w:spacing w:after="120"/>
      <w:ind w:left="420" w:leftChars="200"/>
    </w:pPr>
  </w:style>
  <w:style w:type="paragraph" w:styleId="29">
    <w:name w:val="List Number 3"/>
    <w:basedOn w:val="1"/>
    <w:qFormat/>
    <w:uiPriority w:val="99"/>
    <w:pPr>
      <w:tabs>
        <w:tab w:val="left" w:pos="1200"/>
        <w:tab w:val="left" w:pos="1400"/>
      </w:tabs>
      <w:ind w:left="1400" w:hanging="840"/>
    </w:pPr>
    <w:rPr>
      <w:rFonts w:ascii="Times New Roman" w:hAnsi="Times New Roman" w:cs="Times New Roman"/>
    </w:rPr>
  </w:style>
  <w:style w:type="paragraph" w:styleId="30">
    <w:name w:val="List 2"/>
    <w:basedOn w:val="1"/>
    <w:qFormat/>
    <w:uiPriority w:val="99"/>
    <w:pPr>
      <w:ind w:left="100" w:leftChars="200" w:hanging="200" w:hangingChars="200"/>
    </w:pPr>
    <w:rPr>
      <w:rFonts w:ascii="Times New Roman" w:hAnsi="Times New Roman" w:cs="Times New Roman"/>
      <w:sz w:val="28"/>
      <w:szCs w:val="28"/>
    </w:rPr>
  </w:style>
  <w:style w:type="paragraph" w:styleId="31">
    <w:name w:val="Block Text"/>
    <w:basedOn w:val="1"/>
    <w:qFormat/>
    <w:uiPriority w:val="0"/>
    <w:pPr>
      <w:spacing w:line="390" w:lineRule="exact"/>
      <w:ind w:left="735" w:right="-296" w:rightChars="-141"/>
    </w:pPr>
    <w:rPr>
      <w:rFonts w:ascii="宋体" w:hAnsi="Times New Roman" w:cs="宋体"/>
    </w:rPr>
  </w:style>
  <w:style w:type="paragraph" w:styleId="32">
    <w:name w:val="List Bullet 2"/>
    <w:basedOn w:val="1"/>
    <w:qFormat/>
    <w:uiPriority w:val="99"/>
    <w:pPr>
      <w:tabs>
        <w:tab w:val="left" w:pos="1890"/>
      </w:tabs>
      <w:adjustRightInd w:val="0"/>
      <w:spacing w:line="390" w:lineRule="exact"/>
      <w:ind w:left="420" w:right="51" w:firstLine="418" w:firstLineChars="167"/>
      <w:jc w:val="left"/>
      <w:textAlignment w:val="baseline"/>
    </w:pPr>
    <w:rPr>
      <w:rFonts w:ascii="宋体" w:hAnsi="宋体" w:cs="宋体"/>
      <w:spacing w:val="20"/>
      <w:kern w:val="0"/>
    </w:rPr>
  </w:style>
  <w:style w:type="paragraph" w:styleId="33">
    <w:name w:val="toc 5"/>
    <w:basedOn w:val="1"/>
    <w:next w:val="1"/>
    <w:semiHidden/>
    <w:qFormat/>
    <w:uiPriority w:val="99"/>
    <w:pPr>
      <w:ind w:left="840"/>
      <w:jc w:val="left"/>
    </w:pPr>
    <w:rPr>
      <w:rFonts w:ascii="Times New Roman" w:hAnsi="Times New Roman" w:cs="Times New Roman"/>
      <w:sz w:val="18"/>
      <w:szCs w:val="18"/>
    </w:rPr>
  </w:style>
  <w:style w:type="paragraph" w:styleId="34">
    <w:name w:val="toc 3"/>
    <w:basedOn w:val="1"/>
    <w:next w:val="1"/>
    <w:semiHidden/>
    <w:qFormat/>
    <w:uiPriority w:val="99"/>
    <w:pPr>
      <w:ind w:left="840" w:leftChars="400"/>
    </w:pPr>
    <w:rPr>
      <w:rFonts w:ascii="Times New Roman" w:hAnsi="Times New Roman" w:cs="Times New Roman"/>
    </w:rPr>
  </w:style>
  <w:style w:type="paragraph" w:styleId="35">
    <w:name w:val="Plain Text"/>
    <w:basedOn w:val="1"/>
    <w:link w:val="97"/>
    <w:qFormat/>
    <w:uiPriority w:val="0"/>
    <w:pPr>
      <w:spacing w:beforeLines="50" w:afterLines="50" w:line="400" w:lineRule="exact"/>
    </w:pPr>
    <w:rPr>
      <w:rFonts w:ascii="宋体" w:hAnsi="Courier New" w:cs="宋体"/>
      <w:sz w:val="24"/>
      <w:szCs w:val="24"/>
    </w:rPr>
  </w:style>
  <w:style w:type="paragraph" w:styleId="36">
    <w:name w:val="List Bullet 5"/>
    <w:basedOn w:val="1"/>
    <w:qFormat/>
    <w:uiPriority w:val="99"/>
    <w:pPr>
      <w:tabs>
        <w:tab w:val="left" w:pos="2040"/>
      </w:tabs>
      <w:ind w:left="2040" w:hanging="360"/>
    </w:pPr>
    <w:rPr>
      <w:rFonts w:ascii="Times New Roman" w:hAnsi="Times New Roman" w:cs="Times New Roman"/>
    </w:rPr>
  </w:style>
  <w:style w:type="paragraph" w:styleId="37">
    <w:name w:val="List Number 4"/>
    <w:basedOn w:val="1"/>
    <w:qFormat/>
    <w:uiPriority w:val="99"/>
    <w:pPr>
      <w:tabs>
        <w:tab w:val="left" w:pos="1620"/>
      </w:tabs>
      <w:ind w:left="1620" w:hanging="360"/>
    </w:pPr>
    <w:rPr>
      <w:rFonts w:ascii="Times New Roman" w:hAnsi="Times New Roman" w:cs="Times New Roman"/>
    </w:rPr>
  </w:style>
  <w:style w:type="paragraph" w:styleId="38">
    <w:name w:val="toc 8"/>
    <w:basedOn w:val="1"/>
    <w:next w:val="1"/>
    <w:semiHidden/>
    <w:qFormat/>
    <w:uiPriority w:val="99"/>
    <w:pPr>
      <w:ind w:left="1470"/>
      <w:jc w:val="left"/>
    </w:pPr>
    <w:rPr>
      <w:rFonts w:ascii="Times New Roman" w:hAnsi="Times New Roman" w:cs="Times New Roman"/>
      <w:sz w:val="18"/>
      <w:szCs w:val="18"/>
    </w:rPr>
  </w:style>
  <w:style w:type="paragraph" w:styleId="39">
    <w:name w:val="Date"/>
    <w:basedOn w:val="1"/>
    <w:next w:val="1"/>
    <w:link w:val="98"/>
    <w:qFormat/>
    <w:uiPriority w:val="99"/>
    <w:pPr>
      <w:ind w:left="100" w:leftChars="2500"/>
    </w:pPr>
  </w:style>
  <w:style w:type="paragraph" w:styleId="40">
    <w:name w:val="Body Text Indent 2"/>
    <w:basedOn w:val="1"/>
    <w:link w:val="99"/>
    <w:qFormat/>
    <w:uiPriority w:val="0"/>
    <w:pPr>
      <w:spacing w:after="120" w:line="480" w:lineRule="auto"/>
      <w:ind w:left="420" w:leftChars="200"/>
    </w:pPr>
  </w:style>
  <w:style w:type="paragraph" w:styleId="41">
    <w:name w:val="Balloon Text"/>
    <w:basedOn w:val="1"/>
    <w:link w:val="100"/>
    <w:semiHidden/>
    <w:qFormat/>
    <w:uiPriority w:val="99"/>
    <w:rPr>
      <w:sz w:val="18"/>
      <w:szCs w:val="18"/>
    </w:rPr>
  </w:style>
  <w:style w:type="paragraph" w:styleId="42">
    <w:name w:val="footer"/>
    <w:basedOn w:val="1"/>
    <w:link w:val="101"/>
    <w:qFormat/>
    <w:uiPriority w:val="99"/>
    <w:pPr>
      <w:tabs>
        <w:tab w:val="center" w:pos="4153"/>
        <w:tab w:val="right" w:pos="8306"/>
      </w:tabs>
      <w:snapToGrid w:val="0"/>
      <w:jc w:val="left"/>
    </w:pPr>
    <w:rPr>
      <w:sz w:val="18"/>
      <w:szCs w:val="18"/>
    </w:rPr>
  </w:style>
  <w:style w:type="paragraph" w:styleId="43">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4">
    <w:name w:val="toc 1"/>
    <w:basedOn w:val="1"/>
    <w:next w:val="1"/>
    <w:qFormat/>
    <w:uiPriority w:val="39"/>
    <w:pPr>
      <w:tabs>
        <w:tab w:val="right" w:leader="dot" w:pos="8494"/>
      </w:tabs>
    </w:pPr>
    <w:rPr>
      <w:rFonts w:ascii="宋体" w:hAnsi="宋体" w:cs="宋体"/>
      <w:sz w:val="32"/>
      <w:szCs w:val="32"/>
    </w:rPr>
  </w:style>
  <w:style w:type="paragraph" w:styleId="45">
    <w:name w:val="toc 4"/>
    <w:basedOn w:val="1"/>
    <w:next w:val="1"/>
    <w:semiHidden/>
    <w:qFormat/>
    <w:uiPriority w:val="99"/>
    <w:pPr>
      <w:ind w:firstLine="600" w:firstLineChars="600"/>
      <w:jc w:val="left"/>
    </w:pPr>
    <w:rPr>
      <w:rFonts w:ascii="Times New Roman" w:hAnsi="Times New Roman" w:cs="Times New Roman"/>
      <w:sz w:val="20"/>
      <w:szCs w:val="20"/>
    </w:rPr>
  </w:style>
  <w:style w:type="paragraph" w:styleId="46">
    <w:name w:val="index heading"/>
    <w:basedOn w:val="1"/>
    <w:next w:val="47"/>
    <w:semiHidden/>
    <w:qFormat/>
    <w:uiPriority w:val="99"/>
    <w:rPr>
      <w:rFonts w:ascii="Times New Roman" w:hAnsi="Times New Roman" w:cs="Times New Roman"/>
    </w:rPr>
  </w:style>
  <w:style w:type="paragraph" w:styleId="47">
    <w:name w:val="index 1"/>
    <w:basedOn w:val="1"/>
    <w:next w:val="1"/>
    <w:semiHidden/>
    <w:qFormat/>
    <w:uiPriority w:val="99"/>
    <w:rPr>
      <w:rFonts w:ascii="Times New Roman" w:hAnsi="Times New Roman" w:cs="Times New Roman"/>
    </w:rPr>
  </w:style>
  <w:style w:type="paragraph" w:styleId="48">
    <w:name w:val="Subtitle"/>
    <w:basedOn w:val="1"/>
    <w:next w:val="1"/>
    <w:link w:val="103"/>
    <w:qFormat/>
    <w:uiPriority w:val="99"/>
    <w:pPr>
      <w:spacing w:before="240" w:after="60" w:line="312" w:lineRule="auto"/>
      <w:jc w:val="center"/>
      <w:outlineLvl w:val="1"/>
    </w:pPr>
    <w:rPr>
      <w:rFonts w:ascii="Cambria" w:hAnsi="Cambria" w:cs="Cambria"/>
      <w:b/>
      <w:bCs/>
      <w:kern w:val="28"/>
      <w:sz w:val="32"/>
      <w:szCs w:val="32"/>
    </w:rPr>
  </w:style>
  <w:style w:type="paragraph" w:styleId="49">
    <w:name w:val="List Number 5"/>
    <w:basedOn w:val="1"/>
    <w:qFormat/>
    <w:uiPriority w:val="99"/>
    <w:pPr>
      <w:tabs>
        <w:tab w:val="left" w:pos="2040"/>
      </w:tabs>
      <w:ind w:left="2040" w:hanging="360"/>
    </w:pPr>
    <w:rPr>
      <w:rFonts w:ascii="Times New Roman" w:hAnsi="Times New Roman" w:cs="Times New Roman"/>
    </w:rPr>
  </w:style>
  <w:style w:type="paragraph" w:styleId="50">
    <w:name w:val="List"/>
    <w:basedOn w:val="1"/>
    <w:qFormat/>
    <w:uiPriority w:val="99"/>
    <w:pPr>
      <w:ind w:left="200" w:hanging="200" w:hangingChars="200"/>
    </w:pPr>
    <w:rPr>
      <w:rFonts w:ascii="Times New Roman" w:hAnsi="Times New Roman" w:cs="Times New Roman"/>
      <w:sz w:val="28"/>
      <w:szCs w:val="28"/>
    </w:rPr>
  </w:style>
  <w:style w:type="paragraph" w:styleId="51">
    <w:name w:val="toc 6"/>
    <w:basedOn w:val="1"/>
    <w:next w:val="1"/>
    <w:semiHidden/>
    <w:qFormat/>
    <w:uiPriority w:val="99"/>
    <w:pPr>
      <w:ind w:left="1050"/>
      <w:jc w:val="left"/>
    </w:pPr>
    <w:rPr>
      <w:rFonts w:ascii="Times New Roman" w:hAnsi="Times New Roman" w:cs="Times New Roman"/>
      <w:sz w:val="18"/>
      <w:szCs w:val="18"/>
    </w:rPr>
  </w:style>
  <w:style w:type="paragraph" w:styleId="52">
    <w:name w:val="Body Text Indent 3"/>
    <w:basedOn w:val="1"/>
    <w:link w:val="105"/>
    <w:qFormat/>
    <w:uiPriority w:val="0"/>
    <w:pPr>
      <w:spacing w:after="120"/>
      <w:ind w:left="420" w:leftChars="200"/>
    </w:pPr>
    <w:rPr>
      <w:sz w:val="16"/>
      <w:szCs w:val="16"/>
    </w:rPr>
  </w:style>
  <w:style w:type="paragraph" w:styleId="53">
    <w:name w:val="toc 2"/>
    <w:basedOn w:val="1"/>
    <w:next w:val="1"/>
    <w:qFormat/>
    <w:uiPriority w:val="0"/>
    <w:pPr>
      <w:tabs>
        <w:tab w:val="right" w:leader="dot" w:pos="8494"/>
      </w:tabs>
    </w:pPr>
    <w:rPr>
      <w:rFonts w:ascii="Times New Roman" w:hAnsi="Times New Roman" w:cs="Times New Roman"/>
      <w:sz w:val="30"/>
      <w:szCs w:val="30"/>
    </w:rPr>
  </w:style>
  <w:style w:type="paragraph" w:styleId="54">
    <w:name w:val="toc 9"/>
    <w:basedOn w:val="1"/>
    <w:next w:val="1"/>
    <w:semiHidden/>
    <w:qFormat/>
    <w:uiPriority w:val="99"/>
    <w:pPr>
      <w:ind w:left="1680"/>
      <w:jc w:val="left"/>
    </w:pPr>
    <w:rPr>
      <w:rFonts w:ascii="Times New Roman" w:hAnsi="Times New Roman" w:cs="Times New Roman"/>
      <w:sz w:val="18"/>
      <w:szCs w:val="18"/>
    </w:rPr>
  </w:style>
  <w:style w:type="paragraph" w:styleId="55">
    <w:name w:val="Body Text 2"/>
    <w:basedOn w:val="1"/>
    <w:link w:val="106"/>
    <w:qFormat/>
    <w:uiPriority w:val="99"/>
    <w:pPr>
      <w:widowControl/>
      <w:snapToGrid w:val="0"/>
      <w:spacing w:before="50" w:afterLines="50" w:line="400" w:lineRule="exact"/>
      <w:jc w:val="left"/>
    </w:pPr>
    <w:rPr>
      <w:rFonts w:ascii="宋体" w:hAnsi="宋体" w:cs="宋体"/>
      <w:color w:val="000000"/>
      <w:sz w:val="24"/>
      <w:szCs w:val="24"/>
    </w:rPr>
  </w:style>
  <w:style w:type="paragraph" w:styleId="56">
    <w:name w:val="List 4"/>
    <w:basedOn w:val="1"/>
    <w:qFormat/>
    <w:uiPriority w:val="99"/>
    <w:pPr>
      <w:ind w:left="1680" w:hanging="420"/>
    </w:pPr>
    <w:rPr>
      <w:rFonts w:ascii="Times New Roman" w:hAnsi="Times New Roman" w:cs="Times New Roman"/>
    </w:rPr>
  </w:style>
  <w:style w:type="paragraph" w:styleId="57">
    <w:name w:val="HTML Preformatted"/>
    <w:basedOn w:val="1"/>
    <w:link w:val="10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rPr>
  </w:style>
  <w:style w:type="paragraph" w:styleId="58">
    <w:name w:val="Normal (Web)"/>
    <w:basedOn w:val="1"/>
    <w:link w:val="154"/>
    <w:qFormat/>
    <w:uiPriority w:val="99"/>
    <w:pPr>
      <w:widowControl/>
      <w:spacing w:line="300" w:lineRule="atLeast"/>
      <w:jc w:val="left"/>
    </w:pPr>
    <w:rPr>
      <w:rFonts w:ascii="宋体" w:hAnsi="宋体" w:cs="宋体"/>
      <w:kern w:val="0"/>
      <w:sz w:val="24"/>
      <w:szCs w:val="24"/>
    </w:rPr>
  </w:style>
  <w:style w:type="paragraph" w:styleId="59">
    <w:name w:val="Title"/>
    <w:basedOn w:val="1"/>
    <w:next w:val="1"/>
    <w:link w:val="108"/>
    <w:qFormat/>
    <w:uiPriority w:val="10"/>
    <w:pPr>
      <w:spacing w:before="240" w:after="60" w:line="480" w:lineRule="exact"/>
      <w:jc w:val="center"/>
      <w:outlineLvl w:val="0"/>
    </w:pPr>
    <w:rPr>
      <w:rFonts w:ascii="Cambria" w:hAnsi="Cambria" w:cs="Cambria"/>
      <w:b/>
      <w:bCs/>
      <w:sz w:val="32"/>
      <w:szCs w:val="32"/>
    </w:rPr>
  </w:style>
  <w:style w:type="paragraph" w:styleId="60">
    <w:name w:val="annotation subject"/>
    <w:basedOn w:val="24"/>
    <w:next w:val="24"/>
    <w:link w:val="109"/>
    <w:semiHidden/>
    <w:qFormat/>
    <w:uiPriority w:val="99"/>
    <w:rPr>
      <w:b/>
      <w:bCs/>
    </w:rPr>
  </w:style>
  <w:style w:type="paragraph" w:styleId="61">
    <w:name w:val="Body Text First Indent"/>
    <w:basedOn w:val="27"/>
    <w:link w:val="110"/>
    <w:qFormat/>
    <w:uiPriority w:val="0"/>
    <w:pPr>
      <w:spacing w:line="390" w:lineRule="atLeast"/>
      <w:ind w:firstLine="420" w:firstLineChars="100"/>
    </w:pPr>
    <w:rPr>
      <w:rFonts w:ascii="Times New Roman" w:hAnsi="Times New Roman" w:cs="Times New Roman"/>
    </w:rPr>
  </w:style>
  <w:style w:type="paragraph" w:styleId="62">
    <w:name w:val="Body Text First Indent 2"/>
    <w:basedOn w:val="28"/>
    <w:link w:val="111"/>
    <w:qFormat/>
    <w:uiPriority w:val="99"/>
    <w:pPr>
      <w:ind w:firstLine="420" w:firstLineChars="200"/>
    </w:pPr>
    <w:rPr>
      <w:rFonts w:eastAsia="楷体_GB2312"/>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basedOn w:val="65"/>
    <w:qFormat/>
    <w:uiPriority w:val="99"/>
    <w:rPr>
      <w:b/>
      <w:bCs/>
    </w:rPr>
  </w:style>
  <w:style w:type="character" w:styleId="67">
    <w:name w:val="page number"/>
    <w:basedOn w:val="65"/>
    <w:qFormat/>
    <w:uiPriority w:val="99"/>
  </w:style>
  <w:style w:type="character" w:styleId="68">
    <w:name w:val="FollowedHyperlink"/>
    <w:basedOn w:val="65"/>
    <w:qFormat/>
    <w:uiPriority w:val="99"/>
    <w:rPr>
      <w:color w:val="333333"/>
      <w:u w:val="none"/>
    </w:rPr>
  </w:style>
  <w:style w:type="character" w:styleId="69">
    <w:name w:val="Emphasis"/>
    <w:qFormat/>
    <w:uiPriority w:val="99"/>
    <w:rPr>
      <w:color w:val="auto"/>
    </w:rPr>
  </w:style>
  <w:style w:type="character" w:styleId="70">
    <w:name w:val="HTML Definition"/>
    <w:basedOn w:val="65"/>
    <w:unhideWhenUsed/>
    <w:qFormat/>
    <w:uiPriority w:val="99"/>
  </w:style>
  <w:style w:type="character" w:styleId="71">
    <w:name w:val="HTML Typewriter"/>
    <w:qFormat/>
    <w:uiPriority w:val="99"/>
    <w:rPr>
      <w:rFonts w:ascii="宋体" w:hAnsi="宋体" w:eastAsia="宋体" w:cs="宋体"/>
      <w:sz w:val="24"/>
      <w:szCs w:val="24"/>
    </w:rPr>
  </w:style>
  <w:style w:type="character" w:styleId="72">
    <w:name w:val="HTML Acronym"/>
    <w:basedOn w:val="65"/>
    <w:unhideWhenUsed/>
    <w:qFormat/>
    <w:uiPriority w:val="99"/>
  </w:style>
  <w:style w:type="character" w:styleId="73">
    <w:name w:val="HTML Variable"/>
    <w:basedOn w:val="65"/>
    <w:unhideWhenUsed/>
    <w:qFormat/>
    <w:uiPriority w:val="99"/>
  </w:style>
  <w:style w:type="character" w:styleId="74">
    <w:name w:val="Hyperlink"/>
    <w:basedOn w:val="65"/>
    <w:qFormat/>
    <w:uiPriority w:val="99"/>
    <w:rPr>
      <w:color w:val="333333"/>
      <w:u w:val="none"/>
    </w:rPr>
  </w:style>
  <w:style w:type="character" w:styleId="75">
    <w:name w:val="HTML Code"/>
    <w:basedOn w:val="65"/>
    <w:unhideWhenUsed/>
    <w:qFormat/>
    <w:uiPriority w:val="99"/>
    <w:rPr>
      <w:rFonts w:hint="default" w:ascii="monospace" w:hAnsi="monospace" w:eastAsia="monospace" w:cs="monospace"/>
      <w:sz w:val="20"/>
    </w:rPr>
  </w:style>
  <w:style w:type="character" w:styleId="76">
    <w:name w:val="annotation reference"/>
    <w:qFormat/>
    <w:uiPriority w:val="0"/>
    <w:rPr>
      <w:sz w:val="21"/>
      <w:szCs w:val="21"/>
    </w:rPr>
  </w:style>
  <w:style w:type="character" w:styleId="77">
    <w:name w:val="HTML Cite"/>
    <w:basedOn w:val="65"/>
    <w:unhideWhenUsed/>
    <w:qFormat/>
    <w:uiPriority w:val="99"/>
  </w:style>
  <w:style w:type="character" w:styleId="78">
    <w:name w:val="footnote reference"/>
    <w:semiHidden/>
    <w:qFormat/>
    <w:uiPriority w:val="99"/>
    <w:rPr>
      <w:vertAlign w:val="superscript"/>
    </w:rPr>
  </w:style>
  <w:style w:type="character" w:styleId="79">
    <w:name w:val="HTML Keyboard"/>
    <w:basedOn w:val="65"/>
    <w:unhideWhenUsed/>
    <w:qFormat/>
    <w:uiPriority w:val="99"/>
    <w:rPr>
      <w:rFonts w:hint="default" w:ascii="monospace" w:hAnsi="monospace" w:eastAsia="monospace" w:cs="monospace"/>
      <w:sz w:val="20"/>
    </w:rPr>
  </w:style>
  <w:style w:type="character" w:styleId="80">
    <w:name w:val="HTML Sample"/>
    <w:basedOn w:val="65"/>
    <w:unhideWhenUsed/>
    <w:qFormat/>
    <w:uiPriority w:val="99"/>
    <w:rPr>
      <w:rFonts w:hint="default" w:ascii="monospace" w:hAnsi="monospace" w:eastAsia="monospace" w:cs="monospace"/>
    </w:rPr>
  </w:style>
  <w:style w:type="character" w:customStyle="1" w:styleId="81">
    <w:name w:val="标题 1 Char"/>
    <w:link w:val="3"/>
    <w:qFormat/>
    <w:locked/>
    <w:uiPriority w:val="99"/>
    <w:rPr>
      <w:rFonts w:ascii="Times New Roman" w:hAnsi="Times New Roman" w:eastAsia="宋体" w:cs="Times New Roman"/>
      <w:b/>
      <w:bCs/>
      <w:kern w:val="44"/>
      <w:sz w:val="44"/>
      <w:szCs w:val="44"/>
    </w:rPr>
  </w:style>
  <w:style w:type="character" w:customStyle="1" w:styleId="82">
    <w:name w:val="标题 2 Char"/>
    <w:link w:val="4"/>
    <w:qFormat/>
    <w:locked/>
    <w:uiPriority w:val="99"/>
    <w:rPr>
      <w:rFonts w:ascii="Arial" w:hAnsi="Arial" w:eastAsia="黑体" w:cs="Arial"/>
      <w:b/>
      <w:bCs/>
      <w:sz w:val="32"/>
      <w:szCs w:val="32"/>
    </w:rPr>
  </w:style>
  <w:style w:type="character" w:customStyle="1" w:styleId="83">
    <w:name w:val="标题 3 Char"/>
    <w:link w:val="5"/>
    <w:qFormat/>
    <w:locked/>
    <w:uiPriority w:val="99"/>
    <w:rPr>
      <w:rFonts w:ascii="Times New Roman" w:hAnsi="Times New Roman" w:eastAsia="宋体" w:cs="Times New Roman"/>
      <w:b/>
      <w:bCs/>
      <w:sz w:val="32"/>
      <w:szCs w:val="32"/>
    </w:rPr>
  </w:style>
  <w:style w:type="character" w:customStyle="1" w:styleId="84">
    <w:name w:val="标题 4 Char"/>
    <w:link w:val="6"/>
    <w:qFormat/>
    <w:locked/>
    <w:uiPriority w:val="99"/>
    <w:rPr>
      <w:rFonts w:ascii="Arial" w:hAnsi="Arial" w:eastAsia="黑体" w:cs="Arial"/>
      <w:b/>
      <w:bCs/>
      <w:sz w:val="28"/>
      <w:szCs w:val="28"/>
    </w:rPr>
  </w:style>
  <w:style w:type="character" w:customStyle="1" w:styleId="85">
    <w:name w:val="标题 5 Char"/>
    <w:link w:val="7"/>
    <w:qFormat/>
    <w:locked/>
    <w:uiPriority w:val="99"/>
    <w:rPr>
      <w:rFonts w:ascii="Times New Roman" w:hAnsi="Times New Roman" w:eastAsia="宋体" w:cs="Times New Roman"/>
      <w:b/>
      <w:bCs/>
      <w:sz w:val="28"/>
      <w:szCs w:val="28"/>
    </w:rPr>
  </w:style>
  <w:style w:type="character" w:customStyle="1" w:styleId="86">
    <w:name w:val="标题 6 Char"/>
    <w:link w:val="8"/>
    <w:qFormat/>
    <w:locked/>
    <w:uiPriority w:val="99"/>
    <w:rPr>
      <w:rFonts w:ascii="Arial" w:hAnsi="Arial" w:eastAsia="黑体" w:cs="Arial"/>
      <w:b/>
      <w:bCs/>
      <w:sz w:val="24"/>
      <w:szCs w:val="24"/>
    </w:rPr>
  </w:style>
  <w:style w:type="character" w:customStyle="1" w:styleId="87">
    <w:name w:val="标题 7 Char"/>
    <w:link w:val="9"/>
    <w:qFormat/>
    <w:locked/>
    <w:uiPriority w:val="99"/>
    <w:rPr>
      <w:rFonts w:ascii="Times New Roman" w:hAnsi="Times New Roman" w:eastAsia="宋体" w:cs="Times New Roman"/>
      <w:b/>
      <w:bCs/>
      <w:sz w:val="24"/>
      <w:szCs w:val="24"/>
    </w:rPr>
  </w:style>
  <w:style w:type="character" w:customStyle="1" w:styleId="88">
    <w:name w:val="标题 8 Char"/>
    <w:link w:val="10"/>
    <w:qFormat/>
    <w:locked/>
    <w:uiPriority w:val="99"/>
    <w:rPr>
      <w:rFonts w:ascii="Arial" w:hAnsi="Arial" w:eastAsia="黑体" w:cs="Arial"/>
      <w:sz w:val="24"/>
      <w:szCs w:val="24"/>
    </w:rPr>
  </w:style>
  <w:style w:type="character" w:customStyle="1" w:styleId="89">
    <w:name w:val="标题 9 Char"/>
    <w:link w:val="11"/>
    <w:qFormat/>
    <w:locked/>
    <w:uiPriority w:val="99"/>
    <w:rPr>
      <w:rFonts w:ascii="Arial" w:hAnsi="Arial" w:eastAsia="黑体" w:cs="Arial"/>
      <w:sz w:val="21"/>
      <w:szCs w:val="21"/>
    </w:rPr>
  </w:style>
  <w:style w:type="character" w:customStyle="1" w:styleId="90">
    <w:name w:val="注释标题 Char"/>
    <w:link w:val="15"/>
    <w:qFormat/>
    <w:locked/>
    <w:uiPriority w:val="99"/>
    <w:rPr>
      <w:rFonts w:ascii="time new roman" w:hAnsi="time new roman" w:eastAsia="长城粗隶书" w:cs="time new roman"/>
      <w:sz w:val="24"/>
      <w:szCs w:val="24"/>
    </w:rPr>
  </w:style>
  <w:style w:type="character" w:customStyle="1" w:styleId="91">
    <w:name w:val="电子邮件签名 Char2"/>
    <w:basedOn w:val="65"/>
    <w:link w:val="17"/>
    <w:semiHidden/>
    <w:qFormat/>
    <w:locked/>
    <w:uiPriority w:val="99"/>
  </w:style>
  <w:style w:type="character" w:customStyle="1" w:styleId="92">
    <w:name w:val="文档结构图 Char1"/>
    <w:link w:val="22"/>
    <w:semiHidden/>
    <w:qFormat/>
    <w:locked/>
    <w:uiPriority w:val="99"/>
    <w:rPr>
      <w:rFonts w:ascii="宋体" w:eastAsia="宋体" w:cs="宋体"/>
      <w:sz w:val="18"/>
      <w:szCs w:val="18"/>
    </w:rPr>
  </w:style>
  <w:style w:type="character" w:customStyle="1" w:styleId="93">
    <w:name w:val="批注文字 Char1"/>
    <w:basedOn w:val="65"/>
    <w:link w:val="24"/>
    <w:qFormat/>
    <w:locked/>
    <w:uiPriority w:val="0"/>
  </w:style>
  <w:style w:type="character" w:customStyle="1" w:styleId="94">
    <w:name w:val="正文文本 3 Char1"/>
    <w:link w:val="25"/>
    <w:semiHidden/>
    <w:qFormat/>
    <w:locked/>
    <w:uiPriority w:val="99"/>
    <w:rPr>
      <w:sz w:val="16"/>
      <w:szCs w:val="16"/>
    </w:rPr>
  </w:style>
  <w:style w:type="character" w:customStyle="1" w:styleId="95">
    <w:name w:val="正文文本 Char1"/>
    <w:basedOn w:val="65"/>
    <w:link w:val="27"/>
    <w:qFormat/>
    <w:locked/>
    <w:uiPriority w:val="99"/>
  </w:style>
  <w:style w:type="character" w:customStyle="1" w:styleId="96">
    <w:name w:val="正文文本缩进 Char1"/>
    <w:basedOn w:val="65"/>
    <w:link w:val="28"/>
    <w:semiHidden/>
    <w:qFormat/>
    <w:locked/>
    <w:uiPriority w:val="99"/>
  </w:style>
  <w:style w:type="character" w:customStyle="1" w:styleId="97">
    <w:name w:val="纯文本 Char4"/>
    <w:link w:val="35"/>
    <w:qFormat/>
    <w:locked/>
    <w:uiPriority w:val="99"/>
    <w:rPr>
      <w:rFonts w:ascii="宋体" w:hAnsi="Courier New" w:eastAsia="宋体" w:cs="宋体"/>
      <w:sz w:val="21"/>
      <w:szCs w:val="21"/>
    </w:rPr>
  </w:style>
  <w:style w:type="character" w:customStyle="1" w:styleId="98">
    <w:name w:val="日期 Char1"/>
    <w:basedOn w:val="65"/>
    <w:link w:val="39"/>
    <w:semiHidden/>
    <w:qFormat/>
    <w:locked/>
    <w:uiPriority w:val="99"/>
  </w:style>
  <w:style w:type="character" w:customStyle="1" w:styleId="99">
    <w:name w:val="正文文本缩进 2 Char1"/>
    <w:basedOn w:val="65"/>
    <w:link w:val="40"/>
    <w:qFormat/>
    <w:locked/>
    <w:uiPriority w:val="99"/>
  </w:style>
  <w:style w:type="character" w:customStyle="1" w:styleId="100">
    <w:name w:val="批注框文本 Char1"/>
    <w:link w:val="41"/>
    <w:semiHidden/>
    <w:qFormat/>
    <w:locked/>
    <w:uiPriority w:val="99"/>
    <w:rPr>
      <w:sz w:val="18"/>
      <w:szCs w:val="18"/>
    </w:rPr>
  </w:style>
  <w:style w:type="character" w:customStyle="1" w:styleId="101">
    <w:name w:val="页脚 Char"/>
    <w:link w:val="42"/>
    <w:qFormat/>
    <w:locked/>
    <w:uiPriority w:val="99"/>
    <w:rPr>
      <w:sz w:val="18"/>
      <w:szCs w:val="18"/>
    </w:rPr>
  </w:style>
  <w:style w:type="character" w:customStyle="1" w:styleId="102">
    <w:name w:val="页眉 Char"/>
    <w:link w:val="43"/>
    <w:qFormat/>
    <w:locked/>
    <w:uiPriority w:val="99"/>
    <w:rPr>
      <w:sz w:val="18"/>
      <w:szCs w:val="18"/>
    </w:rPr>
  </w:style>
  <w:style w:type="character" w:customStyle="1" w:styleId="103">
    <w:name w:val="副标题 Char2"/>
    <w:link w:val="48"/>
    <w:qFormat/>
    <w:locked/>
    <w:uiPriority w:val="99"/>
    <w:rPr>
      <w:rFonts w:ascii="Cambria" w:hAnsi="Cambria" w:eastAsia="宋体" w:cs="Cambria"/>
      <w:b/>
      <w:bCs/>
      <w:kern w:val="28"/>
      <w:sz w:val="32"/>
      <w:szCs w:val="32"/>
    </w:rPr>
  </w:style>
  <w:style w:type="character" w:customStyle="1" w:styleId="104">
    <w:name w:val="脚注文本 Char2"/>
    <w:link w:val="2"/>
    <w:semiHidden/>
    <w:qFormat/>
    <w:locked/>
    <w:uiPriority w:val="99"/>
    <w:rPr>
      <w:sz w:val="18"/>
      <w:szCs w:val="18"/>
    </w:rPr>
  </w:style>
  <w:style w:type="character" w:customStyle="1" w:styleId="105">
    <w:name w:val="正文文本缩进 3 Char1"/>
    <w:link w:val="52"/>
    <w:semiHidden/>
    <w:qFormat/>
    <w:locked/>
    <w:uiPriority w:val="99"/>
    <w:rPr>
      <w:sz w:val="16"/>
      <w:szCs w:val="16"/>
    </w:rPr>
  </w:style>
  <w:style w:type="character" w:customStyle="1" w:styleId="106">
    <w:name w:val="正文文本 2 Char1"/>
    <w:basedOn w:val="65"/>
    <w:link w:val="55"/>
    <w:semiHidden/>
    <w:qFormat/>
    <w:locked/>
    <w:uiPriority w:val="99"/>
  </w:style>
  <w:style w:type="character" w:customStyle="1" w:styleId="107">
    <w:name w:val="HTML 预设格式 Char2"/>
    <w:link w:val="57"/>
    <w:semiHidden/>
    <w:qFormat/>
    <w:locked/>
    <w:uiPriority w:val="99"/>
    <w:rPr>
      <w:rFonts w:ascii="Courier New" w:hAnsi="Courier New" w:cs="Courier New"/>
      <w:sz w:val="20"/>
      <w:szCs w:val="20"/>
    </w:rPr>
  </w:style>
  <w:style w:type="character" w:customStyle="1" w:styleId="108">
    <w:name w:val="标题 Char1"/>
    <w:link w:val="59"/>
    <w:qFormat/>
    <w:locked/>
    <w:uiPriority w:val="99"/>
    <w:rPr>
      <w:rFonts w:ascii="Cambria" w:hAnsi="Cambria" w:eastAsia="宋体" w:cs="Cambria"/>
      <w:b/>
      <w:bCs/>
      <w:sz w:val="32"/>
      <w:szCs w:val="32"/>
    </w:rPr>
  </w:style>
  <w:style w:type="character" w:customStyle="1" w:styleId="109">
    <w:name w:val="批注主题 Char1"/>
    <w:link w:val="60"/>
    <w:semiHidden/>
    <w:qFormat/>
    <w:locked/>
    <w:uiPriority w:val="99"/>
    <w:rPr>
      <w:b/>
      <w:bCs/>
    </w:rPr>
  </w:style>
  <w:style w:type="character" w:customStyle="1" w:styleId="110">
    <w:name w:val="正文首行缩进 Char2"/>
    <w:link w:val="61"/>
    <w:qFormat/>
    <w:locked/>
    <w:uiPriority w:val="99"/>
    <w:rPr>
      <w:rFonts w:ascii="Times New Roman" w:hAnsi="Times New Roman" w:eastAsia="宋体" w:cs="Times New Roman"/>
      <w:sz w:val="24"/>
      <w:szCs w:val="24"/>
    </w:rPr>
  </w:style>
  <w:style w:type="character" w:customStyle="1" w:styleId="111">
    <w:name w:val="正文首行缩进 2 Char2"/>
    <w:basedOn w:val="96"/>
    <w:link w:val="62"/>
    <w:semiHidden/>
    <w:qFormat/>
    <w:locked/>
    <w:uiPriority w:val="99"/>
  </w:style>
  <w:style w:type="character" w:customStyle="1" w:styleId="112">
    <w:name w:val="font11"/>
    <w:qFormat/>
    <w:uiPriority w:val="99"/>
    <w:rPr>
      <w:rFonts w:ascii="Times New Roman" w:hAnsi="Times New Roman" w:cs="Times New Roman"/>
      <w:color w:val="000000"/>
      <w:sz w:val="21"/>
      <w:szCs w:val="21"/>
      <w:u w:val="none"/>
    </w:rPr>
  </w:style>
  <w:style w:type="character" w:customStyle="1" w:styleId="113">
    <w:name w:val="style12"/>
    <w:basedOn w:val="65"/>
    <w:qFormat/>
    <w:uiPriority w:val="99"/>
  </w:style>
  <w:style w:type="character" w:customStyle="1" w:styleId="114">
    <w:name w:val="Char Char11"/>
    <w:qFormat/>
    <w:uiPriority w:val="99"/>
    <w:rPr>
      <w:rFonts w:ascii="宋体" w:eastAsia="宋体" w:cs="宋体"/>
      <w:spacing w:val="15"/>
      <w:sz w:val="21"/>
      <w:szCs w:val="21"/>
    </w:rPr>
  </w:style>
  <w:style w:type="character" w:customStyle="1" w:styleId="115">
    <w:name w:val="apple-converted-space"/>
    <w:basedOn w:val="65"/>
    <w:qFormat/>
    <w:uiPriority w:val="99"/>
  </w:style>
  <w:style w:type="character" w:customStyle="1" w:styleId="116">
    <w:name w:val="wztext-font"/>
    <w:basedOn w:val="65"/>
    <w:qFormat/>
    <w:uiPriority w:val="99"/>
  </w:style>
  <w:style w:type="character" w:customStyle="1" w:styleId="117">
    <w:name w:val="song101"/>
    <w:qFormat/>
    <w:uiPriority w:val="99"/>
    <w:rPr>
      <w:rFonts w:ascii="宋体" w:hAnsi="宋体" w:eastAsia="宋体" w:cs="宋体"/>
      <w:sz w:val="20"/>
      <w:szCs w:val="20"/>
    </w:rPr>
  </w:style>
  <w:style w:type="character" w:customStyle="1" w:styleId="118">
    <w:name w:val="Char Char"/>
    <w:qFormat/>
    <w:uiPriority w:val="99"/>
    <w:rPr>
      <w:rFonts w:ascii="宋体" w:hAnsi="Courier New" w:eastAsia="宋体" w:cs="宋体"/>
      <w:kern w:val="2"/>
      <w:sz w:val="24"/>
      <w:szCs w:val="24"/>
      <w:lang w:val="en-US" w:eastAsia="zh-CN"/>
    </w:rPr>
  </w:style>
  <w:style w:type="character" w:customStyle="1" w:styleId="119">
    <w:name w:val="gray11"/>
    <w:qFormat/>
    <w:uiPriority w:val="99"/>
    <w:rPr>
      <w:color w:val="000000"/>
      <w:sz w:val="18"/>
      <w:szCs w:val="18"/>
      <w:u w:val="none"/>
    </w:rPr>
  </w:style>
  <w:style w:type="character" w:customStyle="1" w:styleId="120">
    <w:name w:val="span21"/>
    <w:qFormat/>
    <w:uiPriority w:val="99"/>
    <w:rPr>
      <w:color w:val="auto"/>
    </w:rPr>
  </w:style>
  <w:style w:type="character" w:customStyle="1" w:styleId="121">
    <w:name w:val="HTML 预设格式 Char"/>
    <w:qFormat/>
    <w:uiPriority w:val="99"/>
    <w:rPr>
      <w:rFonts w:ascii="Arial Unicode MS" w:hAnsi="Arial Unicode MS" w:eastAsia="Times New Roman" w:cs="Arial Unicode MS"/>
      <w:color w:val="000000"/>
    </w:rPr>
  </w:style>
  <w:style w:type="character" w:customStyle="1" w:styleId="122">
    <w:name w:val="font141"/>
    <w:qFormat/>
    <w:uiPriority w:val="99"/>
    <w:rPr>
      <w:rFonts w:ascii="Times New Roman" w:hAnsi="Times New Roman" w:cs="Times New Roman"/>
      <w:color w:val="000000"/>
      <w:sz w:val="24"/>
      <w:szCs w:val="24"/>
      <w:u w:val="none"/>
    </w:rPr>
  </w:style>
  <w:style w:type="character" w:customStyle="1" w:styleId="123">
    <w:name w:val="正文首行缩进 2 Char"/>
    <w:qFormat/>
    <w:uiPriority w:val="99"/>
    <w:rPr>
      <w:rFonts w:eastAsia="楷体_GB2312"/>
      <w:sz w:val="24"/>
      <w:szCs w:val="24"/>
    </w:rPr>
  </w:style>
  <w:style w:type="character" w:customStyle="1" w:styleId="124">
    <w:name w:val="电子邮件签名 Char"/>
    <w:qFormat/>
    <w:uiPriority w:val="99"/>
  </w:style>
  <w:style w:type="character" w:customStyle="1" w:styleId="125">
    <w:name w:val="fc_hui_6666661"/>
    <w:qFormat/>
    <w:uiPriority w:val="99"/>
    <w:rPr>
      <w:color w:val="auto"/>
    </w:rPr>
  </w:style>
  <w:style w:type="character" w:customStyle="1" w:styleId="126">
    <w:name w:val="正文文本 Char"/>
    <w:qFormat/>
    <w:uiPriority w:val="99"/>
    <w:rPr>
      <w:rFonts w:ascii="宋体" w:hAnsi="宋体" w:eastAsia="宋体" w:cs="宋体"/>
      <w:sz w:val="24"/>
      <w:szCs w:val="24"/>
    </w:rPr>
  </w:style>
  <w:style w:type="character" w:customStyle="1" w:styleId="127">
    <w:name w:val="huei12b1"/>
    <w:qFormat/>
    <w:uiPriority w:val="99"/>
    <w:rPr>
      <w:b/>
      <w:bCs/>
      <w:color w:val="333333"/>
      <w:sz w:val="18"/>
      <w:szCs w:val="18"/>
    </w:rPr>
  </w:style>
  <w:style w:type="character" w:customStyle="1" w:styleId="128">
    <w:name w:val="fl b titlelinkcolor titlename"/>
    <w:basedOn w:val="65"/>
    <w:qFormat/>
    <w:uiPriority w:val="99"/>
  </w:style>
  <w:style w:type="character" w:customStyle="1" w:styleId="129">
    <w:name w:val="Normal Indent Char Char"/>
    <w:qFormat/>
    <w:uiPriority w:val="99"/>
    <w:rPr>
      <w:rFonts w:eastAsia="宋体"/>
      <w:kern w:val="2"/>
      <w:sz w:val="24"/>
      <w:szCs w:val="24"/>
      <w:lang w:val="en-US" w:eastAsia="zh-CN"/>
    </w:rPr>
  </w:style>
  <w:style w:type="character" w:customStyle="1" w:styleId="130">
    <w:name w:val="发展规划1"/>
    <w:qFormat/>
    <w:uiPriority w:val="99"/>
    <w:rPr>
      <w:rFonts w:ascii="Arial" w:hAnsi="Arial" w:cs="Arial"/>
      <w:color w:val="auto"/>
      <w:sz w:val="21"/>
      <w:szCs w:val="21"/>
    </w:rPr>
  </w:style>
  <w:style w:type="character" w:customStyle="1" w:styleId="131">
    <w:name w:val="z-窗体底端 Char1"/>
    <w:semiHidden/>
    <w:qFormat/>
    <w:uiPriority w:val="99"/>
    <w:rPr>
      <w:rFonts w:ascii="Arial" w:hAnsi="Arial" w:cs="Arial"/>
      <w:vanish/>
      <w:kern w:val="2"/>
      <w:sz w:val="16"/>
      <w:szCs w:val="16"/>
    </w:rPr>
  </w:style>
  <w:style w:type="character" w:customStyle="1" w:styleId="132">
    <w:name w:val="标题 3 Char1 Char Char"/>
    <w:qFormat/>
    <w:uiPriority w:val="99"/>
    <w:rPr>
      <w:rFonts w:eastAsia="黑体"/>
      <w:b/>
      <w:bCs/>
      <w:kern w:val="2"/>
      <w:sz w:val="32"/>
      <w:szCs w:val="32"/>
      <w:lang w:val="en-US" w:eastAsia="zh-CN"/>
    </w:rPr>
  </w:style>
  <w:style w:type="character" w:customStyle="1" w:styleId="133">
    <w:name w:val="style111"/>
    <w:qFormat/>
    <w:uiPriority w:val="99"/>
    <w:rPr>
      <w:color w:val="auto"/>
      <w:sz w:val="24"/>
      <w:szCs w:val="24"/>
    </w:rPr>
  </w:style>
  <w:style w:type="character" w:customStyle="1" w:styleId="134">
    <w:name w:val="标书正文格式 Char Char"/>
    <w:link w:val="135"/>
    <w:qFormat/>
    <w:locked/>
    <w:uiPriority w:val="99"/>
    <w:rPr>
      <w:rFonts w:eastAsia="楷体_GB2312"/>
      <w:kern w:val="2"/>
      <w:sz w:val="24"/>
      <w:szCs w:val="24"/>
      <w:lang w:val="en-US" w:eastAsia="zh-CN"/>
    </w:rPr>
  </w:style>
  <w:style w:type="paragraph" w:customStyle="1" w:styleId="135">
    <w:name w:val="标书正文格式"/>
    <w:link w:val="134"/>
    <w:qFormat/>
    <w:uiPriority w:val="99"/>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136">
    <w:name w:val="fontblankb"/>
    <w:basedOn w:val="65"/>
    <w:qFormat/>
    <w:uiPriority w:val="99"/>
  </w:style>
  <w:style w:type="character" w:customStyle="1" w:styleId="137">
    <w:name w:val="unnamed1nn"/>
    <w:basedOn w:val="65"/>
    <w:qFormat/>
    <w:uiPriority w:val="99"/>
  </w:style>
  <w:style w:type="character" w:customStyle="1" w:styleId="138">
    <w:name w:val="标题 3 Alt+3！ Char Char"/>
    <w:link w:val="139"/>
    <w:qFormat/>
    <w:locked/>
    <w:uiPriority w:val="99"/>
    <w:rPr>
      <w:rFonts w:ascii="宋体" w:eastAsia="宋体" w:cs="宋体"/>
      <w:b/>
      <w:bCs/>
      <w:sz w:val="21"/>
      <w:szCs w:val="21"/>
    </w:rPr>
  </w:style>
  <w:style w:type="paragraph" w:customStyle="1" w:styleId="139">
    <w:name w:val="标题 3 Alt+3！"/>
    <w:basedOn w:val="5"/>
    <w:link w:val="138"/>
    <w:qFormat/>
    <w:uiPriority w:val="99"/>
    <w:pPr>
      <w:keepNext w:val="0"/>
      <w:keepLines w:val="0"/>
      <w:tabs>
        <w:tab w:val="left" w:pos="4140"/>
      </w:tabs>
      <w:spacing w:beforeLines="50" w:after="0" w:line="360" w:lineRule="auto"/>
      <w:ind w:right="-796" w:rightChars="-379"/>
      <w:jc w:val="left"/>
    </w:pPr>
    <w:rPr>
      <w:rFonts w:ascii="宋体" w:hAnsi="宋体" w:cs="宋体"/>
      <w:kern w:val="0"/>
      <w:sz w:val="20"/>
      <w:szCs w:val="20"/>
    </w:rPr>
  </w:style>
  <w:style w:type="character" w:customStyle="1" w:styleId="140">
    <w:name w:val="正文 Alt+A Char Char"/>
    <w:link w:val="141"/>
    <w:qFormat/>
    <w:locked/>
    <w:uiPriority w:val="99"/>
    <w:rPr>
      <w:rFonts w:ascii="宋体" w:eastAsia="宋体" w:cs="宋体"/>
      <w:sz w:val="24"/>
      <w:szCs w:val="24"/>
    </w:rPr>
  </w:style>
  <w:style w:type="paragraph" w:customStyle="1" w:styleId="141">
    <w:name w:val="正文 Alt+A"/>
    <w:basedOn w:val="1"/>
    <w:link w:val="140"/>
    <w:qFormat/>
    <w:uiPriority w:val="99"/>
    <w:pPr>
      <w:spacing w:line="240" w:lineRule="exact"/>
      <w:ind w:left="900" w:right="-38" w:rightChars="-18"/>
      <w:jc w:val="left"/>
    </w:pPr>
    <w:rPr>
      <w:rFonts w:ascii="宋体" w:hAnsi="宋体" w:cs="宋体"/>
      <w:kern w:val="0"/>
      <w:sz w:val="24"/>
      <w:szCs w:val="24"/>
    </w:rPr>
  </w:style>
  <w:style w:type="character" w:customStyle="1" w:styleId="142">
    <w:name w:val="标书正文格式 Char Char Char Char Char Char"/>
    <w:qFormat/>
    <w:uiPriority w:val="99"/>
    <w:rPr>
      <w:rFonts w:eastAsia="楷体_GB2312"/>
      <w:kern w:val="2"/>
      <w:sz w:val="24"/>
      <w:szCs w:val="24"/>
      <w:lang w:val="en-US" w:eastAsia="zh-CN"/>
    </w:rPr>
  </w:style>
  <w:style w:type="character" w:customStyle="1" w:styleId="143">
    <w:name w:val="font111"/>
    <w:qFormat/>
    <w:uiPriority w:val="99"/>
    <w:rPr>
      <w:rFonts w:ascii="宋体" w:hAnsi="宋体" w:eastAsia="宋体" w:cs="宋体"/>
      <w:color w:val="000000"/>
      <w:sz w:val="22"/>
      <w:szCs w:val="22"/>
      <w:u w:val="none"/>
      <w:vertAlign w:val="superscript"/>
    </w:rPr>
  </w:style>
  <w:style w:type="character" w:customStyle="1" w:styleId="144">
    <w:name w:val="para1"/>
    <w:qFormat/>
    <w:uiPriority w:val="99"/>
    <w:rPr>
      <w:rFonts w:ascii="Arial" w:hAnsi="Arial" w:cs="Arial"/>
      <w:sz w:val="18"/>
      <w:szCs w:val="18"/>
    </w:rPr>
  </w:style>
  <w:style w:type="character" w:customStyle="1" w:styleId="145">
    <w:name w:val="font101"/>
    <w:qFormat/>
    <w:uiPriority w:val="99"/>
    <w:rPr>
      <w:sz w:val="20"/>
      <w:szCs w:val="20"/>
    </w:rPr>
  </w:style>
  <w:style w:type="character" w:customStyle="1" w:styleId="146">
    <w:name w:val="title_emph1"/>
    <w:qFormat/>
    <w:uiPriority w:val="99"/>
    <w:rPr>
      <w:rFonts w:ascii="Arial" w:hAnsi="Arial" w:cs="Arial"/>
      <w:b/>
      <w:bCs/>
      <w:sz w:val="18"/>
      <w:szCs w:val="18"/>
    </w:rPr>
  </w:style>
  <w:style w:type="character" w:customStyle="1" w:styleId="147">
    <w:name w:val="特点 Char"/>
    <w:qFormat/>
    <w:uiPriority w:val="99"/>
    <w:rPr>
      <w:rFonts w:eastAsia="宋体"/>
      <w:kern w:val="2"/>
      <w:sz w:val="21"/>
      <w:szCs w:val="21"/>
      <w:lang w:val="en-US" w:eastAsia="zh-CN"/>
    </w:rPr>
  </w:style>
  <w:style w:type="character" w:customStyle="1" w:styleId="148">
    <w:name w:val="正文首行缩进 Char1"/>
    <w:qFormat/>
    <w:uiPriority w:val="99"/>
    <w:rPr>
      <w:rFonts w:ascii="宋体" w:hAnsi="宋体" w:eastAsia="宋体" w:cs="宋体"/>
      <w:kern w:val="2"/>
      <w:sz w:val="24"/>
      <w:szCs w:val="24"/>
    </w:rPr>
  </w:style>
  <w:style w:type="character" w:customStyle="1" w:styleId="149">
    <w:name w:val="列表项目符号 Char"/>
    <w:link w:val="21"/>
    <w:qFormat/>
    <w:locked/>
    <w:uiPriority w:val="99"/>
    <w:rPr>
      <w:sz w:val="24"/>
      <w:szCs w:val="24"/>
    </w:rPr>
  </w:style>
  <w:style w:type="character" w:customStyle="1" w:styleId="150">
    <w:name w:val="tw4winMark"/>
    <w:qFormat/>
    <w:uiPriority w:val="99"/>
    <w:rPr>
      <w:rFonts w:ascii="Courier New" w:hAnsi="Courier New" w:cs="Courier New"/>
      <w:vanish/>
      <w:color w:val="800080"/>
      <w:vertAlign w:val="subscript"/>
    </w:rPr>
  </w:style>
  <w:style w:type="character" w:customStyle="1" w:styleId="151">
    <w:name w:val="style31"/>
    <w:qFormat/>
    <w:uiPriority w:val="99"/>
    <w:rPr>
      <w:color w:val="auto"/>
    </w:rPr>
  </w:style>
  <w:style w:type="character" w:customStyle="1" w:styleId="152">
    <w:name w:val="style11"/>
    <w:qFormat/>
    <w:uiPriority w:val="99"/>
    <w:rPr>
      <w:color w:val="auto"/>
    </w:rPr>
  </w:style>
  <w:style w:type="character" w:customStyle="1" w:styleId="153">
    <w:name w:val="Char Char9"/>
    <w:qFormat/>
    <w:uiPriority w:val="99"/>
    <w:rPr>
      <w:rFonts w:ascii="宋体" w:hAnsi="Courier New" w:eastAsia="宋体" w:cs="宋体"/>
      <w:kern w:val="2"/>
      <w:sz w:val="21"/>
      <w:szCs w:val="21"/>
      <w:lang w:val="en-US" w:eastAsia="zh-CN"/>
    </w:rPr>
  </w:style>
  <w:style w:type="character" w:customStyle="1" w:styleId="154">
    <w:name w:val="普通(网站) Char"/>
    <w:link w:val="58"/>
    <w:qFormat/>
    <w:locked/>
    <w:uiPriority w:val="99"/>
    <w:rPr>
      <w:rFonts w:ascii="宋体" w:eastAsia="宋体" w:cs="宋体"/>
      <w:sz w:val="24"/>
      <w:szCs w:val="24"/>
    </w:rPr>
  </w:style>
  <w:style w:type="character" w:customStyle="1" w:styleId="155">
    <w:name w:val="文字 Char Char"/>
    <w:link w:val="156"/>
    <w:qFormat/>
    <w:locked/>
    <w:uiPriority w:val="99"/>
    <w:rPr>
      <w:rFonts w:ascii="宋体" w:eastAsia="宋体" w:cs="宋体"/>
      <w:sz w:val="28"/>
      <w:szCs w:val="28"/>
    </w:rPr>
  </w:style>
  <w:style w:type="paragraph" w:customStyle="1" w:styleId="156">
    <w:name w:val="文字"/>
    <w:basedOn w:val="1"/>
    <w:link w:val="155"/>
    <w:qFormat/>
    <w:uiPriority w:val="99"/>
    <w:pPr>
      <w:tabs>
        <w:tab w:val="left" w:pos="8520"/>
      </w:tabs>
      <w:spacing w:line="312" w:lineRule="auto"/>
      <w:ind w:right="-210" w:firstLine="556"/>
    </w:pPr>
    <w:rPr>
      <w:rFonts w:ascii="宋体" w:hAnsi="宋体" w:cs="宋体"/>
      <w:kern w:val="0"/>
      <w:sz w:val="28"/>
      <w:szCs w:val="28"/>
    </w:rPr>
  </w:style>
  <w:style w:type="character" w:customStyle="1" w:styleId="157">
    <w:name w:val="titlered1"/>
    <w:qFormat/>
    <w:uiPriority w:val="99"/>
    <w:rPr>
      <w:b/>
      <w:bCs/>
      <w:color w:val="FF0000"/>
      <w:sz w:val="21"/>
      <w:szCs w:val="21"/>
    </w:rPr>
  </w:style>
  <w:style w:type="character" w:customStyle="1" w:styleId="158">
    <w:name w:val="tpc_content1"/>
    <w:qFormat/>
    <w:uiPriority w:val="99"/>
    <w:rPr>
      <w:sz w:val="20"/>
      <w:szCs w:val="20"/>
    </w:rPr>
  </w:style>
  <w:style w:type="character" w:customStyle="1" w:styleId="159">
    <w:name w:val="html_txt1"/>
    <w:qFormat/>
    <w:uiPriority w:val="99"/>
    <w:rPr>
      <w:color w:val="000000"/>
    </w:rPr>
  </w:style>
  <w:style w:type="character" w:customStyle="1" w:styleId="160">
    <w:name w:val="bt21"/>
    <w:qFormat/>
    <w:uiPriority w:val="99"/>
    <w:rPr>
      <w:color w:val="000000"/>
      <w:sz w:val="18"/>
      <w:szCs w:val="18"/>
    </w:rPr>
  </w:style>
  <w:style w:type="character" w:customStyle="1" w:styleId="161">
    <w:name w:val="纯文本 Char"/>
    <w:qFormat/>
    <w:uiPriority w:val="99"/>
    <w:rPr>
      <w:rFonts w:ascii="宋体" w:hAnsi="Courier New" w:cs="宋体"/>
      <w:kern w:val="2"/>
      <w:sz w:val="24"/>
      <w:szCs w:val="24"/>
    </w:rPr>
  </w:style>
  <w:style w:type="character" w:customStyle="1" w:styleId="162">
    <w:name w:val="纯文本 Char2"/>
    <w:qFormat/>
    <w:uiPriority w:val="0"/>
    <w:rPr>
      <w:rFonts w:ascii="宋体" w:hAnsi="Courier New" w:cs="宋体"/>
      <w:sz w:val="24"/>
      <w:szCs w:val="24"/>
    </w:rPr>
  </w:style>
  <w:style w:type="character" w:customStyle="1" w:styleId="163">
    <w:name w:val="页码1"/>
    <w:basedOn w:val="65"/>
    <w:qFormat/>
    <w:uiPriority w:val="99"/>
  </w:style>
  <w:style w:type="character" w:customStyle="1" w:styleId="164">
    <w:name w:val="spantable1"/>
    <w:qFormat/>
    <w:uiPriority w:val="99"/>
    <w:rPr>
      <w:sz w:val="18"/>
      <w:szCs w:val="18"/>
    </w:rPr>
  </w:style>
  <w:style w:type="character" w:customStyle="1" w:styleId="165">
    <w:name w:val="font21"/>
    <w:qFormat/>
    <w:uiPriority w:val="0"/>
    <w:rPr>
      <w:rFonts w:ascii="Verdana" w:hAnsi="Verdana" w:cs="Verdana"/>
      <w:color w:val="000000"/>
      <w:sz w:val="20"/>
      <w:szCs w:val="20"/>
    </w:rPr>
  </w:style>
  <w:style w:type="character" w:customStyle="1" w:styleId="166">
    <w:name w:val="正文缩进 Char"/>
    <w:link w:val="19"/>
    <w:qFormat/>
    <w:locked/>
    <w:uiPriority w:val="0"/>
    <w:rPr>
      <w:rFonts w:eastAsia="宋体"/>
    </w:rPr>
  </w:style>
  <w:style w:type="character" w:customStyle="1" w:styleId="167">
    <w:name w:val="文章样式2 Char Char"/>
    <w:link w:val="168"/>
    <w:qFormat/>
    <w:locked/>
    <w:uiPriority w:val="99"/>
    <w:rPr>
      <w:rFonts w:ascii="??" w:hAnsi="??" w:cs="??"/>
      <w:color w:val="333333"/>
    </w:rPr>
  </w:style>
  <w:style w:type="paragraph" w:customStyle="1" w:styleId="168">
    <w:name w:val="文章样式2"/>
    <w:basedOn w:val="1"/>
    <w:link w:val="167"/>
    <w:qFormat/>
    <w:uiPriority w:val="99"/>
    <w:pPr>
      <w:widowControl/>
      <w:adjustRightInd w:val="0"/>
      <w:snapToGrid w:val="0"/>
      <w:spacing w:line="360" w:lineRule="auto"/>
      <w:ind w:firstLine="151" w:firstLineChars="72"/>
    </w:pPr>
    <w:rPr>
      <w:rFonts w:ascii="??" w:hAnsi="??" w:cs="??"/>
      <w:color w:val="333333"/>
      <w:kern w:val="0"/>
      <w:sz w:val="20"/>
      <w:szCs w:val="20"/>
    </w:rPr>
  </w:style>
  <w:style w:type="character" w:customStyle="1" w:styleId="169">
    <w:name w:val="css"/>
    <w:basedOn w:val="65"/>
    <w:qFormat/>
    <w:uiPriority w:val="99"/>
  </w:style>
  <w:style w:type="character" w:customStyle="1" w:styleId="170">
    <w:name w:val="txt1"/>
    <w:qFormat/>
    <w:uiPriority w:val="99"/>
    <w:rPr>
      <w:rFonts w:ascii="??" w:hAnsi="??" w:cs="??"/>
      <w:sz w:val="18"/>
      <w:szCs w:val="18"/>
    </w:rPr>
  </w:style>
  <w:style w:type="character" w:customStyle="1" w:styleId="171">
    <w:name w:val="style2"/>
    <w:basedOn w:val="65"/>
    <w:qFormat/>
    <w:uiPriority w:val="99"/>
  </w:style>
  <w:style w:type="character" w:customStyle="1" w:styleId="172">
    <w:name w:val="批注框文本 Char"/>
    <w:qFormat/>
    <w:uiPriority w:val="99"/>
    <w:rPr>
      <w:sz w:val="18"/>
      <w:szCs w:val="18"/>
    </w:rPr>
  </w:style>
  <w:style w:type="character" w:customStyle="1" w:styleId="173">
    <w:name w:val="正文文本缩进 Char"/>
    <w:qFormat/>
    <w:uiPriority w:val="99"/>
    <w:rPr>
      <w:rFonts w:ascii="仿宋_GB2312" w:hAnsi="宋体" w:eastAsia="仿宋_GB2312" w:cs="仿宋_GB2312"/>
      <w:kern w:val="2"/>
      <w:sz w:val="24"/>
      <w:szCs w:val="24"/>
    </w:rPr>
  </w:style>
  <w:style w:type="character" w:customStyle="1" w:styleId="174">
    <w:name w:val="正文文本 3 Char"/>
    <w:qFormat/>
    <w:uiPriority w:val="99"/>
    <w:rPr>
      <w:sz w:val="16"/>
      <w:szCs w:val="16"/>
    </w:rPr>
  </w:style>
  <w:style w:type="character" w:customStyle="1" w:styleId="175">
    <w:name w:val="标题 2 (文字)"/>
    <w:link w:val="176"/>
    <w:qFormat/>
    <w:locked/>
    <w:uiPriority w:val="99"/>
    <w:rPr>
      <w:rFonts w:ascii="Calibri Light" w:hAnsi="Calibri Light" w:eastAsia="黑体" w:cs="Calibri Light"/>
      <w:b/>
      <w:bCs/>
      <w:sz w:val="32"/>
      <w:szCs w:val="32"/>
      <w:lang w:eastAsia="en-US"/>
    </w:rPr>
  </w:style>
  <w:style w:type="paragraph" w:customStyle="1" w:styleId="176">
    <w:name w:val="标题 21"/>
    <w:basedOn w:val="4"/>
    <w:link w:val="175"/>
    <w:qFormat/>
    <w:uiPriority w:val="99"/>
    <w:pPr>
      <w:widowControl/>
      <w:ind w:firstLine="360"/>
      <w:jc w:val="left"/>
    </w:pPr>
    <w:rPr>
      <w:rFonts w:ascii="Calibri Light" w:hAnsi="Calibri Light" w:cs="Calibri Light"/>
      <w:kern w:val="0"/>
      <w:sz w:val="36"/>
      <w:szCs w:val="36"/>
      <w:lang w:eastAsia="en-US"/>
    </w:rPr>
  </w:style>
  <w:style w:type="character" w:customStyle="1" w:styleId="177">
    <w:name w:val="haikang1"/>
    <w:qFormat/>
    <w:uiPriority w:val="99"/>
    <w:rPr>
      <w:color w:val="000000"/>
      <w:sz w:val="18"/>
      <w:szCs w:val="18"/>
      <w:u w:val="none"/>
    </w:rPr>
  </w:style>
  <w:style w:type="character" w:customStyle="1" w:styleId="178">
    <w:name w:val="text-01"/>
    <w:qFormat/>
    <w:uiPriority w:val="99"/>
    <w:rPr>
      <w:rFonts w:ascii="Verdana" w:hAnsi="Verdana" w:cs="Verdana"/>
      <w:sz w:val="18"/>
      <w:szCs w:val="18"/>
    </w:rPr>
  </w:style>
  <w:style w:type="character" w:customStyle="1" w:styleId="179">
    <w:name w:val="文档正文 Char Char"/>
    <w:link w:val="180"/>
    <w:qFormat/>
    <w:locked/>
    <w:uiPriority w:val="99"/>
    <w:rPr>
      <w:rFonts w:ascii="长城仿宋" w:eastAsia="长城仿宋" w:cs="长城仿宋"/>
      <w:sz w:val="28"/>
      <w:szCs w:val="28"/>
    </w:rPr>
  </w:style>
  <w:style w:type="paragraph" w:customStyle="1" w:styleId="180">
    <w:name w:val="文档正文"/>
    <w:basedOn w:val="1"/>
    <w:link w:val="179"/>
    <w:qFormat/>
    <w:uiPriority w:val="99"/>
    <w:pPr>
      <w:adjustRightInd w:val="0"/>
      <w:spacing w:line="312" w:lineRule="atLeast"/>
      <w:ind w:firstLine="567"/>
      <w:textAlignment w:val="baseline"/>
    </w:pPr>
    <w:rPr>
      <w:rFonts w:ascii="长城仿宋" w:eastAsia="长城仿宋" w:cs="长城仿宋"/>
      <w:kern w:val="0"/>
      <w:sz w:val="28"/>
      <w:szCs w:val="28"/>
    </w:rPr>
  </w:style>
  <w:style w:type="character" w:customStyle="1" w:styleId="181">
    <w:name w:val="font31"/>
    <w:qFormat/>
    <w:uiPriority w:val="0"/>
    <w:rPr>
      <w:rFonts w:ascii="宋体" w:hAnsi="宋体" w:eastAsia="宋体" w:cs="宋体"/>
      <w:b/>
      <w:bCs/>
      <w:color w:val="000000"/>
      <w:sz w:val="20"/>
      <w:szCs w:val="20"/>
      <w:u w:val="none"/>
    </w:rPr>
  </w:style>
  <w:style w:type="character" w:customStyle="1" w:styleId="182">
    <w:name w:val="标题三文本 Char Char"/>
    <w:qFormat/>
    <w:uiPriority w:val="99"/>
    <w:rPr>
      <w:rFonts w:eastAsia="宋体"/>
      <w:kern w:val="2"/>
      <w:sz w:val="24"/>
      <w:szCs w:val="24"/>
      <w:lang w:val="en-US" w:eastAsia="zh-CN"/>
    </w:rPr>
  </w:style>
  <w:style w:type="character" w:customStyle="1" w:styleId="183">
    <w:name w:val="正文（首行缩进两字） Char Char Char Char1"/>
    <w:qFormat/>
    <w:uiPriority w:val="99"/>
    <w:rPr>
      <w:rFonts w:eastAsia="宋体"/>
      <w:kern w:val="2"/>
      <w:sz w:val="21"/>
      <w:szCs w:val="21"/>
      <w:lang w:val="en-US" w:eastAsia="zh-CN"/>
    </w:rPr>
  </w:style>
  <w:style w:type="character" w:customStyle="1" w:styleId="184">
    <w:name w:val="rightmiddle1"/>
    <w:basedOn w:val="65"/>
    <w:qFormat/>
    <w:uiPriority w:val="99"/>
  </w:style>
  <w:style w:type="character" w:customStyle="1" w:styleId="185">
    <w:name w:val="body1"/>
    <w:qFormat/>
    <w:uiPriority w:val="99"/>
    <w:rPr>
      <w:sz w:val="18"/>
      <w:szCs w:val="18"/>
    </w:rPr>
  </w:style>
  <w:style w:type="character" w:customStyle="1" w:styleId="186">
    <w:name w:val="spnmessagetext"/>
    <w:basedOn w:val="65"/>
    <w:qFormat/>
    <w:uiPriority w:val="99"/>
  </w:style>
  <w:style w:type="character" w:customStyle="1" w:styleId="187">
    <w:name w:val="apple-style-span"/>
    <w:basedOn w:val="65"/>
    <w:qFormat/>
    <w:uiPriority w:val="99"/>
  </w:style>
  <w:style w:type="character" w:customStyle="1" w:styleId="188">
    <w:name w:val="HTML 预设格式 Char1"/>
    <w:qFormat/>
    <w:uiPriority w:val="99"/>
    <w:rPr>
      <w:rFonts w:ascii="Courier New" w:hAnsi="Courier New" w:cs="Courier New"/>
      <w:kern w:val="2"/>
    </w:rPr>
  </w:style>
  <w:style w:type="character" w:customStyle="1" w:styleId="189">
    <w:name w:val="正文首行缩进 2 Char1"/>
    <w:basedOn w:val="173"/>
    <w:qFormat/>
    <w:uiPriority w:val="99"/>
    <w:rPr>
      <w:rFonts w:ascii="仿宋_GB2312" w:hAnsi="宋体" w:eastAsia="仿宋_GB2312" w:cs="仿宋_GB2312"/>
      <w:kern w:val="2"/>
      <w:sz w:val="24"/>
      <w:szCs w:val="24"/>
    </w:rPr>
  </w:style>
  <w:style w:type="character" w:customStyle="1" w:styleId="190">
    <w:name w:val="11-正文 Char Char"/>
    <w:link w:val="191"/>
    <w:qFormat/>
    <w:locked/>
    <w:uiPriority w:val="99"/>
  </w:style>
  <w:style w:type="paragraph" w:customStyle="1" w:styleId="191">
    <w:name w:val="11-正文"/>
    <w:basedOn w:val="1"/>
    <w:link w:val="190"/>
    <w:qFormat/>
    <w:uiPriority w:val="99"/>
    <w:pPr>
      <w:spacing w:beforeLines="50" w:line="360" w:lineRule="auto"/>
      <w:ind w:firstLine="420" w:firstLineChars="200"/>
    </w:pPr>
  </w:style>
  <w:style w:type="character" w:customStyle="1" w:styleId="192">
    <w:name w:val="脚注文本 Char1"/>
    <w:qFormat/>
    <w:uiPriority w:val="99"/>
    <w:rPr>
      <w:kern w:val="2"/>
      <w:sz w:val="18"/>
      <w:szCs w:val="18"/>
    </w:rPr>
  </w:style>
  <w:style w:type="character" w:customStyle="1" w:styleId="193">
    <w:name w:val="正文首行缩进 Char"/>
    <w:link w:val="194"/>
    <w:qFormat/>
    <w:locked/>
    <w:uiPriority w:val="99"/>
    <w:rPr>
      <w:kern w:val="2"/>
      <w:sz w:val="22"/>
      <w:szCs w:val="22"/>
      <w:lang w:val="en-US" w:eastAsia="zh-CN"/>
    </w:rPr>
  </w:style>
  <w:style w:type="paragraph" w:customStyle="1" w:styleId="194">
    <w:name w:val="正文首行缩进1"/>
    <w:link w:val="193"/>
    <w:qFormat/>
    <w:uiPriority w:val="99"/>
    <w:pPr>
      <w:widowControl w:val="0"/>
      <w:spacing w:after="120" w:line="360" w:lineRule="auto"/>
      <w:ind w:firstLine="420" w:firstLineChars="100"/>
    </w:pPr>
    <w:rPr>
      <w:rFonts w:ascii="Calibri" w:hAnsi="Calibri" w:eastAsia="宋体" w:cs="Calibri"/>
      <w:kern w:val="2"/>
      <w:sz w:val="24"/>
      <w:szCs w:val="24"/>
      <w:lang w:val="en-US" w:eastAsia="zh-CN" w:bidi="ar-SA"/>
    </w:rPr>
  </w:style>
  <w:style w:type="character" w:customStyle="1" w:styleId="195">
    <w:name w:val="fontblank12"/>
    <w:basedOn w:val="65"/>
    <w:qFormat/>
    <w:uiPriority w:val="99"/>
  </w:style>
  <w:style w:type="character" w:customStyle="1" w:styleId="196">
    <w:name w:val="标题 3 Char1"/>
    <w:qFormat/>
    <w:uiPriority w:val="99"/>
    <w:rPr>
      <w:rFonts w:eastAsia="黑体"/>
      <w:b/>
      <w:bCs/>
      <w:kern w:val="2"/>
      <w:sz w:val="32"/>
      <w:szCs w:val="32"/>
      <w:lang w:val="en-US" w:eastAsia="zh-CN"/>
    </w:rPr>
  </w:style>
  <w:style w:type="character" w:customStyle="1" w:styleId="197">
    <w:name w:val="azc1"/>
    <w:qFormat/>
    <w:uiPriority w:val="99"/>
    <w:rPr>
      <w:b/>
      <w:bCs/>
      <w:color w:val="auto"/>
      <w:sz w:val="20"/>
      <w:szCs w:val="20"/>
    </w:rPr>
  </w:style>
  <w:style w:type="character" w:customStyle="1" w:styleId="198">
    <w:name w:val="电子邮件签名 Char1"/>
    <w:qFormat/>
    <w:uiPriority w:val="99"/>
    <w:rPr>
      <w:kern w:val="2"/>
      <w:sz w:val="24"/>
      <w:szCs w:val="24"/>
    </w:rPr>
  </w:style>
  <w:style w:type="character" w:customStyle="1" w:styleId="199">
    <w:name w:val="正文文本 2 Char"/>
    <w:qFormat/>
    <w:uiPriority w:val="99"/>
    <w:rPr>
      <w:rFonts w:ascii="宋体" w:eastAsia="宋体" w:cs="宋体"/>
      <w:color w:val="000000"/>
      <w:sz w:val="24"/>
      <w:szCs w:val="24"/>
    </w:rPr>
  </w:style>
  <w:style w:type="character" w:customStyle="1" w:styleId="200">
    <w:name w:val="huei12b"/>
    <w:basedOn w:val="65"/>
    <w:qFormat/>
    <w:uiPriority w:val="99"/>
  </w:style>
  <w:style w:type="character" w:customStyle="1" w:styleId="201">
    <w:name w:val="bold1"/>
    <w:qFormat/>
    <w:uiPriority w:val="99"/>
    <w:rPr>
      <w:b/>
      <w:bCs/>
    </w:rPr>
  </w:style>
  <w:style w:type="character" w:customStyle="1" w:styleId="202">
    <w:name w:val="ca-22"/>
    <w:basedOn w:val="65"/>
    <w:qFormat/>
    <w:uiPriority w:val="99"/>
  </w:style>
  <w:style w:type="character" w:customStyle="1" w:styleId="203">
    <w:name w:val="副标题 Char"/>
    <w:qFormat/>
    <w:uiPriority w:val="99"/>
    <w:rPr>
      <w:rFonts w:ascii="Cambria" w:hAnsi="Cambria" w:cs="Cambria"/>
      <w:b/>
      <w:bCs/>
      <w:kern w:val="28"/>
      <w:sz w:val="32"/>
      <w:szCs w:val="32"/>
    </w:rPr>
  </w:style>
  <w:style w:type="character" w:customStyle="1" w:styleId="204">
    <w:name w:val="产品名称 Char Char"/>
    <w:link w:val="205"/>
    <w:qFormat/>
    <w:locked/>
    <w:uiPriority w:val="99"/>
    <w:rPr>
      <w:rFonts w:ascii="宋体" w:eastAsia="宋体" w:cs="宋体"/>
      <w:color w:val="000000"/>
      <w:sz w:val="27"/>
      <w:szCs w:val="27"/>
      <w:u w:val="single"/>
    </w:rPr>
  </w:style>
  <w:style w:type="paragraph" w:customStyle="1" w:styleId="205">
    <w:name w:val="产品名称"/>
    <w:basedOn w:val="1"/>
    <w:link w:val="204"/>
    <w:qFormat/>
    <w:uiPriority w:val="99"/>
    <w:pPr>
      <w:widowControl/>
      <w:tabs>
        <w:tab w:val="left" w:pos="780"/>
      </w:tabs>
      <w:spacing w:before="100" w:beforeAutospacing="1" w:after="100" w:afterAutospacing="1"/>
      <w:ind w:left="1275" w:hanging="1275"/>
      <w:jc w:val="left"/>
    </w:pPr>
    <w:rPr>
      <w:rFonts w:ascii="宋体" w:hAnsi="宋体" w:cs="宋体"/>
      <w:color w:val="000000"/>
      <w:kern w:val="0"/>
      <w:sz w:val="27"/>
      <w:szCs w:val="27"/>
      <w:u w:val="single"/>
    </w:rPr>
  </w:style>
  <w:style w:type="character" w:customStyle="1" w:styleId="206">
    <w:name w:val="标题 2 Char Char"/>
    <w:qFormat/>
    <w:uiPriority w:val="99"/>
    <w:rPr>
      <w:rFonts w:ascii="Arial" w:hAnsi="Arial" w:eastAsia="黑体" w:cs="Arial"/>
      <w:b/>
      <w:bCs/>
      <w:kern w:val="2"/>
      <w:sz w:val="32"/>
      <w:szCs w:val="32"/>
      <w:lang w:val="en-US" w:eastAsia="zh-CN"/>
    </w:rPr>
  </w:style>
  <w:style w:type="character" w:customStyle="1" w:styleId="207">
    <w:name w:val="副标题 Char1"/>
    <w:qFormat/>
    <w:uiPriority w:val="99"/>
    <w:rPr>
      <w:rFonts w:ascii="Cambria" w:hAnsi="Cambria" w:cs="Cambria"/>
      <w:b/>
      <w:bCs/>
      <w:kern w:val="28"/>
      <w:sz w:val="32"/>
      <w:szCs w:val="32"/>
    </w:rPr>
  </w:style>
  <w:style w:type="character" w:customStyle="1" w:styleId="208">
    <w:name w:val="font1"/>
    <w:qFormat/>
    <w:uiPriority w:val="99"/>
    <w:rPr>
      <w:sz w:val="18"/>
      <w:szCs w:val="18"/>
    </w:rPr>
  </w:style>
  <w:style w:type="character" w:customStyle="1" w:styleId="209">
    <w:name w:val="纯文本 Char3"/>
    <w:qFormat/>
    <w:uiPriority w:val="99"/>
    <w:rPr>
      <w:rFonts w:ascii="宋体" w:hAnsi="Courier New" w:eastAsia="宋体" w:cs="宋体"/>
      <w:kern w:val="2"/>
      <w:sz w:val="24"/>
      <w:szCs w:val="24"/>
      <w:lang w:val="en-US" w:eastAsia="zh-CN"/>
    </w:rPr>
  </w:style>
  <w:style w:type="character" w:customStyle="1" w:styleId="210">
    <w:name w:val="日期 Char"/>
    <w:qFormat/>
    <w:locked/>
    <w:uiPriority w:val="99"/>
    <w:rPr>
      <w:rFonts w:eastAsia="宋体"/>
      <w:sz w:val="24"/>
      <w:szCs w:val="24"/>
    </w:rPr>
  </w:style>
  <w:style w:type="character" w:customStyle="1" w:styleId="211">
    <w:name w:val="text1"/>
    <w:qFormat/>
    <w:uiPriority w:val="99"/>
    <w:rPr>
      <w:sz w:val="21"/>
      <w:szCs w:val="21"/>
    </w:rPr>
  </w:style>
  <w:style w:type="character" w:customStyle="1" w:styleId="212">
    <w:name w:val="blacktext"/>
    <w:basedOn w:val="65"/>
    <w:qFormat/>
    <w:uiPriority w:val="99"/>
  </w:style>
  <w:style w:type="character" w:customStyle="1" w:styleId="213">
    <w:name w:val="font"/>
    <w:basedOn w:val="65"/>
    <w:qFormat/>
    <w:uiPriority w:val="99"/>
  </w:style>
  <w:style w:type="character" w:customStyle="1" w:styleId="214">
    <w:name w:val="font51"/>
    <w:qFormat/>
    <w:uiPriority w:val="99"/>
    <w:rPr>
      <w:color w:val="auto"/>
      <w:sz w:val="20"/>
      <w:szCs w:val="20"/>
    </w:rPr>
  </w:style>
  <w:style w:type="character" w:customStyle="1" w:styleId="215">
    <w:name w:val="LIST Char Char"/>
    <w:link w:val="216"/>
    <w:qFormat/>
    <w:locked/>
    <w:uiPriority w:val="99"/>
    <w:rPr>
      <w:b/>
      <w:bCs/>
    </w:rPr>
  </w:style>
  <w:style w:type="paragraph" w:customStyle="1" w:styleId="216">
    <w:name w:val="列表1"/>
    <w:basedOn w:val="21"/>
    <w:link w:val="215"/>
    <w:qFormat/>
    <w:uiPriority w:val="99"/>
    <w:pPr>
      <w:spacing w:line="360" w:lineRule="auto"/>
      <w:ind w:hanging="200" w:hangingChars="200"/>
    </w:pPr>
    <w:rPr>
      <w:b/>
      <w:bCs/>
    </w:rPr>
  </w:style>
  <w:style w:type="character" w:customStyle="1" w:styleId="217">
    <w:name w:val="标题 2 + 宋体 四号 非加粗 Char Char Char Char"/>
    <w:qFormat/>
    <w:uiPriority w:val="99"/>
    <w:rPr>
      <w:rFonts w:eastAsia="宋体"/>
      <w:b/>
      <w:bCs/>
      <w:color w:val="000000"/>
      <w:kern w:val="2"/>
      <w:sz w:val="24"/>
      <w:szCs w:val="24"/>
      <w:lang w:val="en-US" w:eastAsia="zh-CN"/>
    </w:rPr>
  </w:style>
  <w:style w:type="character" w:customStyle="1" w:styleId="218">
    <w:name w:val="v151"/>
    <w:qFormat/>
    <w:uiPriority w:val="99"/>
    <w:rPr>
      <w:sz w:val="18"/>
      <w:szCs w:val="18"/>
    </w:rPr>
  </w:style>
  <w:style w:type="character" w:customStyle="1" w:styleId="219">
    <w:name w:val="批注文字 Char"/>
    <w:basedOn w:val="65"/>
    <w:qFormat/>
    <w:uiPriority w:val="99"/>
  </w:style>
  <w:style w:type="character" w:customStyle="1" w:styleId="220">
    <w:name w:val="paramname3"/>
    <w:qFormat/>
    <w:uiPriority w:val="99"/>
  </w:style>
  <w:style w:type="character" w:customStyle="1" w:styleId="221">
    <w:name w:val="普通文字 Char Char3"/>
    <w:qFormat/>
    <w:uiPriority w:val="99"/>
    <w:rPr>
      <w:rFonts w:ascii="宋体" w:hAnsi="Courier New" w:eastAsia="宋体" w:cs="宋体"/>
      <w:kern w:val="2"/>
      <w:sz w:val="24"/>
      <w:szCs w:val="24"/>
      <w:lang w:val="en-US" w:eastAsia="zh-CN"/>
    </w:rPr>
  </w:style>
  <w:style w:type="character" w:customStyle="1" w:styleId="222">
    <w:name w:val="param_td12"/>
    <w:basedOn w:val="65"/>
    <w:qFormat/>
    <w:uiPriority w:val="99"/>
  </w:style>
  <w:style w:type="character" w:customStyle="1" w:styleId="223">
    <w:name w:val="grame"/>
    <w:basedOn w:val="65"/>
    <w:qFormat/>
    <w:uiPriority w:val="99"/>
  </w:style>
  <w:style w:type="character" w:customStyle="1" w:styleId="224">
    <w:name w:val="无间隔 Char"/>
    <w:link w:val="225"/>
    <w:qFormat/>
    <w:locked/>
    <w:uiPriority w:val="99"/>
    <w:rPr>
      <w:rFonts w:eastAsia="Times New Roman"/>
      <w:kern w:val="2"/>
      <w:sz w:val="22"/>
      <w:szCs w:val="22"/>
      <w:lang w:val="en-US" w:eastAsia="zh-CN"/>
    </w:rPr>
  </w:style>
  <w:style w:type="paragraph" w:customStyle="1" w:styleId="225">
    <w:name w:val="无间隔1"/>
    <w:link w:val="224"/>
    <w:qFormat/>
    <w:uiPriority w:val="99"/>
    <w:rPr>
      <w:rFonts w:ascii="Calibri" w:hAnsi="Calibri" w:eastAsia="宋体" w:cs="Calibri"/>
      <w:kern w:val="2"/>
      <w:sz w:val="22"/>
      <w:szCs w:val="22"/>
      <w:lang w:val="en-US" w:eastAsia="zh-CN" w:bidi="ar-SA"/>
    </w:rPr>
  </w:style>
  <w:style w:type="character" w:customStyle="1" w:styleId="226">
    <w:name w:val="mm_word_url"/>
    <w:basedOn w:val="65"/>
    <w:qFormat/>
    <w:uiPriority w:val="99"/>
  </w:style>
  <w:style w:type="character" w:customStyle="1" w:styleId="227">
    <w:name w:val="font01"/>
    <w:qFormat/>
    <w:uiPriority w:val="99"/>
    <w:rPr>
      <w:rFonts w:ascii="长城粗隶书" w:eastAsia="长城粗隶书" w:cs="长城粗隶书"/>
      <w:color w:val="000000"/>
      <w:sz w:val="21"/>
      <w:szCs w:val="21"/>
      <w:u w:val="none"/>
    </w:rPr>
  </w:style>
  <w:style w:type="character" w:customStyle="1" w:styleId="228">
    <w:name w:val="脚注文本 Char"/>
    <w:qFormat/>
    <w:uiPriority w:val="99"/>
    <w:rPr>
      <w:sz w:val="18"/>
      <w:szCs w:val="18"/>
    </w:rPr>
  </w:style>
  <w:style w:type="character" w:customStyle="1" w:styleId="229">
    <w:name w:val="15"/>
    <w:basedOn w:val="65"/>
    <w:qFormat/>
    <w:uiPriority w:val="99"/>
  </w:style>
  <w:style w:type="character" w:customStyle="1" w:styleId="230">
    <w:name w:val="spelle"/>
    <w:basedOn w:val="65"/>
    <w:qFormat/>
    <w:uiPriority w:val="99"/>
  </w:style>
  <w:style w:type="character" w:customStyle="1" w:styleId="231">
    <w:name w:val="pt141"/>
    <w:qFormat/>
    <w:uiPriority w:val="99"/>
    <w:rPr>
      <w:color w:val="auto"/>
      <w:sz w:val="22"/>
      <w:szCs w:val="22"/>
    </w:rPr>
  </w:style>
  <w:style w:type="character" w:customStyle="1" w:styleId="232">
    <w:name w:val="line1"/>
    <w:qFormat/>
    <w:uiPriority w:val="99"/>
  </w:style>
  <w:style w:type="character" w:customStyle="1" w:styleId="233">
    <w:name w:val="正文文本缩进 3 Char"/>
    <w:qFormat/>
    <w:uiPriority w:val="0"/>
    <w:rPr>
      <w:sz w:val="16"/>
      <w:szCs w:val="16"/>
    </w:rPr>
  </w:style>
  <w:style w:type="character" w:customStyle="1" w:styleId="234">
    <w:name w:val="批注主题 Char"/>
    <w:qFormat/>
    <w:uiPriority w:val="99"/>
    <w:rPr>
      <w:b/>
      <w:bCs/>
    </w:rPr>
  </w:style>
  <w:style w:type="character" w:customStyle="1" w:styleId="235">
    <w:name w:val="a41"/>
    <w:qFormat/>
    <w:uiPriority w:val="99"/>
    <w:rPr>
      <w:color w:val="auto"/>
      <w:sz w:val="20"/>
      <w:szCs w:val="20"/>
    </w:rPr>
  </w:style>
  <w:style w:type="character" w:customStyle="1" w:styleId="236">
    <w:name w:val="正文文本缩进 2 Char"/>
    <w:qFormat/>
    <w:uiPriority w:val="99"/>
    <w:rPr>
      <w:sz w:val="24"/>
      <w:szCs w:val="24"/>
    </w:rPr>
  </w:style>
  <w:style w:type="character" w:customStyle="1" w:styleId="237">
    <w:name w:val="wenzi1"/>
    <w:qFormat/>
    <w:uiPriority w:val="99"/>
    <w:rPr>
      <w:rFonts w:ascii="??" w:hAnsi="??" w:cs="??"/>
      <w:color w:val="000000"/>
      <w:spacing w:val="0"/>
      <w:sz w:val="22"/>
      <w:szCs w:val="22"/>
      <w:u w:val="none"/>
    </w:rPr>
  </w:style>
  <w:style w:type="character" w:customStyle="1" w:styleId="238">
    <w:name w:val="z-窗体底端 Char"/>
    <w:qFormat/>
    <w:uiPriority w:val="99"/>
    <w:rPr>
      <w:rFonts w:ascii="Arial" w:hAnsi="Arial" w:cs="Arial"/>
      <w:vanish/>
      <w:sz w:val="16"/>
      <w:szCs w:val="16"/>
    </w:rPr>
  </w:style>
  <w:style w:type="paragraph" w:customStyle="1" w:styleId="239">
    <w:name w:val="z-窗体底端1"/>
    <w:basedOn w:val="1"/>
    <w:next w:val="1"/>
    <w:link w:val="490"/>
    <w:qFormat/>
    <w:uiPriority w:val="99"/>
    <w:pPr>
      <w:widowControl/>
      <w:pBdr>
        <w:top w:val="single" w:color="auto" w:sz="6" w:space="1"/>
      </w:pBdr>
      <w:jc w:val="center"/>
    </w:pPr>
    <w:rPr>
      <w:rFonts w:ascii="Arial" w:hAnsi="Arial" w:cs="Arial"/>
      <w:vanish/>
      <w:sz w:val="16"/>
      <w:szCs w:val="16"/>
    </w:rPr>
  </w:style>
  <w:style w:type="character" w:customStyle="1" w:styleId="240">
    <w:name w:val="纯文本 Char1"/>
    <w:qFormat/>
    <w:uiPriority w:val="0"/>
    <w:rPr>
      <w:rFonts w:ascii="宋体" w:hAnsi="Courier New" w:eastAsia="宋体" w:cs="宋体"/>
      <w:kern w:val="2"/>
      <w:sz w:val="24"/>
      <w:szCs w:val="24"/>
      <w:lang w:val="en-US" w:eastAsia="zh-CN"/>
    </w:rPr>
  </w:style>
  <w:style w:type="character" w:customStyle="1" w:styleId="241">
    <w:name w:val="unnamed11"/>
    <w:qFormat/>
    <w:uiPriority w:val="99"/>
    <w:rPr>
      <w:color w:val="000000"/>
      <w:sz w:val="20"/>
      <w:szCs w:val="20"/>
    </w:rPr>
  </w:style>
  <w:style w:type="character" w:customStyle="1" w:styleId="242">
    <w:name w:val="文档结构图 Char"/>
    <w:qFormat/>
    <w:uiPriority w:val="99"/>
    <w:rPr>
      <w:sz w:val="24"/>
      <w:szCs w:val="24"/>
      <w:shd w:val="clear" w:color="auto" w:fill="000080"/>
    </w:rPr>
  </w:style>
  <w:style w:type="character" w:customStyle="1" w:styleId="243">
    <w:name w:val="标题 Char"/>
    <w:qFormat/>
    <w:uiPriority w:val="99"/>
    <w:rPr>
      <w:rFonts w:ascii="Cambria" w:hAnsi="Cambria" w:eastAsia="宋体" w:cs="Cambria"/>
      <w:b/>
      <w:bCs/>
      <w:sz w:val="32"/>
      <w:szCs w:val="32"/>
    </w:rPr>
  </w:style>
  <w:style w:type="character" w:customStyle="1" w:styleId="244">
    <w:name w:val="style8"/>
    <w:basedOn w:val="65"/>
    <w:qFormat/>
    <w:uiPriority w:val="99"/>
  </w:style>
  <w:style w:type="character" w:customStyle="1" w:styleId="245">
    <w:name w:val="ww"/>
    <w:basedOn w:val="65"/>
    <w:qFormat/>
    <w:uiPriority w:val="99"/>
  </w:style>
  <w:style w:type="paragraph" w:customStyle="1" w:styleId="246">
    <w:name w:val="正文文本 21"/>
    <w:basedOn w:val="1"/>
    <w:qFormat/>
    <w:uiPriority w:val="99"/>
    <w:pPr>
      <w:widowControl/>
      <w:tabs>
        <w:tab w:val="left" w:pos="120"/>
      </w:tabs>
      <w:autoSpaceDE w:val="0"/>
      <w:autoSpaceDN w:val="0"/>
      <w:adjustRightInd w:val="0"/>
      <w:spacing w:line="360" w:lineRule="auto"/>
      <w:ind w:left="45" w:firstLine="720"/>
      <w:textAlignment w:val="baseline"/>
    </w:pPr>
    <w:rPr>
      <w:rFonts w:ascii="宋体" w:hAnsi="Times New Roman" w:cs="宋体"/>
      <w:kern w:val="0"/>
      <w:sz w:val="32"/>
      <w:szCs w:val="32"/>
      <w:lang w:val="en-AU"/>
    </w:rPr>
  </w:style>
  <w:style w:type="paragraph" w:customStyle="1" w:styleId="247">
    <w:name w:val="注释"/>
    <w:basedOn w:val="1"/>
    <w:qFormat/>
    <w:uiPriority w:val="99"/>
    <w:pPr>
      <w:tabs>
        <w:tab w:val="left" w:pos="840"/>
      </w:tabs>
      <w:spacing w:after="100" w:afterAutospacing="1" w:line="360" w:lineRule="auto"/>
      <w:ind w:left="1440" w:hanging="360"/>
    </w:pPr>
    <w:rPr>
      <w:rFonts w:ascii="Times New Roman" w:hAnsi="Times New Roman" w:cs="Times New Roman"/>
      <w:sz w:val="18"/>
      <w:szCs w:val="18"/>
    </w:rPr>
  </w:style>
  <w:style w:type="paragraph" w:customStyle="1" w:styleId="248">
    <w:name w:val="文本"/>
    <w:basedOn w:val="1"/>
    <w:qFormat/>
    <w:uiPriority w:val="99"/>
    <w:pPr>
      <w:spacing w:line="360" w:lineRule="auto"/>
      <w:ind w:firstLine="480" w:firstLineChars="200"/>
    </w:pPr>
    <w:rPr>
      <w:rFonts w:ascii="宋体" w:hAnsi="Arial" w:cs="宋体"/>
      <w:kern w:val="0"/>
      <w:sz w:val="24"/>
      <w:szCs w:val="24"/>
    </w:rPr>
  </w:style>
  <w:style w:type="paragraph" w:customStyle="1" w:styleId="249">
    <w:name w:val="xl6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50">
    <w:name w:val="xl73"/>
    <w:basedOn w:val="1"/>
    <w:qFormat/>
    <w:uiPriority w:val="99"/>
    <w:pPr>
      <w:widowControl/>
      <w:spacing w:before="100" w:beforeAutospacing="1" w:after="100" w:afterAutospacing="1"/>
      <w:jc w:val="left"/>
      <w:textAlignment w:val="center"/>
    </w:pPr>
    <w:rPr>
      <w:rFonts w:ascii="宋体" w:hAnsi="宋体" w:cs="宋体"/>
      <w:kern w:val="0"/>
      <w:sz w:val="20"/>
      <w:szCs w:val="20"/>
    </w:rPr>
  </w:style>
  <w:style w:type="paragraph" w:customStyle="1" w:styleId="251">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重点"/>
    <w:basedOn w:val="27"/>
    <w:qFormat/>
    <w:uiPriority w:val="99"/>
    <w:pPr>
      <w:widowControl/>
      <w:spacing w:after="0" w:line="300" w:lineRule="auto"/>
      <w:jc w:val="left"/>
    </w:pPr>
    <w:rPr>
      <w:rFonts w:hAnsi="Arial"/>
      <w:b/>
      <w:bCs/>
      <w:kern w:val="0"/>
      <w:sz w:val="21"/>
      <w:szCs w:val="21"/>
    </w:rPr>
  </w:style>
  <w:style w:type="paragraph" w:customStyle="1" w:styleId="253">
    <w:name w:val="2册标题4"/>
    <w:basedOn w:val="1"/>
    <w:next w:val="1"/>
    <w:qFormat/>
    <w:uiPriority w:val="99"/>
    <w:pPr>
      <w:spacing w:beforeLines="50" w:afterLines="50" w:line="300" w:lineRule="auto"/>
      <w:ind w:left="420" w:leftChars="200"/>
      <w:outlineLvl w:val="3"/>
    </w:pPr>
    <w:rPr>
      <w:rFonts w:ascii="Arial" w:hAnsi="Arial" w:eastAsia="幼圆" w:cs="Arial"/>
      <w:b/>
      <w:bCs/>
      <w:sz w:val="24"/>
      <w:szCs w:val="24"/>
    </w:rPr>
  </w:style>
  <w:style w:type="paragraph" w:customStyle="1" w:styleId="254">
    <w:name w:val="xl69"/>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255">
    <w:name w:val="一般段落"/>
    <w:basedOn w:val="1"/>
    <w:qFormat/>
    <w:uiPriority w:val="99"/>
    <w:pPr>
      <w:ind w:firstLine="630"/>
    </w:pPr>
    <w:rPr>
      <w:rFonts w:ascii="Times New Roman" w:hAnsi="Times New Roman" w:eastAsia="楷体_GB2312" w:cs="Times New Roman"/>
      <w:color w:val="008000"/>
      <w:sz w:val="32"/>
      <w:szCs w:val="32"/>
    </w:rPr>
  </w:style>
  <w:style w:type="paragraph" w:customStyle="1" w:styleId="256">
    <w:name w:val="样式"/>
    <w:basedOn w:val="1"/>
    <w:qFormat/>
    <w:uiPriority w:val="99"/>
    <w:pPr>
      <w:autoSpaceDE w:val="0"/>
      <w:autoSpaceDN w:val="0"/>
      <w:snapToGrid w:val="0"/>
      <w:spacing w:before="120" w:after="120" w:line="360" w:lineRule="auto"/>
    </w:pPr>
    <w:rPr>
      <w:rFonts w:ascii="宋体" w:hAnsi="Times New Roman" w:cs="宋体"/>
      <w:sz w:val="24"/>
      <w:szCs w:val="24"/>
    </w:rPr>
  </w:style>
  <w:style w:type="paragraph" w:customStyle="1" w:styleId="257">
    <w:name w:val="标题1"/>
    <w:basedOn w:val="1"/>
    <w:qFormat/>
    <w:uiPriority w:val="99"/>
    <w:pPr>
      <w:tabs>
        <w:tab w:val="left" w:pos="900"/>
      </w:tabs>
      <w:spacing w:line="360" w:lineRule="auto"/>
      <w:jc w:val="center"/>
    </w:pPr>
    <w:rPr>
      <w:rFonts w:ascii="Times New Roman" w:hAnsi="Times New Roman" w:eastAsia="黑体" w:cs="Times New Roman"/>
      <w:sz w:val="44"/>
      <w:szCs w:val="44"/>
    </w:rPr>
  </w:style>
  <w:style w:type="paragraph" w:customStyle="1" w:styleId="258">
    <w:name w:val="title2"/>
    <w:basedOn w:val="1"/>
    <w:qFormat/>
    <w:uiPriority w:val="99"/>
    <w:rPr>
      <w:rFonts w:ascii="Times New Roman" w:hAnsi="Times New Roman" w:cs="Times New Roman"/>
      <w:b/>
      <w:bCs/>
      <w:sz w:val="24"/>
      <w:szCs w:val="24"/>
    </w:rPr>
  </w:style>
  <w:style w:type="paragraph" w:customStyle="1" w:styleId="259">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0">
    <w:name w:val="xl71"/>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61">
    <w:name w:val="目录"/>
    <w:basedOn w:val="1"/>
    <w:qFormat/>
    <w:uiPriority w:val="99"/>
    <w:pPr>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262">
    <w:name w:val="目录3"/>
    <w:basedOn w:val="1"/>
    <w:qFormat/>
    <w:uiPriority w:val="99"/>
    <w:pPr>
      <w:autoSpaceDE w:val="0"/>
      <w:autoSpaceDN w:val="0"/>
      <w:adjustRightInd w:val="0"/>
      <w:ind w:left="833"/>
      <w:jc w:val="left"/>
    </w:pPr>
    <w:rPr>
      <w:rFonts w:ascii="Times New Roman" w:hAnsi="Times New Roman" w:cs="Times New Roman"/>
      <w:kern w:val="0"/>
    </w:rPr>
  </w:style>
  <w:style w:type="paragraph" w:customStyle="1" w:styleId="263">
    <w:name w:val="小点说明"/>
    <w:basedOn w:val="1"/>
    <w:qFormat/>
    <w:uiPriority w:val="99"/>
    <w:pPr>
      <w:tabs>
        <w:tab w:val="left" w:pos="420"/>
      </w:tabs>
      <w:adjustRightInd w:val="0"/>
      <w:snapToGrid w:val="0"/>
      <w:spacing w:line="360" w:lineRule="auto"/>
      <w:ind w:left="1260" w:hanging="720"/>
    </w:pPr>
    <w:rPr>
      <w:rFonts w:ascii="Times New Roman" w:hAnsi="Times New Roman" w:cs="Times New Roman"/>
    </w:rPr>
  </w:style>
  <w:style w:type="paragraph" w:customStyle="1" w:styleId="2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5">
    <w:name w:val="xl6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66">
    <w:name w:val="font18"/>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267">
    <w:name w:val="普通表格1"/>
    <w:basedOn w:val="1"/>
    <w:qFormat/>
    <w:uiPriority w:val="99"/>
    <w:pPr>
      <w:widowControl/>
      <w:tabs>
        <w:tab w:val="left" w:pos="4320"/>
        <w:tab w:val="left" w:pos="4680"/>
        <w:tab w:val="left" w:pos="5040"/>
        <w:tab w:val="left" w:pos="5400"/>
        <w:tab w:val="right" w:pos="10080"/>
      </w:tabs>
      <w:spacing w:before="60" w:after="60"/>
      <w:jc w:val="left"/>
    </w:pPr>
    <w:rPr>
      <w:rFonts w:ascii="Palatino" w:hAnsi="Palatino" w:cs="Palatino"/>
      <w:kern w:val="0"/>
      <w:sz w:val="20"/>
      <w:szCs w:val="20"/>
    </w:rPr>
  </w:style>
  <w:style w:type="paragraph" w:customStyle="1" w:styleId="268">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9">
    <w:name w:val="公司地址"/>
    <w:basedOn w:val="1"/>
    <w:qFormat/>
    <w:uiPriority w:val="99"/>
    <w:pPr>
      <w:spacing w:after="80"/>
      <w:jc w:val="center"/>
    </w:pPr>
    <w:rPr>
      <w:rFonts w:ascii="Times New Roman" w:hAnsi="Times New Roman" w:cs="Times New Roman"/>
      <w:sz w:val="18"/>
      <w:szCs w:val="18"/>
    </w:rPr>
  </w:style>
  <w:style w:type="paragraph" w:customStyle="1" w:styleId="270">
    <w:name w:val="xl4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71">
    <w:name w:val="修订记录"/>
    <w:basedOn w:val="1"/>
    <w:qFormat/>
    <w:uiPriority w:val="99"/>
    <w:pPr>
      <w:pageBreakBefore/>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272">
    <w:name w:val="p15"/>
    <w:basedOn w:val="1"/>
    <w:qFormat/>
    <w:uiPriority w:val="99"/>
    <w:pPr>
      <w:widowControl/>
      <w:spacing w:before="100" w:after="100"/>
      <w:jc w:val="left"/>
    </w:pPr>
    <w:rPr>
      <w:rFonts w:ascii="宋体" w:hAnsi="宋体" w:cs="宋体"/>
      <w:kern w:val="0"/>
      <w:sz w:val="24"/>
      <w:szCs w:val="24"/>
    </w:rPr>
  </w:style>
  <w:style w:type="paragraph" w:customStyle="1" w:styleId="273">
    <w:name w:val="样式 宋体 小四 行距: 1.5 倍行距"/>
    <w:basedOn w:val="1"/>
    <w:qFormat/>
    <w:uiPriority w:val="99"/>
    <w:pPr>
      <w:spacing w:beforeLines="50" w:afterLines="50" w:line="360" w:lineRule="auto"/>
      <w:ind w:firstLine="200" w:firstLineChars="200"/>
    </w:pPr>
    <w:rPr>
      <w:rFonts w:ascii="宋体" w:hAnsi="宋体" w:cs="宋体"/>
      <w:sz w:val="24"/>
      <w:szCs w:val="24"/>
    </w:rPr>
  </w:style>
  <w:style w:type="paragraph" w:customStyle="1" w:styleId="274">
    <w:name w:val="title1"/>
    <w:basedOn w:val="3"/>
    <w:qFormat/>
    <w:uiPriority w:val="99"/>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275">
    <w:name w:val="EHPT"/>
    <w:basedOn w:val="1"/>
    <w:next w:val="27"/>
    <w:qFormat/>
    <w:uiPriority w:val="99"/>
    <w:pPr>
      <w:ind w:right="-694"/>
    </w:pPr>
    <w:rPr>
      <w:rFonts w:ascii="Times New Roman" w:hAnsi="Times New Roman" w:cs="Times New Roman"/>
      <w:sz w:val="24"/>
      <w:szCs w:val="24"/>
    </w:rPr>
  </w:style>
  <w:style w:type="paragraph" w:customStyle="1" w:styleId="276">
    <w:name w:val="1 Char Char Char Char Char Char Char Char Char Char"/>
    <w:basedOn w:val="1"/>
    <w:qFormat/>
    <w:uiPriority w:val="99"/>
    <w:pPr>
      <w:adjustRightInd w:val="0"/>
    </w:pPr>
    <w:rPr>
      <w:rFonts w:ascii="Times New Roman" w:hAnsi="Times New Roman" w:cs="Times New Roman"/>
      <w:kern w:val="0"/>
      <w:sz w:val="24"/>
      <w:szCs w:val="24"/>
    </w:rPr>
  </w:style>
  <w:style w:type="paragraph" w:customStyle="1" w:styleId="277">
    <w:name w:val="title3"/>
    <w:basedOn w:val="1"/>
    <w:qFormat/>
    <w:uiPriority w:val="99"/>
    <w:rPr>
      <w:rFonts w:ascii="Times New Roman" w:hAnsi="Times New Roman" w:cs="Times New Roman"/>
      <w:b/>
      <w:bCs/>
    </w:rPr>
  </w:style>
  <w:style w:type="paragraph" w:customStyle="1" w:styleId="278">
    <w:name w:val="样式 标书正文格式 + 首行缩进:  2 字符"/>
    <w:basedOn w:val="135"/>
    <w:qFormat/>
    <w:uiPriority w:val="99"/>
    <w:pPr>
      <w:spacing w:line="240" w:lineRule="auto"/>
      <w:ind w:firstLine="0" w:firstLineChars="0"/>
      <w:jc w:val="both"/>
    </w:pPr>
    <w:rPr>
      <w:rFonts w:ascii="宋体" w:hAnsi="宋体" w:cs="宋体"/>
      <w:kern w:val="0"/>
      <w:sz w:val="21"/>
      <w:szCs w:val="21"/>
    </w:rPr>
  </w:style>
  <w:style w:type="paragraph" w:customStyle="1" w:styleId="279">
    <w:name w:val="!标题1 Ctrl+1"/>
    <w:basedOn w:val="3"/>
    <w:next w:val="1"/>
    <w:qFormat/>
    <w:uiPriority w:val="99"/>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Arial"/>
      <w:kern w:val="2"/>
    </w:rPr>
  </w:style>
  <w:style w:type="paragraph" w:customStyle="1" w:styleId="280">
    <w:name w:val="normalgray"/>
    <w:basedOn w:val="1"/>
    <w:qFormat/>
    <w:uiPriority w:val="99"/>
    <w:pPr>
      <w:widowControl/>
      <w:spacing w:before="100" w:beforeAutospacing="1" w:after="100" w:afterAutospacing="1" w:line="386" w:lineRule="atLeast"/>
      <w:jc w:val="left"/>
    </w:pPr>
    <w:rPr>
      <w:rFonts w:ascii="??" w:hAnsi="??" w:cs="??"/>
      <w:color w:val="777777"/>
      <w:kern w:val="0"/>
    </w:rPr>
  </w:style>
  <w:style w:type="paragraph" w:customStyle="1" w:styleId="28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282">
    <w:name w:val="小条目 Char"/>
    <w:basedOn w:val="1"/>
    <w:qFormat/>
    <w:uiPriority w:val="99"/>
    <w:pPr>
      <w:tabs>
        <w:tab w:val="left" w:pos="360"/>
      </w:tabs>
      <w:spacing w:line="360" w:lineRule="auto"/>
      <w:ind w:left="360" w:hanging="360"/>
    </w:pPr>
    <w:rPr>
      <w:rFonts w:ascii="宋体" w:hAnsi="Arial" w:cs="宋体"/>
      <w:b/>
      <w:bCs/>
      <w:caps/>
      <w:kern w:val="44"/>
      <w:sz w:val="24"/>
      <w:szCs w:val="24"/>
    </w:rPr>
  </w:style>
  <w:style w:type="paragraph" w:customStyle="1" w:styleId="283">
    <w:name w:val="xl53"/>
    <w:basedOn w:val="1"/>
    <w:qFormat/>
    <w:uiPriority w:val="99"/>
    <w:pPr>
      <w:widowControl/>
      <w:spacing w:before="100" w:beforeAutospacing="1" w:after="100" w:afterAutospacing="1"/>
      <w:jc w:val="center"/>
      <w:textAlignment w:val="center"/>
    </w:pPr>
    <w:rPr>
      <w:rFonts w:ascii="Arial" w:hAnsi="Arial" w:cs="Arial"/>
      <w:kern w:val="0"/>
      <w:sz w:val="22"/>
      <w:szCs w:val="22"/>
    </w:rPr>
  </w:style>
  <w:style w:type="paragraph" w:customStyle="1" w:styleId="284">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5">
    <w:name w:val="style880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287">
    <w:name w:val="普通 (Web)"/>
    <w:basedOn w:val="288"/>
    <w:next w:val="288"/>
    <w:qFormat/>
    <w:uiPriority w:val="99"/>
    <w:pPr>
      <w:spacing w:before="100" w:after="100"/>
    </w:pPr>
    <w:rPr>
      <w:color w:val="auto"/>
    </w:rPr>
  </w:style>
  <w:style w:type="paragraph" w:customStyle="1" w:styleId="28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9">
    <w:name w:val="xl61"/>
    <w:basedOn w:val="1"/>
    <w:qFormat/>
    <w:uiPriority w:val="99"/>
    <w:pPr>
      <w:widowControl/>
      <w:spacing w:before="100" w:beforeAutospacing="1" w:after="100" w:afterAutospacing="1"/>
      <w:jc w:val="left"/>
    </w:pPr>
    <w:rPr>
      <w:rFonts w:ascii="Arial Unicode MS" w:hAnsi="Arial Unicode MS" w:cs="Arial Unicode MS"/>
      <w:b/>
      <w:bCs/>
      <w:kern w:val="0"/>
      <w:sz w:val="24"/>
      <w:szCs w:val="24"/>
    </w:rPr>
  </w:style>
  <w:style w:type="paragraph" w:customStyle="1" w:styleId="290">
    <w:name w:val="para"/>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291">
    <w:name w:val="目录2"/>
    <w:basedOn w:val="1"/>
    <w:qFormat/>
    <w:uiPriority w:val="99"/>
    <w:pPr>
      <w:autoSpaceDE w:val="0"/>
      <w:autoSpaceDN w:val="0"/>
      <w:adjustRightInd w:val="0"/>
      <w:ind w:left="473"/>
      <w:jc w:val="left"/>
    </w:pPr>
    <w:rPr>
      <w:rFonts w:ascii="Times New Roman" w:hAnsi="Times New Roman" w:cs="Times New Roman"/>
      <w:kern w:val="0"/>
    </w:rPr>
  </w:style>
  <w:style w:type="paragraph" w:customStyle="1" w:styleId="292">
    <w:name w:val="xl111"/>
    <w:basedOn w:val="1"/>
    <w:qFormat/>
    <w:uiPriority w:val="99"/>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293">
    <w:name w:val="±í??"/>
    <w:basedOn w:val="1"/>
    <w:qFormat/>
    <w:uiPriority w:val="99"/>
    <w:pPr>
      <w:widowControl/>
      <w:overflowPunct w:val="0"/>
      <w:autoSpaceDE w:val="0"/>
      <w:autoSpaceDN w:val="0"/>
      <w:adjustRightInd w:val="0"/>
      <w:spacing w:line="300" w:lineRule="auto"/>
      <w:jc w:val="center"/>
      <w:textAlignment w:val="baseline"/>
    </w:pPr>
    <w:rPr>
      <w:rFonts w:ascii="Times New Roman" w:hAnsi="Times New Roman" w:cs="Times New Roman"/>
      <w:kern w:val="0"/>
      <w:sz w:val="18"/>
      <w:szCs w:val="18"/>
    </w:rPr>
  </w:style>
  <w:style w:type="paragraph" w:customStyle="1" w:styleId="294">
    <w:name w:val="xl59"/>
    <w:basedOn w:val="1"/>
    <w:qFormat/>
    <w:uiPriority w:val="99"/>
    <w:pPr>
      <w:widowControl/>
      <w:spacing w:before="100" w:beforeAutospacing="1" w:after="100" w:afterAutospacing="1"/>
      <w:jc w:val="center"/>
    </w:pPr>
    <w:rPr>
      <w:rFonts w:ascii="Arial" w:hAnsi="Arial" w:cs="Arial"/>
      <w:kern w:val="0"/>
      <w:sz w:val="24"/>
      <w:szCs w:val="24"/>
    </w:rPr>
  </w:style>
  <w:style w:type="paragraph" w:customStyle="1" w:styleId="295">
    <w:name w:val="表题注"/>
    <w:next w:val="1"/>
    <w:qFormat/>
    <w:uiPriority w:val="99"/>
    <w:pPr>
      <w:tabs>
        <w:tab w:val="left" w:pos="720"/>
      </w:tabs>
      <w:spacing w:before="60" w:after="60"/>
      <w:ind w:left="900" w:hanging="720"/>
      <w:jc w:val="center"/>
    </w:pPr>
    <w:rPr>
      <w:rFonts w:ascii="黑体" w:hAnsi="Times New Roman" w:eastAsia="黑体" w:cs="黑体"/>
      <w:sz w:val="24"/>
      <w:szCs w:val="24"/>
      <w:lang w:val="en-US" w:eastAsia="zh-CN" w:bidi="ar-SA"/>
    </w:rPr>
  </w:style>
  <w:style w:type="paragraph" w:customStyle="1" w:styleId="296">
    <w:name w:val="产品简介"/>
    <w:basedOn w:val="1"/>
    <w:qFormat/>
    <w:uiPriority w:val="99"/>
    <w:pPr>
      <w:tabs>
        <w:tab w:val="left" w:pos="420"/>
      </w:tabs>
      <w:ind w:left="1455" w:hanging="1455"/>
    </w:pPr>
    <w:rPr>
      <w:rFonts w:ascii="Times New Roman" w:hAnsi="Times New Roman" w:cs="Times New Roman"/>
    </w:rPr>
  </w:style>
  <w:style w:type="paragraph" w:customStyle="1" w:styleId="297">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8">
    <w:name w:val="样式 列表编号 + 段后: 0.5 行"/>
    <w:basedOn w:val="18"/>
    <w:qFormat/>
    <w:uiPriority w:val="0"/>
    <w:pPr>
      <w:tabs>
        <w:tab w:val="left" w:pos="360"/>
        <w:tab w:val="clear" w:pos="454"/>
        <w:tab w:val="clear" w:pos="720"/>
      </w:tabs>
      <w:ind w:left="360" w:hanging="360"/>
    </w:pPr>
  </w:style>
  <w:style w:type="paragraph" w:customStyle="1" w:styleId="29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xl27"/>
    <w:basedOn w:val="1"/>
    <w:qFormat/>
    <w:uiPriority w:val="99"/>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3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2">
    <w:name w:val="xl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3">
    <w:name w:val="xl100"/>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4">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305">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06">
    <w:name w:val="xl60"/>
    <w:basedOn w:val="1"/>
    <w:qFormat/>
    <w:uiPriority w:val="99"/>
    <w:pPr>
      <w:widowControl/>
      <w:spacing w:before="100" w:beforeAutospacing="1" w:after="100" w:afterAutospacing="1"/>
      <w:jc w:val="center"/>
    </w:pPr>
    <w:rPr>
      <w:rFonts w:ascii="Arial" w:hAnsi="Arial" w:cs="Arial"/>
      <w:kern w:val="0"/>
      <w:sz w:val="24"/>
      <w:szCs w:val="24"/>
    </w:rPr>
  </w:style>
  <w:style w:type="paragraph" w:customStyle="1" w:styleId="307">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308">
    <w:name w:val="font7"/>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09">
    <w:name w:val="默认段落字体 Para Char Char Char Char Char Char Char"/>
    <w:basedOn w:val="1"/>
    <w:qFormat/>
    <w:uiPriority w:val="99"/>
    <w:rPr>
      <w:rFonts w:ascii="Tahoma" w:hAnsi="Tahoma" w:cs="Tahoma"/>
      <w:sz w:val="24"/>
      <w:szCs w:val="24"/>
    </w:rPr>
  </w:style>
  <w:style w:type="paragraph" w:customStyle="1" w:styleId="310">
    <w:name w:val="自定义正文"/>
    <w:basedOn w:val="1"/>
    <w:qFormat/>
    <w:uiPriority w:val="99"/>
    <w:pPr>
      <w:adjustRightInd w:val="0"/>
      <w:ind w:firstLine="480"/>
    </w:pPr>
    <w:rPr>
      <w:rFonts w:ascii="宋体" w:hAnsi="Times New Roman" w:cs="宋体"/>
      <w:sz w:val="28"/>
      <w:szCs w:val="28"/>
      <w:lang w:val="zh-CN"/>
    </w:rPr>
  </w:style>
  <w:style w:type="paragraph" w:customStyle="1" w:styleId="311">
    <w:name w:val="表文1"/>
    <w:basedOn w:val="1"/>
    <w:qFormat/>
    <w:uiPriority w:val="99"/>
    <w:pPr>
      <w:widowControl/>
      <w:spacing w:line="360" w:lineRule="auto"/>
      <w:ind w:firstLine="520" w:firstLineChars="200"/>
    </w:pPr>
    <w:rPr>
      <w:rFonts w:ascii="楷体_GB2312" w:hAnsi="宋体" w:eastAsia="楷体_GB2312" w:cs="楷体_GB2312"/>
      <w:color w:val="000000"/>
      <w:spacing w:val="10"/>
      <w:kern w:val="0"/>
      <w:sz w:val="24"/>
      <w:szCs w:val="24"/>
    </w:rPr>
  </w:style>
  <w:style w:type="paragraph" w:customStyle="1" w:styleId="31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3">
    <w:name w:val="正文2"/>
    <w:basedOn w:val="1"/>
    <w:qFormat/>
    <w:uiPriority w:val="99"/>
    <w:pPr>
      <w:spacing w:before="156" w:line="360" w:lineRule="auto"/>
      <w:ind w:firstLine="510" w:firstLineChars="200"/>
    </w:pPr>
    <w:rPr>
      <w:rFonts w:ascii="Times New Roman" w:hAnsi="Times New Roman" w:cs="Times New Roman"/>
      <w:sz w:val="24"/>
      <w:szCs w:val="24"/>
    </w:rPr>
  </w:style>
  <w:style w:type="paragraph" w:customStyle="1" w:styleId="314">
    <w:name w:val="目录1"/>
    <w:basedOn w:val="1"/>
    <w:qFormat/>
    <w:uiPriority w:val="99"/>
    <w:pPr>
      <w:keepLines/>
      <w:autoSpaceDE w:val="0"/>
      <w:autoSpaceDN w:val="0"/>
      <w:adjustRightInd w:val="0"/>
      <w:ind w:left="113"/>
      <w:jc w:val="left"/>
    </w:pPr>
    <w:rPr>
      <w:rFonts w:ascii="Times New Roman" w:hAnsi="Times New Roman" w:cs="Times New Roman"/>
      <w:kern w:val="0"/>
    </w:rPr>
  </w:style>
  <w:style w:type="paragraph" w:customStyle="1" w:styleId="315">
    <w:name w:val="xl110"/>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1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17">
    <w:name w:val="font10"/>
    <w:basedOn w:val="1"/>
    <w:qFormat/>
    <w:uiPriority w:val="99"/>
    <w:pPr>
      <w:widowControl/>
      <w:spacing w:before="100" w:beforeAutospacing="1" w:after="100" w:afterAutospacing="1"/>
      <w:jc w:val="left"/>
    </w:pPr>
    <w:rPr>
      <w:rFonts w:cs="Times New Roman"/>
      <w:kern w:val="0"/>
      <w:sz w:val="18"/>
      <w:szCs w:val="18"/>
    </w:rPr>
  </w:style>
  <w:style w:type="paragraph" w:customStyle="1" w:styleId="318">
    <w:name w:val="Tabletext"/>
    <w:basedOn w:val="1"/>
    <w:qFormat/>
    <w:uiPriority w:val="99"/>
    <w:pPr>
      <w:keepLines/>
      <w:spacing w:after="120" w:line="240" w:lineRule="atLeast"/>
      <w:jc w:val="left"/>
    </w:pPr>
    <w:rPr>
      <w:rFonts w:ascii="Arial" w:hAnsi="Arial" w:eastAsia="新宋体" w:cs="Arial"/>
      <w:kern w:val="0"/>
      <w:sz w:val="20"/>
      <w:szCs w:val="20"/>
    </w:rPr>
  </w:style>
  <w:style w:type="paragraph" w:customStyle="1" w:styleId="319">
    <w:name w:val="列出段落1"/>
    <w:basedOn w:val="1"/>
    <w:qFormat/>
    <w:uiPriority w:val="0"/>
    <w:pPr>
      <w:ind w:firstLine="420" w:firstLineChars="200"/>
    </w:pPr>
  </w:style>
  <w:style w:type="paragraph" w:customStyle="1" w:styleId="320">
    <w:name w:val="Char Char2"/>
    <w:basedOn w:val="1"/>
    <w:qFormat/>
    <w:uiPriority w:val="99"/>
    <w:pPr>
      <w:spacing w:line="360" w:lineRule="auto"/>
    </w:pPr>
    <w:rPr>
      <w:rFonts w:ascii="Tahoma" w:hAnsi="Tahoma" w:cs="Tahoma"/>
      <w:sz w:val="24"/>
      <w:szCs w:val="24"/>
    </w:rPr>
  </w:style>
  <w:style w:type="paragraph" w:customStyle="1" w:styleId="321">
    <w:name w:val="xl9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2">
    <w:name w:val="封面表格文本"/>
    <w:basedOn w:val="1"/>
    <w:qFormat/>
    <w:uiPriority w:val="99"/>
    <w:pPr>
      <w:autoSpaceDE w:val="0"/>
      <w:autoSpaceDN w:val="0"/>
      <w:adjustRightInd w:val="0"/>
      <w:jc w:val="center"/>
    </w:pPr>
    <w:rPr>
      <w:rFonts w:ascii="Times New Roman" w:hAnsi="Times New Roman" w:cs="Times New Roman"/>
      <w:b/>
      <w:bCs/>
      <w:kern w:val="0"/>
      <w:sz w:val="24"/>
      <w:szCs w:val="24"/>
    </w:rPr>
  </w:style>
  <w:style w:type="paragraph" w:customStyle="1" w:styleId="323">
    <w:name w:val="xl50"/>
    <w:basedOn w:val="1"/>
    <w:qFormat/>
    <w:uiPriority w:val="99"/>
    <w:pPr>
      <w:widowControl/>
      <w:pBdr>
        <w:left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324">
    <w:name w:val="xl5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25">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6">
    <w:name w:val="xl7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szCs w:val="24"/>
    </w:rPr>
  </w:style>
  <w:style w:type="paragraph" w:customStyle="1" w:styleId="32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8">
    <w:name w:val="纯文本 New"/>
    <w:basedOn w:val="1"/>
    <w:qFormat/>
    <w:uiPriority w:val="99"/>
    <w:pPr>
      <w:spacing w:beforeLines="50" w:afterLines="50" w:line="400" w:lineRule="atLeast"/>
    </w:pPr>
    <w:rPr>
      <w:rFonts w:ascii="宋体" w:hAnsi="Courier New" w:cs="宋体"/>
      <w:sz w:val="24"/>
      <w:szCs w:val="24"/>
    </w:rPr>
  </w:style>
  <w:style w:type="paragraph" w:customStyle="1" w:styleId="329">
    <w:name w:val="Char"/>
    <w:basedOn w:val="1"/>
    <w:qFormat/>
    <w:uiPriority w:val="99"/>
    <w:rPr>
      <w:rFonts w:ascii="Times New Roman" w:hAnsi="Times New Roman" w:cs="Times New Roman"/>
    </w:rPr>
  </w:style>
  <w:style w:type="paragraph" w:customStyle="1" w:styleId="330">
    <w:name w:val="xl6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31">
    <w:name w:val="titlered"/>
    <w:basedOn w:val="1"/>
    <w:qFormat/>
    <w:uiPriority w:val="99"/>
    <w:pPr>
      <w:widowControl/>
      <w:spacing w:before="100" w:beforeAutospacing="1" w:after="100" w:afterAutospacing="1"/>
      <w:jc w:val="left"/>
    </w:pPr>
    <w:rPr>
      <w:rFonts w:ascii="宋体" w:hAnsi="宋体" w:cs="宋体"/>
      <w:b/>
      <w:bCs/>
      <w:color w:val="FF0000"/>
      <w:kern w:val="0"/>
    </w:rPr>
  </w:style>
  <w:style w:type="paragraph" w:customStyle="1" w:styleId="332">
    <w:name w:val="px12black"/>
    <w:basedOn w:val="1"/>
    <w:qFormat/>
    <w:uiPriority w:val="99"/>
    <w:pPr>
      <w:widowControl/>
      <w:spacing w:before="100" w:beforeAutospacing="1" w:after="100" w:afterAutospacing="1" w:line="360" w:lineRule="auto"/>
      <w:jc w:val="left"/>
    </w:pPr>
    <w:rPr>
      <w:rFonts w:ascii="宋体" w:hAnsi="宋体" w:cs="宋体"/>
      <w:color w:val="000000"/>
      <w:kern w:val="0"/>
    </w:rPr>
  </w:style>
  <w:style w:type="paragraph" w:customStyle="1" w:styleId="333">
    <w:name w:val="xl74"/>
    <w:basedOn w:val="1"/>
    <w:qFormat/>
    <w:uiPriority w:val="99"/>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334">
    <w:name w:val="列出段落11"/>
    <w:basedOn w:val="1"/>
    <w:qFormat/>
    <w:uiPriority w:val="99"/>
    <w:pPr>
      <w:ind w:firstLine="420" w:firstLineChars="200"/>
    </w:pPr>
    <w:rPr>
      <w:rFonts w:ascii="Times New Roman" w:hAnsi="Times New Roman" w:cs="Times New Roman"/>
      <w:kern w:val="0"/>
      <w:sz w:val="20"/>
      <w:szCs w:val="20"/>
    </w:rPr>
  </w:style>
  <w:style w:type="paragraph" w:customStyle="1" w:styleId="335">
    <w:name w:val="正文文字左对齐"/>
    <w:basedOn w:val="27"/>
    <w:qFormat/>
    <w:uiPriority w:val="99"/>
    <w:pPr>
      <w:spacing w:after="0"/>
    </w:pPr>
    <w:rPr>
      <w:rFonts w:ascii="楷体_GB2312" w:eastAsia="楷体_GB2312" w:cs="楷体_GB2312"/>
      <w:b/>
      <w:bCs/>
    </w:rPr>
  </w:style>
  <w:style w:type="paragraph" w:customStyle="1" w:styleId="336">
    <w:name w:val="Char Char Char Char Char Char"/>
    <w:basedOn w:val="1"/>
    <w:qFormat/>
    <w:uiPriority w:val="99"/>
    <w:rPr>
      <w:rFonts w:ascii="宋体" w:hAnsi="Times New Roman" w:cs="宋体"/>
    </w:rPr>
  </w:style>
  <w:style w:type="paragraph" w:customStyle="1" w:styleId="337">
    <w:name w:val="版权页资料信息"/>
    <w:qFormat/>
    <w:uiPriority w:val="99"/>
    <w:pPr>
      <w:tabs>
        <w:tab w:val="right" w:pos="945"/>
        <w:tab w:val="left" w:pos="1155"/>
      </w:tabs>
      <w:spacing w:line="300" w:lineRule="auto"/>
    </w:pPr>
    <w:rPr>
      <w:rFonts w:ascii="宋体" w:hAnsi="Times New Roman" w:eastAsia="宋体" w:cs="宋体"/>
      <w:sz w:val="24"/>
      <w:szCs w:val="24"/>
      <w:lang w:val="en-US" w:eastAsia="zh-CN" w:bidi="ar-SA"/>
    </w:rPr>
  </w:style>
  <w:style w:type="paragraph" w:customStyle="1" w:styleId="338">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9">
    <w:name w:val="xl6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szCs w:val="24"/>
    </w:rPr>
  </w:style>
  <w:style w:type="paragraph" w:customStyle="1" w:styleId="340">
    <w:name w:val="xl38"/>
    <w:basedOn w:val="1"/>
    <w:qFormat/>
    <w:uiPriority w:val="99"/>
    <w:pPr>
      <w:widowControl/>
      <w:spacing w:before="100" w:beforeAutospacing="1" w:after="100" w:afterAutospacing="1"/>
      <w:jc w:val="left"/>
    </w:pPr>
    <w:rPr>
      <w:rFonts w:ascii="Arial Unicode MS" w:hAnsi="Arial Unicode MS" w:cs="Arial Unicode MS"/>
      <w:kern w:val="0"/>
      <w:sz w:val="22"/>
      <w:szCs w:val="22"/>
    </w:rPr>
  </w:style>
  <w:style w:type="paragraph" w:customStyle="1" w:styleId="341">
    <w:name w:val="ah1"/>
    <w:basedOn w:val="1"/>
    <w:qFormat/>
    <w:uiPriority w:val="99"/>
    <w:pPr>
      <w:widowControl/>
      <w:spacing w:before="100" w:beforeAutospacing="1" w:after="100" w:afterAutospacing="1"/>
      <w:jc w:val="left"/>
    </w:pPr>
    <w:rPr>
      <w:rFonts w:ascii="宋体" w:hAnsi="宋体" w:cs="宋体"/>
      <w:b/>
      <w:bCs/>
      <w:color w:val="0000CC"/>
      <w:kern w:val="0"/>
      <w:sz w:val="24"/>
      <w:szCs w:val="24"/>
    </w:rPr>
  </w:style>
  <w:style w:type="paragraph" w:customStyle="1" w:styleId="34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43">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44">
    <w:name w:val="Char Char Char Char Char Char Char"/>
    <w:basedOn w:val="1"/>
    <w:qFormat/>
    <w:uiPriority w:val="99"/>
    <w:pPr>
      <w:tabs>
        <w:tab w:val="left" w:pos="432"/>
      </w:tabs>
      <w:ind w:left="432" w:hanging="432"/>
    </w:pPr>
    <w:rPr>
      <w:rFonts w:ascii="Tahoma" w:hAnsi="Tahoma" w:cs="Tahoma"/>
      <w:sz w:val="24"/>
      <w:szCs w:val="24"/>
    </w:rPr>
  </w:style>
  <w:style w:type="paragraph" w:customStyle="1" w:styleId="345">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4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347">
    <w:name w:val="xl51"/>
    <w:basedOn w:val="1"/>
    <w:qFormat/>
    <w:uiPriority w:val="99"/>
    <w:pPr>
      <w:widowControl/>
      <w:spacing w:before="100" w:beforeAutospacing="1" w:after="100" w:afterAutospacing="1"/>
      <w:jc w:val="left"/>
      <w:textAlignment w:val="center"/>
    </w:pPr>
    <w:rPr>
      <w:rFonts w:ascii="Arial" w:hAnsi="Arial" w:cs="Arial"/>
      <w:kern w:val="0"/>
      <w:sz w:val="22"/>
      <w:szCs w:val="22"/>
    </w:rPr>
  </w:style>
  <w:style w:type="paragraph" w:customStyle="1" w:styleId="348">
    <w:name w:val="段落格式 Char"/>
    <w:basedOn w:val="1"/>
    <w:qFormat/>
    <w:uiPriority w:val="99"/>
    <w:pPr>
      <w:tabs>
        <w:tab w:val="left" w:pos="360"/>
      </w:tabs>
      <w:spacing w:before="240" w:line="360" w:lineRule="auto"/>
      <w:ind w:left="360" w:firstLine="418"/>
    </w:pPr>
    <w:rPr>
      <w:rFonts w:ascii="Times New Roman" w:hAnsi="Times New Roman" w:cs="Times New Roman"/>
      <w:kern w:val="44"/>
      <w:sz w:val="24"/>
      <w:szCs w:val="24"/>
    </w:rPr>
  </w:style>
  <w:style w:type="paragraph" w:customStyle="1" w:styleId="349">
    <w:name w:val="font20"/>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50">
    <w:name w:val="关键词"/>
    <w:basedOn w:val="1"/>
    <w:qFormat/>
    <w:uiPriority w:val="99"/>
    <w:pPr>
      <w:tabs>
        <w:tab w:val="left" w:pos="907"/>
      </w:tabs>
      <w:autoSpaceDE w:val="0"/>
      <w:autoSpaceDN w:val="0"/>
      <w:adjustRightInd w:val="0"/>
      <w:spacing w:line="360" w:lineRule="auto"/>
      <w:ind w:left="879" w:hanging="879"/>
    </w:pPr>
    <w:rPr>
      <w:rFonts w:ascii="Times New Roman" w:hAnsi="Times New Roman" w:cs="Times New Roman"/>
      <w:kern w:val="0"/>
    </w:rPr>
  </w:style>
  <w:style w:type="paragraph" w:customStyle="1" w:styleId="351">
    <w:name w:val="附录"/>
    <w:basedOn w:val="1"/>
    <w:next w:val="19"/>
    <w:qFormat/>
    <w:uiPriority w:val="99"/>
    <w:pPr>
      <w:spacing w:before="320" w:after="200"/>
    </w:pPr>
    <w:rPr>
      <w:rFonts w:ascii="Arial Narrow" w:hAnsi="Arial Narrow" w:eastAsia="华文新魏" w:cs="Arial Narrow"/>
      <w:b/>
      <w:bCs/>
      <w:sz w:val="32"/>
      <w:szCs w:val="32"/>
    </w:rPr>
  </w:style>
  <w:style w:type="paragraph" w:customStyle="1" w:styleId="352">
    <w:name w:val="Char1"/>
    <w:basedOn w:val="1"/>
    <w:qFormat/>
    <w:uiPriority w:val="99"/>
    <w:rPr>
      <w:rFonts w:ascii="Tahoma" w:hAnsi="Tahoma" w:cs="Tahoma"/>
      <w:sz w:val="24"/>
      <w:szCs w:val="24"/>
    </w:rPr>
  </w:style>
  <w:style w:type="paragraph" w:customStyle="1" w:styleId="353">
    <w:name w:val="文档标题"/>
    <w:basedOn w:val="1"/>
    <w:qFormat/>
    <w:uiPriority w:val="99"/>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354">
    <w:name w:val="目录页编号文本样式"/>
    <w:basedOn w:val="1"/>
    <w:qFormat/>
    <w:uiPriority w:val="99"/>
    <w:pPr>
      <w:autoSpaceDE w:val="0"/>
      <w:autoSpaceDN w:val="0"/>
      <w:adjustRightInd w:val="0"/>
      <w:jc w:val="right"/>
    </w:pPr>
    <w:rPr>
      <w:rFonts w:ascii="Times New Roman" w:hAnsi="Times New Roman" w:cs="Times New Roman"/>
      <w:kern w:val="0"/>
    </w:rPr>
  </w:style>
  <w:style w:type="paragraph" w:customStyle="1" w:styleId="35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6">
    <w:name w:val="项目编号A"/>
    <w:basedOn w:val="1"/>
    <w:qFormat/>
    <w:uiPriority w:val="99"/>
    <w:pPr>
      <w:tabs>
        <w:tab w:val="left" w:pos="900"/>
        <w:tab w:val="left" w:pos="5820"/>
      </w:tabs>
      <w:topLinePunct/>
      <w:spacing w:line="360" w:lineRule="auto"/>
      <w:ind w:left="900" w:hanging="420"/>
    </w:pPr>
    <w:rPr>
      <w:rFonts w:ascii="宋体" w:hAnsi="华文仿宋" w:cs="宋体"/>
      <w:sz w:val="24"/>
      <w:szCs w:val="24"/>
    </w:rPr>
  </w:style>
  <w:style w:type="paragraph" w:customStyle="1" w:styleId="3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58">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59">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360">
    <w:name w:val="xl58"/>
    <w:basedOn w:val="1"/>
    <w:qFormat/>
    <w:uiPriority w:val="99"/>
    <w:pPr>
      <w:widowControl/>
      <w:spacing w:before="100" w:beforeAutospacing="1" w:after="100" w:afterAutospacing="1"/>
      <w:jc w:val="left"/>
    </w:pPr>
    <w:rPr>
      <w:rFonts w:ascii="Arial" w:hAnsi="Arial" w:cs="Arial"/>
      <w:kern w:val="0"/>
      <w:sz w:val="24"/>
      <w:szCs w:val="24"/>
    </w:rPr>
  </w:style>
  <w:style w:type="paragraph" w:customStyle="1" w:styleId="361">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362">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3">
    <w:name w:val="font1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64">
    <w:name w:val="段落"/>
    <w:qFormat/>
    <w:uiPriority w:val="99"/>
    <w:pPr>
      <w:spacing w:line="400" w:lineRule="exact"/>
      <w:ind w:firstLine="482"/>
      <w:jc w:val="both"/>
    </w:pPr>
    <w:rPr>
      <w:rFonts w:ascii="Times New Roman" w:hAnsi="Times New Roman" w:eastAsia="宋体" w:cs="Times New Roman"/>
      <w:sz w:val="24"/>
      <w:szCs w:val="24"/>
      <w:lang w:val="en-US" w:eastAsia="zh-CN" w:bidi="ar-SA"/>
    </w:rPr>
  </w:style>
  <w:style w:type="paragraph" w:customStyle="1" w:styleId="365">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66">
    <w:name w:val="*Body 1"/>
    <w:qFormat/>
    <w:uiPriority w:val="99"/>
    <w:pPr>
      <w:spacing w:before="120" w:after="120" w:line="360" w:lineRule="auto"/>
      <w:jc w:val="both"/>
    </w:pPr>
    <w:rPr>
      <w:rFonts w:ascii="宋体" w:hAnsi="宋体" w:eastAsia="宋体" w:cs="宋体"/>
      <w:sz w:val="24"/>
      <w:szCs w:val="24"/>
      <w:lang w:val="en-US" w:eastAsia="zh-CN" w:bidi="ar-SA"/>
    </w:rPr>
  </w:style>
  <w:style w:type="paragraph" w:customStyle="1" w:styleId="367">
    <w:name w:val="xl29"/>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68">
    <w:name w:val="图"/>
    <w:basedOn w:val="1"/>
    <w:qFormat/>
    <w:uiPriority w:val="99"/>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paragraph" w:customStyle="1" w:styleId="369">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70">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1">
    <w:name w:val="font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2">
    <w:name w:val="xl75"/>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373">
    <w:name w:val="Char Char1"/>
    <w:basedOn w:val="1"/>
    <w:qFormat/>
    <w:uiPriority w:val="99"/>
    <w:pPr>
      <w:widowControl/>
      <w:adjustRightInd w:val="0"/>
      <w:spacing w:after="160" w:line="240" w:lineRule="exact"/>
      <w:jc w:val="left"/>
    </w:pPr>
    <w:rPr>
      <w:rFonts w:ascii="Times New Roman" w:hAnsi="Times New Roman" w:eastAsia="仿宋_GB2312" w:cs="Times New Roman"/>
      <w:sz w:val="28"/>
      <w:szCs w:val="28"/>
    </w:rPr>
  </w:style>
  <w:style w:type="paragraph" w:customStyle="1" w:styleId="374">
    <w:name w:val="txt_black"/>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375">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6">
    <w:name w:val="xl11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7">
    <w:name w:val="标准文件_段"/>
    <w:qFormat/>
    <w:uiPriority w:val="99"/>
    <w:pPr>
      <w:widowControl w:val="0"/>
      <w:autoSpaceDE w:val="0"/>
      <w:autoSpaceDN w:val="0"/>
      <w:adjustRightInd w:val="0"/>
      <w:snapToGrid w:val="0"/>
      <w:spacing w:line="276" w:lineRule="auto"/>
      <w:ind w:right="-50" w:rightChars="-50"/>
      <w:jc w:val="center"/>
    </w:pPr>
    <w:rPr>
      <w:rFonts w:ascii="Times New Roman" w:hAnsi="Times New Roman" w:eastAsia="宋体" w:cs="Times New Roman"/>
      <w:spacing w:val="2"/>
      <w:sz w:val="24"/>
      <w:szCs w:val="24"/>
      <w:lang w:val="fr-FR" w:eastAsia="zh-CN" w:bidi="ar-SA"/>
    </w:rPr>
  </w:style>
  <w:style w:type="paragraph" w:customStyle="1" w:styleId="378">
    <w:name w:val="正文文字"/>
    <w:basedOn w:val="1"/>
    <w:qFormat/>
    <w:uiPriority w:val="99"/>
    <w:pPr>
      <w:spacing w:line="360" w:lineRule="auto"/>
      <w:ind w:firstLine="420"/>
    </w:pPr>
    <w:rPr>
      <w:rFonts w:ascii="Times New Roman" w:hAnsi="Times New Roman" w:cs="Times New Roman"/>
      <w:sz w:val="24"/>
      <w:szCs w:val="24"/>
    </w:rPr>
  </w:style>
  <w:style w:type="paragraph" w:customStyle="1" w:styleId="379">
    <w:name w:val="样式 正文缩进 + 首行缩进:  2 字符"/>
    <w:basedOn w:val="19"/>
    <w:qFormat/>
    <w:uiPriority w:val="99"/>
    <w:pPr>
      <w:autoSpaceDE w:val="0"/>
      <w:autoSpaceDN w:val="0"/>
      <w:spacing w:line="360" w:lineRule="auto"/>
      <w:ind w:left="686" w:firstLine="480" w:firstLineChars="200"/>
      <w:jc w:val="left"/>
    </w:pPr>
    <w:rPr>
      <w:sz w:val="24"/>
      <w:szCs w:val="24"/>
    </w:rPr>
  </w:style>
  <w:style w:type="paragraph" w:customStyle="1" w:styleId="380">
    <w:name w:val="标书正文（宋体）"/>
    <w:basedOn w:val="19"/>
    <w:qFormat/>
    <w:uiPriority w:val="99"/>
    <w:pPr>
      <w:autoSpaceDE w:val="0"/>
      <w:autoSpaceDN w:val="0"/>
      <w:spacing w:beforeLines="50" w:line="300" w:lineRule="auto"/>
      <w:ind w:left="686"/>
      <w:jc w:val="left"/>
    </w:pPr>
    <w:rPr>
      <w:sz w:val="24"/>
      <w:szCs w:val="24"/>
    </w:rPr>
  </w:style>
  <w:style w:type="paragraph" w:customStyle="1" w:styleId="381">
    <w:name w:val="_Style 16"/>
    <w:basedOn w:val="1"/>
    <w:qFormat/>
    <w:uiPriority w:val="99"/>
    <w:pPr>
      <w:tabs>
        <w:tab w:val="left" w:pos="360"/>
      </w:tabs>
      <w:ind w:left="252" w:hanging="252" w:hangingChars="140"/>
    </w:pPr>
    <w:rPr>
      <w:rFonts w:ascii="Times New Roman" w:hAnsi="Times New Roman" w:cs="Times New Roman"/>
    </w:rPr>
  </w:style>
  <w:style w:type="paragraph" w:customStyle="1" w:styleId="382">
    <w:name w:val="xl36"/>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83">
    <w:name w:val="样式 楷体_GB2312 小四 行距: 1.5 倍行距"/>
    <w:basedOn w:val="1"/>
    <w:qFormat/>
    <w:uiPriority w:val="99"/>
    <w:pPr>
      <w:tabs>
        <w:tab w:val="left" w:pos="990"/>
      </w:tabs>
      <w:spacing w:line="360" w:lineRule="auto"/>
      <w:ind w:left="990" w:hanging="420"/>
    </w:pPr>
    <w:rPr>
      <w:rFonts w:ascii="楷体_GB2312" w:hAnsi="Times New Roman" w:eastAsia="楷体_GB2312" w:cs="楷体_GB2312"/>
      <w:sz w:val="24"/>
      <w:szCs w:val="24"/>
    </w:rPr>
  </w:style>
  <w:style w:type="paragraph" w:customStyle="1" w:styleId="384">
    <w:name w:val="features1"/>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385">
    <w:name w:val="xl9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6">
    <w:name w:val="xl63"/>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387">
    <w:name w:val="xl35"/>
    <w:basedOn w:val="1"/>
    <w:qFormat/>
    <w:uiPriority w:val="99"/>
    <w:pPr>
      <w:widowControl/>
      <w:pBdr>
        <w:top w:val="single" w:color="FFFFFF" w:sz="4" w:space="0"/>
        <w:bottom w:val="single" w:color="FFFFFF" w:sz="4" w:space="0"/>
        <w:right w:val="single" w:color="FFFFFF" w:sz="4" w:space="0"/>
      </w:pBdr>
      <w:spacing w:before="100" w:beforeAutospacing="1" w:after="100" w:afterAutospacing="1"/>
      <w:jc w:val="left"/>
    </w:pPr>
    <w:rPr>
      <w:rFonts w:ascii="Arial Unicode MS" w:hAnsi="Arial Unicode MS" w:cs="Arial Unicode MS"/>
      <w:kern w:val="0"/>
      <w:sz w:val="22"/>
      <w:szCs w:val="22"/>
    </w:rPr>
  </w:style>
  <w:style w:type="paragraph" w:customStyle="1" w:styleId="388">
    <w:name w:val="wmcz"/>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89">
    <w:name w:val="k20"/>
    <w:basedOn w:val="1"/>
    <w:qFormat/>
    <w:uiPriority w:val="99"/>
    <w:pPr>
      <w:widowControl/>
      <w:spacing w:before="100" w:after="100" w:line="330" w:lineRule="atLeast"/>
      <w:jc w:val="left"/>
    </w:pPr>
    <w:rPr>
      <w:rFonts w:ascii="宋体" w:hAnsi="宋体" w:cs="宋体"/>
      <w:kern w:val="0"/>
      <w:sz w:val="24"/>
      <w:szCs w:val="24"/>
    </w:rPr>
  </w:style>
  <w:style w:type="paragraph" w:customStyle="1" w:styleId="390">
    <w:name w:val="Char3 Char Char Char"/>
    <w:basedOn w:val="1"/>
    <w:qFormat/>
    <w:uiPriority w:val="99"/>
    <w:pPr>
      <w:widowControl/>
      <w:spacing w:after="160" w:line="240" w:lineRule="exact"/>
      <w:jc w:val="left"/>
    </w:pPr>
    <w:rPr>
      <w:rFonts w:ascii="Times New Roman" w:hAnsi="Times New Roman" w:cs="Times New Roman"/>
      <w:sz w:val="24"/>
      <w:szCs w:val="24"/>
    </w:rPr>
  </w:style>
  <w:style w:type="paragraph" w:customStyle="1" w:styleId="391">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92">
    <w:name w:val="普通正文"/>
    <w:basedOn w:val="1"/>
    <w:qFormat/>
    <w:uiPriority w:val="99"/>
    <w:pPr>
      <w:ind w:firstLine="200" w:firstLineChars="200"/>
    </w:pPr>
    <w:rPr>
      <w:rFonts w:ascii="Times New Roman" w:hAnsi="Times New Roman" w:cs="Times New Roman"/>
    </w:rPr>
  </w:style>
  <w:style w:type="paragraph" w:customStyle="1" w:styleId="393">
    <w:name w:val="项目编号1"/>
    <w:basedOn w:val="1"/>
    <w:qFormat/>
    <w:uiPriority w:val="99"/>
    <w:pPr>
      <w:tabs>
        <w:tab w:val="left" w:pos="555"/>
      </w:tabs>
      <w:adjustRightInd w:val="0"/>
      <w:spacing w:line="360" w:lineRule="auto"/>
      <w:ind w:left="555" w:hanging="555"/>
      <w:jc w:val="left"/>
      <w:textAlignment w:val="baseline"/>
    </w:pPr>
    <w:rPr>
      <w:rFonts w:ascii="Times New Roman" w:hAnsi="Times New Roman" w:cs="Times New Roman"/>
      <w:b/>
      <w:bCs/>
      <w:kern w:val="24"/>
      <w:sz w:val="24"/>
      <w:szCs w:val="24"/>
    </w:rPr>
  </w:style>
  <w:style w:type="paragraph" w:customStyle="1" w:styleId="39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5">
    <w:name w:val="xl99"/>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6">
    <w:name w:val="xl57"/>
    <w:basedOn w:val="1"/>
    <w:qFormat/>
    <w:uiPriority w:val="99"/>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39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398">
    <w:name w:val="书籍标题1"/>
    <w:basedOn w:val="1"/>
    <w:next w:val="1"/>
    <w:qFormat/>
    <w:uiPriority w:val="99"/>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44"/>
    </w:rPr>
  </w:style>
  <w:style w:type="paragraph" w:customStyle="1" w:styleId="399">
    <w:name w:val="标题2"/>
    <w:basedOn w:val="1"/>
    <w:qFormat/>
    <w:uiPriority w:val="99"/>
    <w:pPr>
      <w:widowControl/>
      <w:spacing w:line="360" w:lineRule="auto"/>
    </w:pPr>
    <w:rPr>
      <w:rFonts w:ascii="Arial" w:hAnsi="Arial" w:cs="Arial"/>
      <w:b/>
      <w:bCs/>
    </w:rPr>
  </w:style>
  <w:style w:type="paragraph" w:customStyle="1" w:styleId="400">
    <w:name w:val="标书正文格式 Char Char Char Char"/>
    <w:qFormat/>
    <w:uiPriority w:val="99"/>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401">
    <w:name w:val="xl62"/>
    <w:basedOn w:val="1"/>
    <w:qFormat/>
    <w:uiPriority w:val="99"/>
    <w:pPr>
      <w:widowControl/>
      <w:spacing w:before="100" w:beforeAutospacing="1" w:after="100" w:afterAutospacing="1"/>
      <w:jc w:val="left"/>
    </w:pPr>
    <w:rPr>
      <w:rFonts w:ascii="Arial" w:hAnsi="Arial" w:cs="Arial"/>
      <w:b/>
      <w:bCs/>
      <w:kern w:val="0"/>
      <w:sz w:val="24"/>
      <w:szCs w:val="24"/>
    </w:rPr>
  </w:style>
  <w:style w:type="paragraph" w:customStyle="1" w:styleId="402">
    <w:name w:val="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3">
    <w:name w:val="表格正文"/>
    <w:basedOn w:val="1"/>
    <w:qFormat/>
    <w:uiPriority w:val="99"/>
    <w:pPr>
      <w:spacing w:before="100" w:beforeAutospacing="1" w:after="100" w:afterAutospacing="1" w:line="240" w:lineRule="atLeast"/>
    </w:pPr>
    <w:rPr>
      <w:rFonts w:ascii="Times New Roman" w:hAnsi="Times New Roman" w:eastAsia="楷体_GB2312" w:cs="Times New Roman"/>
      <w:sz w:val="24"/>
      <w:szCs w:val="24"/>
    </w:rPr>
  </w:style>
  <w:style w:type="paragraph" w:customStyle="1" w:styleId="404">
    <w:name w:val="font2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05">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06">
    <w:name w:val="正文01"/>
    <w:basedOn w:val="1"/>
    <w:qFormat/>
    <w:uiPriority w:val="99"/>
    <w:pPr>
      <w:spacing w:line="560" w:lineRule="exact"/>
      <w:ind w:firstLine="200" w:firstLineChars="200"/>
    </w:pPr>
    <w:rPr>
      <w:rFonts w:ascii="Times New Roman" w:hAnsi="Times New Roman" w:eastAsia="仿宋_GB2312" w:cs="Times New Roman"/>
      <w:color w:val="000000"/>
      <w:sz w:val="32"/>
      <w:szCs w:val="32"/>
    </w:rPr>
  </w:style>
  <w:style w:type="paragraph" w:customStyle="1" w:styleId="407">
    <w:name w:val="as"/>
    <w:basedOn w:val="1"/>
    <w:qFormat/>
    <w:uiPriority w:val="99"/>
    <w:pPr>
      <w:widowControl/>
      <w:overflowPunct w:val="0"/>
      <w:autoSpaceDE w:val="0"/>
      <w:autoSpaceDN w:val="0"/>
      <w:adjustRightInd w:val="0"/>
      <w:spacing w:line="300" w:lineRule="atLeast"/>
      <w:textAlignment w:val="baseline"/>
    </w:pPr>
    <w:rPr>
      <w:rFonts w:ascii="宋体" w:hAnsi="CG Times (W1)" w:cs="宋体"/>
      <w:spacing w:val="5"/>
      <w:kern w:val="0"/>
      <w:sz w:val="24"/>
      <w:szCs w:val="24"/>
    </w:rPr>
  </w:style>
  <w:style w:type="paragraph" w:customStyle="1" w:styleId="408">
    <w:name w:val="项目一"/>
    <w:basedOn w:val="1"/>
    <w:qFormat/>
    <w:uiPriority w:val="99"/>
    <w:pPr>
      <w:tabs>
        <w:tab w:val="left" w:pos="1320"/>
      </w:tabs>
      <w:spacing w:after="100" w:afterAutospacing="1" w:line="360" w:lineRule="auto"/>
      <w:ind w:left="1140" w:hanging="720"/>
    </w:pPr>
    <w:rPr>
      <w:rFonts w:ascii="Times New Roman" w:hAnsi="Times New Roman" w:cs="Times New Roman"/>
      <w:b/>
      <w:bCs/>
      <w:sz w:val="24"/>
      <w:szCs w:val="24"/>
    </w:rPr>
  </w:style>
  <w:style w:type="paragraph" w:customStyle="1" w:styleId="409">
    <w:name w:val="text"/>
    <w:basedOn w:val="1"/>
    <w:qFormat/>
    <w:uiPriority w:val="99"/>
    <w:pPr>
      <w:widowControl/>
      <w:spacing w:before="100" w:beforeAutospacing="1" w:after="100" w:afterAutospacing="1" w:line="300" w:lineRule="atLeast"/>
      <w:jc w:val="left"/>
    </w:pPr>
    <w:rPr>
      <w:rFonts w:ascii="宋体" w:hAnsi="宋体" w:cs="宋体"/>
      <w:kern w:val="0"/>
      <w:sz w:val="18"/>
      <w:szCs w:val="18"/>
    </w:rPr>
  </w:style>
  <w:style w:type="paragraph" w:customStyle="1" w:styleId="410">
    <w:name w:val="xl48"/>
    <w:basedOn w:val="1"/>
    <w:qFormat/>
    <w:uiPriority w:val="99"/>
    <w:pPr>
      <w:widowControl/>
      <w:pBdr>
        <w:left w:val="single" w:color="FFFFFF" w:sz="4" w:space="0"/>
        <w:right w:val="single" w:color="FFFFFF" w:sz="4" w:space="0"/>
      </w:pBdr>
      <w:spacing w:before="100" w:beforeAutospacing="1" w:after="100" w:afterAutospacing="1"/>
      <w:jc w:val="left"/>
    </w:pPr>
    <w:rPr>
      <w:rFonts w:ascii="Arial" w:hAnsi="Arial" w:cs="Arial"/>
      <w:kern w:val="0"/>
      <w:sz w:val="24"/>
      <w:szCs w:val="24"/>
    </w:rPr>
  </w:style>
  <w:style w:type="paragraph" w:customStyle="1" w:styleId="411">
    <w:name w:val="项目符号2"/>
    <w:basedOn w:val="1"/>
    <w:qFormat/>
    <w:uiPriority w:val="99"/>
    <w:pPr>
      <w:adjustRightInd w:val="0"/>
      <w:spacing w:line="360" w:lineRule="auto"/>
      <w:textAlignment w:val="baseline"/>
    </w:pPr>
    <w:rPr>
      <w:rFonts w:ascii="Times New Roman" w:hAnsi="Times New Roman" w:cs="Times New Roman"/>
      <w:kern w:val="24"/>
      <w:sz w:val="24"/>
      <w:szCs w:val="24"/>
    </w:rPr>
  </w:style>
  <w:style w:type="paragraph" w:customStyle="1" w:styleId="412">
    <w:name w:val="subtitle 2"/>
    <w:basedOn w:val="1"/>
    <w:qFormat/>
    <w:uiPriority w:val="99"/>
    <w:pPr>
      <w:adjustRightInd w:val="0"/>
      <w:spacing w:before="240" w:after="240" w:line="312" w:lineRule="atLeast"/>
      <w:textAlignment w:val="baseline"/>
    </w:pPr>
    <w:rPr>
      <w:rFonts w:ascii="Times New Roman" w:hAnsi="Times New Roman" w:eastAsia="黑体" w:cs="Times New Roman"/>
      <w:kern w:val="0"/>
      <w:sz w:val="24"/>
      <w:szCs w:val="24"/>
    </w:rPr>
  </w:style>
  <w:style w:type="paragraph" w:customStyle="1" w:styleId="413">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Times New Roman"/>
      <w:kern w:val="0"/>
      <w:sz w:val="22"/>
      <w:szCs w:val="22"/>
    </w:rPr>
  </w:style>
  <w:style w:type="paragraph" w:customStyle="1" w:styleId="414">
    <w:name w:val="xl5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15">
    <w:name w:val="xl112"/>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416">
    <w:name w:val="Body-no indent"/>
    <w:qFormat/>
    <w:uiPriority w:val="99"/>
    <w:pPr>
      <w:widowControl w:val="0"/>
      <w:tabs>
        <w:tab w:val="left" w:pos="7920"/>
      </w:tabs>
      <w:spacing w:line="280" w:lineRule="exact"/>
      <w:ind w:right="-14"/>
    </w:pPr>
    <w:rPr>
      <w:rFonts w:ascii="Arial" w:hAnsi="Arial" w:eastAsia="宋体" w:cs="Arial"/>
      <w:sz w:val="19"/>
      <w:szCs w:val="19"/>
      <w:lang w:val="en-US" w:eastAsia="en-US" w:bidi="ar-SA"/>
    </w:rPr>
  </w:style>
  <w:style w:type="paragraph" w:customStyle="1" w:styleId="417">
    <w:name w:val="xl76"/>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18">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9">
    <w:name w:val="p16"/>
    <w:basedOn w:val="1"/>
    <w:qFormat/>
    <w:uiPriority w:val="99"/>
    <w:pPr>
      <w:widowControl/>
    </w:pPr>
    <w:rPr>
      <w:rFonts w:ascii="宋体" w:hAnsi="宋体" w:cs="宋体"/>
      <w:kern w:val="0"/>
      <w:sz w:val="28"/>
      <w:szCs w:val="28"/>
    </w:rPr>
  </w:style>
  <w:style w:type="paragraph" w:customStyle="1" w:styleId="420">
    <w:name w:val="font13"/>
    <w:basedOn w:val="1"/>
    <w:qFormat/>
    <w:uiPriority w:val="99"/>
    <w:pPr>
      <w:widowControl/>
      <w:spacing w:before="100" w:beforeAutospacing="1" w:after="100" w:afterAutospacing="1"/>
      <w:jc w:val="left"/>
    </w:pPr>
    <w:rPr>
      <w:rFonts w:ascii="Times New Roman" w:hAnsi="Times New Roman" w:cs="Times New Roman"/>
      <w:kern w:val="0"/>
      <w:sz w:val="18"/>
      <w:szCs w:val="18"/>
    </w:rPr>
  </w:style>
  <w:style w:type="paragraph" w:customStyle="1" w:styleId="421">
    <w:name w:val="Char11"/>
    <w:basedOn w:val="1"/>
    <w:qFormat/>
    <w:uiPriority w:val="99"/>
    <w:rPr>
      <w:rFonts w:ascii="仿宋_GB2312" w:hAnsi="Times New Roman" w:eastAsia="仿宋_GB2312" w:cs="仿宋_GB2312"/>
      <w:b/>
      <w:bCs/>
      <w:sz w:val="32"/>
      <w:szCs w:val="32"/>
    </w:rPr>
  </w:style>
  <w:style w:type="paragraph" w:customStyle="1" w:styleId="422">
    <w:name w:val="Default Text"/>
    <w:basedOn w:val="1"/>
    <w:qFormat/>
    <w:uiPriority w:val="99"/>
    <w:pPr>
      <w:autoSpaceDE w:val="0"/>
      <w:autoSpaceDN w:val="0"/>
      <w:adjustRightInd w:val="0"/>
      <w:jc w:val="left"/>
    </w:pPr>
    <w:rPr>
      <w:rFonts w:ascii="Times New Roman" w:hAnsi="Times New Roman" w:cs="Times New Roman"/>
      <w:kern w:val="0"/>
      <w:sz w:val="24"/>
      <w:szCs w:val="24"/>
    </w:rPr>
  </w:style>
  <w:style w:type="paragraph" w:customStyle="1" w:styleId="423">
    <w:name w:val="xl11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24">
    <w:name w:val="宋"/>
    <w:basedOn w:val="1"/>
    <w:qFormat/>
    <w:uiPriority w:val="99"/>
    <w:pPr>
      <w:spacing w:line="360" w:lineRule="auto"/>
      <w:ind w:firstLine="200" w:firstLineChars="200"/>
    </w:pPr>
    <w:rPr>
      <w:rFonts w:ascii="Times New Roman" w:hAnsi="Times New Roman" w:cs="Times New Roman"/>
      <w:sz w:val="24"/>
      <w:szCs w:val="24"/>
    </w:rPr>
  </w:style>
  <w:style w:type="paragraph" w:customStyle="1" w:styleId="425">
    <w:name w:val="小标题 1"/>
    <w:basedOn w:val="1"/>
    <w:qFormat/>
    <w:uiPriority w:val="99"/>
    <w:pPr>
      <w:autoSpaceDE w:val="0"/>
      <w:autoSpaceDN w:val="0"/>
      <w:adjustRightInd w:val="0"/>
      <w:spacing w:line="360" w:lineRule="atLeast"/>
    </w:pPr>
    <w:rPr>
      <w:rFonts w:ascii="文鼎粗黑" w:hAnsi="Times New Roman" w:eastAsia="文鼎粗黑" w:cs="文鼎粗黑"/>
      <w:kern w:val="0"/>
      <w:sz w:val="22"/>
      <w:szCs w:val="22"/>
    </w:rPr>
  </w:style>
  <w:style w:type="paragraph" w:customStyle="1" w:styleId="426">
    <w:name w:val="3 Char1 Char Char Char"/>
    <w:basedOn w:val="1"/>
    <w:qFormat/>
    <w:uiPriority w:val="99"/>
    <w:rPr>
      <w:rFonts w:ascii="仿宋_GB2312" w:hAnsi="Times New Roman" w:eastAsia="仿宋_GB2312" w:cs="仿宋_GB2312"/>
      <w:b/>
      <w:bCs/>
      <w:sz w:val="32"/>
      <w:szCs w:val="32"/>
    </w:rPr>
  </w:style>
  <w:style w:type="paragraph" w:customStyle="1" w:styleId="427">
    <w:name w:val="正文1"/>
    <w:basedOn w:val="1"/>
    <w:qFormat/>
    <w:uiPriority w:val="99"/>
    <w:pPr>
      <w:spacing w:before="240" w:line="460" w:lineRule="exact"/>
    </w:pPr>
    <w:rPr>
      <w:rFonts w:ascii="仿宋_GB2312" w:hAnsi="宋体" w:eastAsia="仿宋_GB2312" w:cs="仿宋_GB2312"/>
      <w:b/>
      <w:bCs/>
      <w:sz w:val="28"/>
      <w:szCs w:val="28"/>
    </w:rPr>
  </w:style>
  <w:style w:type="paragraph" w:customStyle="1" w:styleId="428">
    <w:name w:val="p0"/>
    <w:basedOn w:val="1"/>
    <w:qFormat/>
    <w:uiPriority w:val="99"/>
    <w:pPr>
      <w:widowControl/>
    </w:pPr>
    <w:rPr>
      <w:rFonts w:ascii="Times New Roman" w:hAnsi="Times New Roman" w:cs="Times New Roman"/>
      <w:kern w:val="0"/>
      <w:sz w:val="28"/>
      <w:szCs w:val="28"/>
    </w:rPr>
  </w:style>
  <w:style w:type="paragraph" w:customStyle="1" w:styleId="429">
    <w:name w:val="Char Char Char Char Char Char Char Char Char Char Char Char Char Char Char Char Char Char Char Char Char Char Char Char Char Char Char Char Char Char"/>
    <w:basedOn w:val="1"/>
    <w:qFormat/>
    <w:uiPriority w:val="99"/>
    <w:pPr>
      <w:widowControl/>
      <w:spacing w:before="120" w:after="160" w:line="240" w:lineRule="exact"/>
      <w:jc w:val="left"/>
    </w:pPr>
    <w:rPr>
      <w:rFonts w:ascii="Times New Roman" w:hAnsi="Times New Roman" w:cs="Times New Roman"/>
      <w:sz w:val="24"/>
      <w:szCs w:val="24"/>
    </w:rPr>
  </w:style>
  <w:style w:type="paragraph" w:customStyle="1" w:styleId="43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31">
    <w:name w:val="Char4 Char Char Char"/>
    <w:basedOn w:val="1"/>
    <w:qFormat/>
    <w:uiPriority w:val="99"/>
    <w:pPr>
      <w:adjustRightInd w:val="0"/>
      <w:snapToGrid w:val="0"/>
      <w:spacing w:line="360" w:lineRule="auto"/>
      <w:ind w:firstLine="200" w:firstLineChars="200"/>
    </w:pPr>
    <w:rPr>
      <w:rFonts w:ascii="宋体" w:hAnsi="宋体" w:eastAsia="仿宋_GB2312" w:cs="宋体"/>
      <w:sz w:val="24"/>
      <w:szCs w:val="24"/>
    </w:rPr>
  </w:style>
  <w:style w:type="paragraph" w:customStyle="1" w:styleId="432">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3">
    <w:name w:val="表格文字"/>
    <w:basedOn w:val="1"/>
    <w:link w:val="501"/>
    <w:qFormat/>
    <w:uiPriority w:val="0"/>
    <w:pPr>
      <w:spacing w:before="25" w:after="25"/>
      <w:jc w:val="left"/>
    </w:pPr>
    <w:rPr>
      <w:rFonts w:ascii="Times New Roman" w:hAnsi="Times New Roman" w:cs="Times New Roman"/>
      <w:spacing w:val="10"/>
      <w:kern w:val="0"/>
      <w:sz w:val="24"/>
      <w:szCs w:val="24"/>
    </w:rPr>
  </w:style>
  <w:style w:type="paragraph" w:customStyle="1" w:styleId="434">
    <w:name w:val="表内文字"/>
    <w:basedOn w:val="1"/>
    <w:qFormat/>
    <w:uiPriority w:val="99"/>
    <w:pPr>
      <w:widowControl/>
      <w:overflowPunct w:val="0"/>
      <w:autoSpaceDE w:val="0"/>
      <w:autoSpaceDN w:val="0"/>
      <w:adjustRightInd w:val="0"/>
      <w:snapToGrid w:val="0"/>
      <w:spacing w:line="360" w:lineRule="exact"/>
      <w:jc w:val="center"/>
      <w:textAlignment w:val="baseline"/>
    </w:pPr>
    <w:rPr>
      <w:rFonts w:ascii="宋体" w:hAnsi="宋体" w:cs="宋体"/>
      <w:kern w:val="0"/>
      <w:sz w:val="24"/>
      <w:szCs w:val="24"/>
    </w:rPr>
  </w:style>
  <w:style w:type="paragraph" w:customStyle="1" w:styleId="435">
    <w:name w:val="font6"/>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436">
    <w:name w:val="1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37">
    <w:name w:val="摘要"/>
    <w:basedOn w:val="1"/>
    <w:qFormat/>
    <w:uiPriority w:val="99"/>
    <w:pPr>
      <w:tabs>
        <w:tab w:val="left" w:pos="907"/>
      </w:tabs>
      <w:autoSpaceDE w:val="0"/>
      <w:autoSpaceDN w:val="0"/>
      <w:adjustRightInd w:val="0"/>
      <w:spacing w:line="360" w:lineRule="auto"/>
      <w:ind w:left="879" w:hanging="879"/>
    </w:pPr>
    <w:rPr>
      <w:rFonts w:ascii="Times New Roman" w:hAnsi="Times New Roman" w:cs="Times New Roman"/>
      <w:kern w:val="0"/>
    </w:rPr>
  </w:style>
  <w:style w:type="paragraph" w:customStyle="1" w:styleId="438">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439">
    <w:name w:val="xl108"/>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4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41">
    <w:name w:val="style4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2">
    <w:name w:val="xl52"/>
    <w:basedOn w:val="1"/>
    <w:qFormat/>
    <w:uiPriority w:val="99"/>
    <w:pPr>
      <w:widowControl/>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443">
    <w:name w:val="xl7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444">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45">
    <w:name w:val="xl125"/>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446">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7">
    <w:name w:val="È¡ÀÊ¡ÎÄ¡À¾"/>
    <w:basedOn w:val="1"/>
    <w:qFormat/>
    <w:uiPriority w:val="99"/>
    <w:pPr>
      <w:widowControl/>
      <w:overflowPunct w:val="0"/>
      <w:autoSpaceDE w:val="0"/>
      <w:autoSpaceDN w:val="0"/>
      <w:adjustRightInd w:val="0"/>
      <w:spacing w:line="360" w:lineRule="auto"/>
      <w:textAlignment w:val="baseline"/>
    </w:pPr>
    <w:rPr>
      <w:rFonts w:ascii="Times New Roman" w:hAnsi="Times New Roman" w:cs="Times New Roman"/>
      <w:kern w:val="0"/>
    </w:rPr>
  </w:style>
  <w:style w:type="paragraph" w:customStyle="1" w:styleId="44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4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450">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1">
    <w:name w:val="正文段"/>
    <w:basedOn w:val="1"/>
    <w:qFormat/>
    <w:uiPriority w:val="99"/>
    <w:pPr>
      <w:widowControl/>
      <w:snapToGrid w:val="0"/>
      <w:spacing w:afterLines="50"/>
      <w:ind w:firstLine="200" w:firstLineChars="200"/>
    </w:pPr>
    <w:rPr>
      <w:rFonts w:ascii="Times New Roman" w:hAnsi="Times New Roman" w:cs="Times New Roman"/>
      <w:kern w:val="0"/>
      <w:sz w:val="24"/>
      <w:szCs w:val="24"/>
    </w:rPr>
  </w:style>
  <w:style w:type="paragraph" w:customStyle="1" w:styleId="452">
    <w:name w:val="Char2"/>
    <w:basedOn w:val="1"/>
    <w:qFormat/>
    <w:uiPriority w:val="99"/>
    <w:rPr>
      <w:rFonts w:ascii="仿宋_GB2312" w:hAnsi="仿宋" w:eastAsia="仿宋_GB2312" w:cs="仿宋_GB2312"/>
      <w:sz w:val="32"/>
      <w:szCs w:val="32"/>
    </w:rPr>
  </w:style>
  <w:style w:type="paragraph" w:customStyle="1" w:styleId="453">
    <w:name w:val="版权声明"/>
    <w:basedOn w:val="1"/>
    <w:qFormat/>
    <w:uiPriority w:val="99"/>
    <w:pPr>
      <w:widowControl/>
      <w:autoSpaceDE w:val="0"/>
      <w:autoSpaceDN w:val="0"/>
      <w:snapToGrid w:val="0"/>
      <w:spacing w:line="360" w:lineRule="auto"/>
      <w:ind w:left="1134"/>
      <w:textAlignment w:val="bottom"/>
    </w:pPr>
    <w:rPr>
      <w:rFonts w:ascii="Times New Roman" w:hAnsi="Times New Roman" w:cs="Times New Roman"/>
    </w:rPr>
  </w:style>
  <w:style w:type="paragraph" w:customStyle="1" w:styleId="454">
    <w:name w:val="font12"/>
    <w:basedOn w:val="1"/>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455">
    <w:name w:val="题注4"/>
    <w:basedOn w:val="1"/>
    <w:next w:val="20"/>
    <w:qFormat/>
    <w:uiPriority w:val="99"/>
    <w:pPr>
      <w:ind w:left="-132" w:leftChars="-64" w:right="-105" w:rightChars="-50" w:hanging="2"/>
      <w:jc w:val="center"/>
    </w:pPr>
    <w:rPr>
      <w:rFonts w:ascii="Times New Roman" w:hAnsi="Times New Roman" w:cs="Times New Roman"/>
      <w:b/>
      <w:bCs/>
      <w:color w:val="FF0000"/>
      <w:lang w:val="en-GB"/>
    </w:rPr>
  </w:style>
  <w:style w:type="paragraph" w:customStyle="1" w:styleId="456">
    <w:name w:val="font1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57">
    <w:name w:val="xl9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58">
    <w:name w:val="标题三文本"/>
    <w:basedOn w:val="1"/>
    <w:qFormat/>
    <w:uiPriority w:val="99"/>
    <w:pPr>
      <w:ind w:left="150" w:leftChars="150" w:firstLine="200" w:firstLineChars="200"/>
    </w:pPr>
    <w:rPr>
      <w:rFonts w:ascii="Times New Roman" w:hAnsi="Times New Roman" w:cs="Times New Roman"/>
    </w:rPr>
  </w:style>
  <w:style w:type="paragraph" w:customStyle="1" w:styleId="459">
    <w:name w:val="xl11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60">
    <w:name w:val="缺省文本"/>
    <w:basedOn w:val="1"/>
    <w:qFormat/>
    <w:uiPriority w:val="99"/>
    <w:pPr>
      <w:autoSpaceDE w:val="0"/>
      <w:autoSpaceDN w:val="0"/>
      <w:adjustRightInd w:val="0"/>
      <w:jc w:val="left"/>
    </w:pPr>
    <w:rPr>
      <w:rFonts w:ascii="Times New Roman" w:hAnsi="Times New Roman" w:cs="Times New Roman"/>
      <w:kern w:val="0"/>
      <w:sz w:val="24"/>
      <w:szCs w:val="24"/>
    </w:rPr>
  </w:style>
  <w:style w:type="paragraph" w:customStyle="1" w:styleId="461">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2">
    <w:name w:val="xl4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463">
    <w:name w:val="xl109"/>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4">
    <w:name w:val="项目二"/>
    <w:basedOn w:val="1"/>
    <w:qFormat/>
    <w:uiPriority w:val="99"/>
    <w:pPr>
      <w:tabs>
        <w:tab w:val="left" w:pos="420"/>
      </w:tabs>
      <w:spacing w:after="100" w:afterAutospacing="1" w:line="360" w:lineRule="auto"/>
      <w:ind w:left="1200" w:hanging="360"/>
    </w:pPr>
    <w:rPr>
      <w:rFonts w:ascii="Times New Roman" w:hAnsi="Times New Roman" w:cs="Times New Roman"/>
      <w:b/>
      <w:bCs/>
      <w:sz w:val="24"/>
      <w:szCs w:val="24"/>
    </w:rPr>
  </w:style>
  <w:style w:type="paragraph" w:customStyle="1" w:styleId="465">
    <w:name w:val="标书表格字体格式"/>
    <w:next w:val="1"/>
    <w:qFormat/>
    <w:uiPriority w:val="99"/>
    <w:rPr>
      <w:rFonts w:ascii="Times New Roman" w:hAnsi="Times New Roman" w:eastAsia="宋体" w:cs="Times New Roman"/>
      <w:kern w:val="2"/>
      <w:sz w:val="21"/>
      <w:szCs w:val="21"/>
      <w:lang w:val="en-US" w:eastAsia="zh-CN" w:bidi="ar-SA"/>
    </w:rPr>
  </w:style>
  <w:style w:type="paragraph" w:customStyle="1" w:styleId="466">
    <w:name w:val="p17"/>
    <w:basedOn w:val="1"/>
    <w:qFormat/>
    <w:uiPriority w:val="99"/>
    <w:pPr>
      <w:widowControl/>
    </w:pPr>
    <w:rPr>
      <w:rFonts w:ascii="Times New Roman" w:hAnsi="Times New Roman" w:cs="Times New Roman"/>
      <w:kern w:val="0"/>
    </w:rPr>
  </w:style>
  <w:style w:type="paragraph" w:customStyle="1" w:styleId="467">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68">
    <w:name w:val="标题3"/>
    <w:basedOn w:val="5"/>
    <w:next w:val="1"/>
    <w:qFormat/>
    <w:uiPriority w:val="99"/>
    <w:pPr>
      <w:tabs>
        <w:tab w:val="left" w:pos="840"/>
      </w:tabs>
      <w:spacing w:before="0" w:after="120" w:line="480" w:lineRule="auto"/>
      <w:ind w:left="840" w:hanging="420"/>
    </w:pPr>
    <w:rPr>
      <w:rFonts w:eastAsia="黑体"/>
      <w:sz w:val="24"/>
      <w:szCs w:val="24"/>
    </w:rPr>
  </w:style>
  <w:style w:type="paragraph" w:customStyle="1" w:styleId="469">
    <w:name w:val="列出段落2"/>
    <w:basedOn w:val="1"/>
    <w:qFormat/>
    <w:uiPriority w:val="99"/>
    <w:pPr>
      <w:ind w:firstLine="420" w:firstLineChars="200"/>
    </w:pPr>
  </w:style>
  <w:style w:type="paragraph" w:customStyle="1" w:styleId="47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2">
    <w:name w:val="±í???"/>
    <w:basedOn w:val="1"/>
    <w:qFormat/>
    <w:uiPriority w:val="99"/>
    <w:pPr>
      <w:widowControl/>
      <w:overflowPunct w:val="0"/>
      <w:autoSpaceDE w:val="0"/>
      <w:autoSpaceDN w:val="0"/>
      <w:adjustRightInd w:val="0"/>
      <w:spacing w:line="300" w:lineRule="auto"/>
      <w:jc w:val="left"/>
      <w:textAlignment w:val="baseline"/>
    </w:pPr>
    <w:rPr>
      <w:rFonts w:ascii="Times New Roman" w:hAnsi="Times New Roman" w:cs="Times New Roman"/>
      <w:kern w:val="0"/>
      <w:sz w:val="18"/>
      <w:szCs w:val="18"/>
    </w:rPr>
  </w:style>
  <w:style w:type="paragraph" w:customStyle="1" w:styleId="473">
    <w:name w:val="xl10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74">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5">
    <w:name w:val="xl124"/>
    <w:basedOn w:val="1"/>
    <w:qFormat/>
    <w:uiPriority w:val="99"/>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476">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477">
    <w:name w:val="xl49"/>
    <w:basedOn w:val="1"/>
    <w:qFormat/>
    <w:uiPriority w:val="99"/>
    <w:pPr>
      <w:widowControl/>
      <w:pBdr>
        <w:left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478">
    <w:name w:val="xl28"/>
    <w:basedOn w:val="1"/>
    <w:qFormat/>
    <w:uiPriority w:val="99"/>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479">
    <w:name w:val="字母编号列项"/>
    <w:basedOn w:val="364"/>
    <w:qFormat/>
    <w:uiPriority w:val="99"/>
    <w:pPr>
      <w:tabs>
        <w:tab w:val="left" w:pos="842"/>
      </w:tabs>
      <w:ind w:left="1200" w:hanging="360"/>
    </w:pPr>
  </w:style>
  <w:style w:type="paragraph" w:customStyle="1" w:styleId="48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481">
    <w:name w:val="样式1"/>
    <w:basedOn w:val="4"/>
    <w:qFormat/>
    <w:uiPriority w:val="99"/>
    <w:pPr>
      <w:tabs>
        <w:tab w:val="left" w:pos="360"/>
      </w:tabs>
      <w:spacing w:before="120" w:after="120" w:line="240" w:lineRule="auto"/>
      <w:ind w:left="360" w:hanging="360"/>
    </w:pPr>
    <w:rPr>
      <w:rFonts w:ascii="黑体" w:eastAsia="幼圆" w:cs="黑体"/>
    </w:rPr>
  </w:style>
  <w:style w:type="paragraph" w:customStyle="1" w:styleId="482">
    <w:name w:val="xl3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483">
    <w:name w:val="xl47"/>
    <w:basedOn w:val="1"/>
    <w:qFormat/>
    <w:uiPriority w:val="99"/>
    <w:pPr>
      <w:widowControl/>
      <w:pBdr>
        <w:left w:val="single" w:color="FFFFFF" w:sz="4" w:space="0"/>
        <w:right w:val="single" w:color="FFFFFF" w:sz="4" w:space="0"/>
      </w:pBdr>
      <w:spacing w:before="100" w:beforeAutospacing="1" w:after="100" w:afterAutospacing="1"/>
      <w:jc w:val="left"/>
    </w:pPr>
    <w:rPr>
      <w:rFonts w:ascii="Arial" w:hAnsi="Arial" w:cs="Arial"/>
      <w:kern w:val="0"/>
      <w:sz w:val="24"/>
      <w:szCs w:val="24"/>
    </w:rPr>
  </w:style>
  <w:style w:type="paragraph" w:customStyle="1" w:styleId="484">
    <w:name w:val="Char Char Char"/>
    <w:basedOn w:val="22"/>
    <w:qFormat/>
    <w:uiPriority w:val="99"/>
    <w:rPr>
      <w:rFonts w:ascii="Tahoma" w:hAnsi="Tahoma" w:cs="Tahoma"/>
      <w:sz w:val="24"/>
      <w:szCs w:val="24"/>
    </w:rPr>
  </w:style>
  <w:style w:type="paragraph" w:customStyle="1" w:styleId="485">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48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87">
    <w:name w:val="p18"/>
    <w:basedOn w:val="1"/>
    <w:qFormat/>
    <w:uiPriority w:val="99"/>
    <w:pPr>
      <w:widowControl/>
      <w:spacing w:before="100" w:after="100"/>
      <w:jc w:val="left"/>
    </w:pPr>
    <w:rPr>
      <w:rFonts w:ascii="宋体" w:hAnsi="宋体" w:cs="宋体"/>
      <w:kern w:val="0"/>
      <w:sz w:val="24"/>
      <w:szCs w:val="24"/>
    </w:rPr>
  </w:style>
  <w:style w:type="paragraph" w:customStyle="1" w:styleId="488">
    <w:name w:val="正文应用"/>
    <w:basedOn w:val="1"/>
    <w:qFormat/>
    <w:uiPriority w:val="99"/>
    <w:pPr>
      <w:spacing w:line="360" w:lineRule="auto"/>
      <w:ind w:firstLine="480" w:firstLineChars="200"/>
      <w:jc w:val="left"/>
    </w:pPr>
    <w:rPr>
      <w:rFonts w:ascii="Times New Roman" w:hAnsi="Times New Roman" w:cs="Times New Roman"/>
      <w:sz w:val="24"/>
      <w:szCs w:val="24"/>
    </w:rPr>
  </w:style>
  <w:style w:type="paragraph" w:customStyle="1" w:styleId="489">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490">
    <w:name w:val="z-窗体底端 Char2"/>
    <w:link w:val="239"/>
    <w:semiHidden/>
    <w:qFormat/>
    <w:locked/>
    <w:uiPriority w:val="99"/>
    <w:rPr>
      <w:rFonts w:ascii="Arial" w:hAnsi="Arial" w:cs="Arial"/>
      <w:vanish/>
      <w:sz w:val="16"/>
      <w:szCs w:val="16"/>
    </w:rPr>
  </w:style>
  <w:style w:type="paragraph" w:customStyle="1" w:styleId="491">
    <w:name w:val="说明文字"/>
    <w:qFormat/>
    <w:uiPriority w:val="99"/>
    <w:pPr>
      <w:widowControl w:val="0"/>
      <w:autoSpaceDE w:val="0"/>
      <w:autoSpaceDN w:val="0"/>
      <w:adjustRightInd w:val="0"/>
      <w:jc w:val="both"/>
    </w:pPr>
    <w:rPr>
      <w:rFonts w:ascii="幼圆" w:hAnsi="Times New Roman" w:eastAsia="幼圆" w:cs="幼圆"/>
      <w:i/>
      <w:iCs/>
      <w:color w:val="000000"/>
      <w:lang w:val="en-US" w:eastAsia="zh-CN" w:bidi="ar-SA"/>
    </w:rPr>
  </w:style>
  <w:style w:type="paragraph" w:customStyle="1" w:styleId="492">
    <w:name w:val="Char1 Char Char1 Char"/>
    <w:basedOn w:val="1"/>
    <w:qFormat/>
    <w:uiPriority w:val="99"/>
    <w:pPr>
      <w:widowControl/>
      <w:spacing w:line="400" w:lineRule="exact"/>
      <w:jc w:val="center"/>
    </w:pPr>
    <w:rPr>
      <w:rFonts w:ascii="Verdana" w:hAnsi="Verdana" w:cs="Verdana"/>
      <w:kern w:val="0"/>
      <w:lang w:eastAsia="en-US"/>
    </w:rPr>
  </w:style>
  <w:style w:type="paragraph" w:customStyle="1" w:styleId="49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494">
    <w:name w:val="xl55"/>
    <w:basedOn w:val="1"/>
    <w:qFormat/>
    <w:uiPriority w:val="99"/>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9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6">
    <w:name w:val="默认段落字体 Para Char Char Char Char Char Char Char Char Char1 Char Char Char Char"/>
    <w:basedOn w:val="1"/>
    <w:qFormat/>
    <w:uiPriority w:val="99"/>
    <w:rPr>
      <w:rFonts w:ascii="Tahoma" w:hAnsi="Tahoma" w:cs="Tahoma"/>
      <w:sz w:val="24"/>
      <w:szCs w:val="24"/>
    </w:rPr>
  </w:style>
  <w:style w:type="table" w:customStyle="1" w:styleId="49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8">
    <w:name w:val="Table Paragraph"/>
    <w:basedOn w:val="1"/>
    <w:qFormat/>
    <w:uiPriority w:val="99"/>
    <w:rPr>
      <w:rFonts w:ascii="宋体" w:hAnsi="宋体" w:cs="宋体"/>
      <w:lang w:val="zh-CN"/>
    </w:rPr>
  </w:style>
  <w:style w:type="paragraph" w:customStyle="1" w:styleId="499">
    <w:name w:val="列出段落3"/>
    <w:basedOn w:val="1"/>
    <w:qFormat/>
    <w:uiPriority w:val="0"/>
    <w:pPr>
      <w:ind w:firstLine="420" w:firstLineChars="200"/>
    </w:pPr>
  </w:style>
  <w:style w:type="character" w:customStyle="1" w:styleId="500">
    <w:name w:val="font41"/>
    <w:basedOn w:val="65"/>
    <w:qFormat/>
    <w:uiPriority w:val="0"/>
    <w:rPr>
      <w:rFonts w:hint="eastAsia" w:ascii="仿宋" w:hAnsi="仿宋" w:eastAsia="仿宋" w:cs="仿宋"/>
      <w:color w:val="000000"/>
      <w:sz w:val="24"/>
      <w:szCs w:val="24"/>
      <w:u w:val="none"/>
    </w:rPr>
  </w:style>
  <w:style w:type="character" w:customStyle="1" w:styleId="501">
    <w:name w:val="表格文字 Char"/>
    <w:link w:val="433"/>
    <w:qFormat/>
    <w:locked/>
    <w:uiPriority w:val="0"/>
    <w:rPr>
      <w:spacing w:val="10"/>
      <w:sz w:val="24"/>
      <w:szCs w:val="24"/>
    </w:rPr>
  </w:style>
  <w:style w:type="paragraph" w:customStyle="1" w:styleId="502">
    <w:name w:val="[Normal]"/>
    <w:qFormat/>
    <w:uiPriority w:val="0"/>
    <w:rPr>
      <w:rFonts w:ascii="宋体" w:hAnsi="宋体" w:eastAsia="宋体" w:cs="Times New Roman"/>
      <w:sz w:val="24"/>
      <w:lang w:val="en-US" w:eastAsia="en-US" w:bidi="ar-SA"/>
    </w:rPr>
  </w:style>
  <w:style w:type="paragraph" w:customStyle="1" w:styleId="503">
    <w:name w:val="签发人"/>
    <w:basedOn w:val="1"/>
    <w:qFormat/>
    <w:uiPriority w:val="0"/>
    <w:rPr>
      <w:rFonts w:ascii="Times New Roman" w:hAnsi="Times New Roman" w:eastAsia="楷体" w:cs="Times New Roman"/>
      <w:sz w:val="32"/>
      <w:szCs w:val="24"/>
    </w:rPr>
  </w:style>
  <w:style w:type="paragraph" w:styleId="504">
    <w:name w:val="List Paragraph"/>
    <w:basedOn w:val="1"/>
    <w:unhideWhenUsed/>
    <w:qFormat/>
    <w:uiPriority w:val="99"/>
    <w:pPr>
      <w:ind w:firstLine="420" w:firstLineChars="200"/>
    </w:pPr>
  </w:style>
  <w:style w:type="paragraph" w:customStyle="1" w:styleId="505">
    <w:name w:val="BodyText1I2"/>
    <w:basedOn w:val="1"/>
    <w:qFormat/>
    <w:uiPriority w:val="0"/>
    <w:pPr>
      <w:ind w:firstLine="420" w:firstLineChars="200"/>
      <w:textAlignment w:val="baseline"/>
    </w:pPr>
    <w:rPr>
      <w:rFonts w:ascii="仿宋_GB2312"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519652-FCDB-4946-B0A4-BFDA12DBEB0D}">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49</Pages>
  <Words>14145</Words>
  <Characters>15532</Characters>
  <Lines>211</Lines>
  <Paragraphs>59</Paragraphs>
  <TotalTime>24</TotalTime>
  <ScaleCrop>false</ScaleCrop>
  <LinksUpToDate>false</LinksUpToDate>
  <CharactersWithSpaces>15627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2021-04-08T01:53:00Z</dcterms:created>
  <dc:creator>NTKO</dc:creator>
  <cp:lastModifiedBy>NTKO</cp:lastModifiedBy>
  <dcterms:modified xsi:type="dcterms:W3CDTF">2025-04-17T08:30:38Z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CD174269C74740CD996A3B608EA4C12B_13</vt:lpwstr>
  </property>
  <property fmtid="{D5CDD505-2E9C-101B-9397-08002B2CF9AE}" pid="4" name="KSOTemplateDocerSaveRecord">
    <vt:lpwstr>eyJoZGlkIjoiMGI3YzJlMmZmMDkwMzU3M2RlN2ZjMTllNmYwMDAxODAiLCJ1c2VySWQiOiI5NDU3ODA3MTMifQ==</vt:lpwstr>
  </property>
</Properties>
</file>