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CAF86A15">
      <w:pPr>
        <w:pageBreakBefore w:val="0"/>
        <w:kinsoku/>
        <w:overflowPunct/>
        <w:topLinePunct w:val="0"/>
        <w:bidi w:val="0"/>
        <w:spacing w:after="0" w:line="600" w:lineRule="auto"/>
        <w:ind w:firstLine="420" w:firstLineChars="0"/>
        <w:jc w:val="center"/>
        <w:rPr>
          <w:rFonts w:hint="eastAsia" w:cs="宋体"/>
          <w:b/>
          <w:bCs/>
          <w:color w:val="36363D"/>
        </w:rPr>
      </w:pPr>
      <w:bookmarkStart w:id="200" w:name="_GoBack"/>
      <w:bookmarkEnd w:id="200"/>
    </w:p>
    <w:p w14:paraId="01999570">
      <w:pPr>
        <w:pStyle w:val="15"/>
        <w:pageBreakBefore w:val="0"/>
        <w:kinsoku/>
        <w:overflowPunct/>
        <w:topLinePunct w:val="0"/>
        <w:bidi w:val="0"/>
        <w:spacing w:after="0"/>
        <w:rPr>
          <w:rFonts w:hint="eastAsia" w:ascii="宋体" w:hAnsi="宋体" w:eastAsia="宋体" w:cs="宋体"/>
          <w:color w:val="36363D"/>
          <w:sz w:val="24"/>
          <w:szCs w:val="24"/>
        </w:rPr>
      </w:pPr>
    </w:p>
    <w:p w14:paraId="58165359">
      <w:pPr>
        <w:pageBreakBefore w:val="0"/>
        <w:kinsoku/>
        <w:overflowPunct/>
        <w:topLinePunct w:val="0"/>
        <w:bidi w:val="0"/>
        <w:spacing w:after="0" w:line="600" w:lineRule="auto"/>
        <w:ind w:firstLine="643"/>
        <w:rPr>
          <w:rFonts w:hint="eastAsia" w:cs="宋体"/>
          <w:b/>
          <w:bCs/>
          <w:color w:val="36363D"/>
          <w:sz w:val="32"/>
          <w:szCs w:val="32"/>
        </w:rPr>
      </w:pPr>
    </w:p>
    <w:p w14:paraId="8CABA198">
      <w:pPr>
        <w:pStyle w:val="6"/>
        <w:pageBreakBefore w:val="0"/>
        <w:kinsoku/>
        <w:overflowPunct/>
        <w:topLinePunct w:val="0"/>
        <w:bidi w:val="0"/>
        <w:spacing w:after="0"/>
        <w:ind w:firstLine="482"/>
        <w:rPr>
          <w:rFonts w:hint="eastAsia"/>
          <w:color w:val="36363D"/>
        </w:rPr>
      </w:pPr>
    </w:p>
    <w:p w14:paraId="523E1881">
      <w:pPr>
        <w:pageBreakBefore w:val="0"/>
        <w:kinsoku/>
        <w:overflowPunct/>
        <w:topLinePunct w:val="0"/>
        <w:bidi w:val="0"/>
        <w:snapToGrid w:val="0"/>
        <w:spacing w:after="0"/>
        <w:ind w:firstLine="0" w:firstLineChars="0"/>
        <w:jc w:val="center"/>
        <w:rPr>
          <w:rFonts w:hint="eastAsia" w:cs="宋体"/>
          <w:b/>
          <w:color w:val="36363D"/>
          <w:sz w:val="84"/>
          <w:szCs w:val="84"/>
        </w:rPr>
      </w:pPr>
      <w:r>
        <w:rPr>
          <w:rFonts w:hint="eastAsia" w:cs="宋体"/>
          <w:b/>
          <w:color w:val="36363D"/>
          <w:sz w:val="84"/>
          <w:szCs w:val="84"/>
        </w:rPr>
        <w:t>公开招标文件</w:t>
      </w:r>
    </w:p>
    <w:p w14:paraId="DAFDA3C9">
      <w:pPr>
        <w:pageBreakBefore w:val="0"/>
        <w:kinsoku/>
        <w:overflowPunct/>
        <w:topLinePunct w:val="0"/>
        <w:bidi w:val="0"/>
        <w:snapToGrid w:val="0"/>
        <w:spacing w:after="0"/>
        <w:ind w:firstLine="0" w:firstLineChars="0"/>
        <w:rPr>
          <w:rFonts w:hint="eastAsia" w:cs="宋体"/>
          <w:b/>
          <w:color w:val="36363D"/>
        </w:rPr>
      </w:pPr>
    </w:p>
    <w:p w14:paraId="39AFE7F5">
      <w:pPr>
        <w:pStyle w:val="6"/>
        <w:pageBreakBefore w:val="0"/>
        <w:kinsoku/>
        <w:overflowPunct/>
        <w:topLinePunct w:val="0"/>
        <w:bidi w:val="0"/>
        <w:spacing w:after="0"/>
        <w:ind w:firstLine="482"/>
        <w:rPr>
          <w:rFonts w:hint="eastAsia"/>
          <w:color w:val="36363D"/>
        </w:rPr>
      </w:pPr>
    </w:p>
    <w:p w14:paraId="8DA9EE8B">
      <w:pPr>
        <w:pageBreakBefore w:val="0"/>
        <w:kinsoku/>
        <w:overflowPunct/>
        <w:topLinePunct w:val="0"/>
        <w:bidi w:val="0"/>
        <w:snapToGrid w:val="0"/>
        <w:spacing w:after="0"/>
        <w:ind w:firstLine="0" w:firstLineChars="0"/>
        <w:rPr>
          <w:rFonts w:hint="eastAsia" w:cs="宋体"/>
          <w:b/>
          <w:bCs/>
          <w:color w:val="36363D"/>
          <w:sz w:val="32"/>
          <w:szCs w:val="32"/>
          <w:u w:val="single"/>
        </w:rPr>
      </w:pPr>
      <w:r>
        <w:rPr>
          <w:rFonts w:hint="eastAsia" w:cs="宋体"/>
          <w:b/>
          <w:bCs/>
          <w:color w:val="36363D"/>
          <w:sz w:val="32"/>
          <w:szCs w:val="32"/>
        </w:rPr>
        <w:t>项目名称：</w:t>
      </w:r>
      <w:r>
        <w:rPr>
          <w:rFonts w:hint="eastAsia" w:cs="宋体"/>
          <w:b/>
          <w:bCs/>
          <w:color w:val="36363D"/>
          <w:sz w:val="32"/>
          <w:szCs w:val="32"/>
          <w:u w:val="single"/>
        </w:rPr>
        <w:t>浙江工商职业技术学院海曙校区、宁海校区光伏发电合同能源管理项目</w:t>
      </w:r>
    </w:p>
    <w:p w14:paraId="70A25E39">
      <w:pPr>
        <w:pageBreakBefore w:val="0"/>
        <w:kinsoku/>
        <w:overflowPunct/>
        <w:topLinePunct w:val="0"/>
        <w:bidi w:val="0"/>
        <w:snapToGrid w:val="0"/>
        <w:spacing w:after="0"/>
        <w:ind w:firstLine="0" w:firstLineChars="0"/>
        <w:rPr>
          <w:rFonts w:hint="eastAsia" w:cs="宋体"/>
          <w:b/>
          <w:bCs/>
          <w:color w:val="36363D"/>
          <w:sz w:val="32"/>
          <w:szCs w:val="32"/>
          <w:u w:val="single"/>
        </w:rPr>
      </w:pPr>
      <w:r>
        <w:rPr>
          <w:rFonts w:hint="eastAsia" w:cs="宋体"/>
          <w:b/>
          <w:bCs/>
          <w:color w:val="36363D"/>
          <w:sz w:val="32"/>
          <w:szCs w:val="32"/>
        </w:rPr>
        <w:t>项目编号：</w:t>
      </w:r>
      <w:r>
        <w:rPr>
          <w:rFonts w:hint="eastAsia" w:cs="宋体"/>
          <w:b/>
          <w:bCs/>
          <w:color w:val="36363D"/>
          <w:sz w:val="32"/>
          <w:szCs w:val="32"/>
          <w:u w:val="single"/>
        </w:rPr>
        <w:t>ZJZX-ZJGS202506G</w:t>
      </w:r>
    </w:p>
    <w:p w14:paraId="03013ECC">
      <w:pPr>
        <w:pageBreakBefore w:val="0"/>
        <w:kinsoku/>
        <w:overflowPunct/>
        <w:topLinePunct w:val="0"/>
        <w:bidi w:val="0"/>
        <w:snapToGrid w:val="0"/>
        <w:spacing w:after="0"/>
        <w:ind w:firstLine="0" w:firstLineChars="0"/>
        <w:rPr>
          <w:rFonts w:hint="eastAsia" w:cs="宋体"/>
          <w:b/>
          <w:bCs/>
          <w:color w:val="36363D"/>
          <w:sz w:val="32"/>
          <w:szCs w:val="32"/>
          <w:u w:val="single"/>
        </w:rPr>
      </w:pPr>
      <w:r>
        <w:rPr>
          <w:rFonts w:hint="eastAsia" w:cs="宋体"/>
          <w:b/>
          <w:bCs/>
          <w:color w:val="36363D"/>
          <w:sz w:val="32"/>
          <w:szCs w:val="32"/>
        </w:rPr>
        <w:t>采购 人：</w:t>
      </w:r>
      <w:r>
        <w:rPr>
          <w:rFonts w:hint="eastAsia" w:cs="宋体"/>
          <w:b/>
          <w:bCs/>
          <w:color w:val="36363D"/>
          <w:sz w:val="32"/>
          <w:szCs w:val="32"/>
          <w:u w:val="single"/>
        </w:rPr>
        <w:t>浙江工商职业技术学院</w:t>
      </w:r>
    </w:p>
    <w:p w14:paraId="0F65B64C">
      <w:pPr>
        <w:pageBreakBefore w:val="0"/>
        <w:kinsoku/>
        <w:overflowPunct/>
        <w:topLinePunct w:val="0"/>
        <w:bidi w:val="0"/>
        <w:snapToGrid w:val="0"/>
        <w:spacing w:after="0"/>
        <w:ind w:firstLine="0" w:firstLineChars="0"/>
        <w:rPr>
          <w:rFonts w:hint="eastAsia" w:cs="宋体"/>
          <w:b/>
          <w:bCs/>
          <w:color w:val="36363D"/>
          <w:sz w:val="32"/>
          <w:szCs w:val="32"/>
          <w:u w:val="single"/>
        </w:rPr>
      </w:pPr>
      <w:r>
        <w:rPr>
          <w:rFonts w:hint="eastAsia" w:cs="宋体"/>
          <w:b/>
          <w:bCs/>
          <w:color w:val="36363D"/>
          <w:sz w:val="32"/>
          <w:szCs w:val="32"/>
        </w:rPr>
        <w:t>采购代理机构：</w:t>
      </w:r>
      <w:r>
        <w:rPr>
          <w:rFonts w:hint="eastAsia" w:cs="宋体"/>
          <w:b/>
          <w:bCs/>
          <w:color w:val="36363D"/>
          <w:sz w:val="32"/>
          <w:szCs w:val="32"/>
          <w:u w:val="single"/>
        </w:rPr>
        <w:t>浙江致信招标代理有限公司</w:t>
      </w:r>
    </w:p>
    <w:p w14:paraId="4146D2E0">
      <w:pPr>
        <w:pStyle w:val="6"/>
        <w:pageBreakBefore w:val="0"/>
        <w:kinsoku/>
        <w:overflowPunct/>
        <w:topLinePunct w:val="0"/>
        <w:bidi w:val="0"/>
        <w:spacing w:after="0"/>
        <w:ind w:firstLine="643"/>
        <w:rPr>
          <w:rFonts w:hint="eastAsia" w:cs="宋体"/>
          <w:color w:val="36363D"/>
          <w:sz w:val="32"/>
          <w:szCs w:val="32"/>
          <w:u w:val="single"/>
        </w:rPr>
      </w:pPr>
    </w:p>
    <w:p w14:paraId="F1C3628F">
      <w:pPr>
        <w:pageBreakBefore w:val="0"/>
        <w:kinsoku/>
        <w:overflowPunct/>
        <w:topLinePunct w:val="0"/>
        <w:bidi w:val="0"/>
        <w:spacing w:after="0"/>
        <w:ind w:firstLine="643"/>
        <w:rPr>
          <w:rFonts w:hint="eastAsia" w:cs="宋体"/>
          <w:b/>
          <w:bCs/>
          <w:color w:val="36363D"/>
          <w:sz w:val="32"/>
          <w:szCs w:val="32"/>
          <w:u w:val="single"/>
        </w:rPr>
      </w:pPr>
    </w:p>
    <w:p w14:paraId="01745468">
      <w:pPr>
        <w:pStyle w:val="6"/>
        <w:pageBreakBefore w:val="0"/>
        <w:kinsoku/>
        <w:overflowPunct/>
        <w:topLinePunct w:val="0"/>
        <w:bidi w:val="0"/>
        <w:spacing w:after="0"/>
        <w:ind w:firstLine="482"/>
        <w:rPr>
          <w:rFonts w:hint="eastAsia"/>
          <w:color w:val="36363D"/>
        </w:rPr>
      </w:pPr>
    </w:p>
    <w:p w14:paraId="3B26DD59">
      <w:pPr>
        <w:pageBreakBefore w:val="0"/>
        <w:kinsoku/>
        <w:overflowPunct/>
        <w:topLinePunct w:val="0"/>
        <w:bidi w:val="0"/>
        <w:snapToGrid w:val="0"/>
        <w:spacing w:after="0"/>
        <w:ind w:firstLine="1928" w:firstLineChars="600"/>
        <w:rPr>
          <w:rFonts w:hint="eastAsia" w:cs="宋体"/>
          <w:b/>
          <w:bCs/>
          <w:color w:val="36363D"/>
          <w:sz w:val="32"/>
          <w:szCs w:val="32"/>
        </w:rPr>
      </w:pPr>
      <w:r>
        <w:rPr>
          <w:rFonts w:hint="eastAsia" w:cs="宋体"/>
          <w:b/>
          <w:bCs/>
          <w:color w:val="36363D"/>
          <w:sz w:val="32"/>
          <w:szCs w:val="32"/>
        </w:rPr>
        <w:t>时    间：二〇二五年</w:t>
      </w:r>
      <w:r>
        <w:rPr>
          <w:rFonts w:hint="eastAsia" w:cs="宋体"/>
          <w:b/>
          <w:bCs/>
          <w:color w:val="36363D"/>
          <w:sz w:val="32"/>
          <w:szCs w:val="32"/>
          <w:lang w:eastAsia="zh-CN"/>
        </w:rPr>
        <w:t>五</w:t>
      </w:r>
      <w:r>
        <w:rPr>
          <w:rFonts w:hint="eastAsia" w:cs="宋体"/>
          <w:b/>
          <w:bCs/>
          <w:color w:val="36363D"/>
          <w:sz w:val="32"/>
          <w:szCs w:val="32"/>
        </w:rPr>
        <w:t>月</w:t>
      </w:r>
    </w:p>
    <w:p w14:paraId="F54F8548">
      <w:pPr>
        <w:pStyle w:val="55"/>
        <w:pageBreakBefore w:val="0"/>
        <w:kinsoku/>
        <w:overflowPunct/>
        <w:topLinePunct w:val="0"/>
        <w:bidi w:val="0"/>
        <w:spacing w:after="0"/>
        <w:rPr>
          <w:rFonts w:hint="eastAsia" w:ascii="宋体" w:hAnsi="宋体" w:eastAsia="宋体" w:cs="宋体"/>
          <w:color w:val="36363D"/>
        </w:rPr>
      </w:pPr>
    </w:p>
    <w:p w14:paraId="636F422E">
      <w:pPr>
        <w:pageBreakBefore w:val="0"/>
        <w:kinsoku/>
        <w:overflowPunct/>
        <w:topLinePunct w:val="0"/>
        <w:bidi w:val="0"/>
        <w:snapToGrid w:val="0"/>
        <w:spacing w:after="0"/>
        <w:ind w:firstLine="198" w:firstLineChars="82"/>
        <w:rPr>
          <w:rFonts w:hint="eastAsia" w:cs="宋体"/>
          <w:b/>
          <w:bCs/>
          <w:color w:val="36363D"/>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851" w:footer="992" w:gutter="0"/>
          <w:pgNumType w:start="1"/>
          <w:cols w:space="720" w:num="1"/>
          <w:docGrid w:type="lines" w:linePitch="312" w:charSpace="0"/>
        </w:sectPr>
      </w:pPr>
    </w:p>
    <w:p w14:paraId="84D54D75">
      <w:pPr>
        <w:pStyle w:val="23"/>
        <w:pageBreakBefore w:val="0"/>
        <w:tabs>
          <w:tab w:val="clear" w:pos="8296"/>
        </w:tabs>
        <w:kinsoku/>
        <w:overflowPunct/>
        <w:topLinePunct w:val="0"/>
        <w:bidi w:val="0"/>
        <w:spacing w:after="0"/>
        <w:ind w:left="0" w:leftChars="0"/>
        <w:rPr>
          <w:rFonts w:hint="eastAsia" w:ascii="宋体" w:hAnsi="宋体" w:cs="宋体"/>
          <w:b/>
          <w:bCs/>
          <w:color w:val="36363D"/>
          <w:sz w:val="36"/>
          <w:szCs w:val="36"/>
          <w:lang w:val="zh-CN"/>
        </w:rPr>
      </w:pPr>
      <w:bookmarkStart w:id="0" w:name="_Toc32639"/>
    </w:p>
    <w:p w14:paraId="9145DDE5">
      <w:pPr>
        <w:pStyle w:val="23"/>
        <w:pageBreakBefore w:val="0"/>
        <w:tabs>
          <w:tab w:val="clear" w:pos="8296"/>
        </w:tabs>
        <w:kinsoku/>
        <w:overflowPunct/>
        <w:topLinePunct w:val="0"/>
        <w:bidi w:val="0"/>
        <w:spacing w:after="0"/>
        <w:ind w:left="480" w:firstLine="3614" w:firstLineChars="1000"/>
        <w:rPr>
          <w:rFonts w:hint="eastAsia" w:ascii="宋体" w:hAnsi="宋体" w:cs="宋体"/>
          <w:b/>
          <w:bCs/>
          <w:color w:val="36363D"/>
          <w:sz w:val="36"/>
          <w:szCs w:val="36"/>
          <w:lang w:val="zh-CN"/>
        </w:rPr>
      </w:pPr>
      <w:r>
        <w:rPr>
          <w:rFonts w:hint="eastAsia" w:ascii="宋体" w:hAnsi="宋体" w:cs="宋体"/>
          <w:b/>
          <w:bCs/>
          <w:color w:val="36363D"/>
          <w:sz w:val="36"/>
          <w:szCs w:val="36"/>
          <w:lang w:val="zh-CN"/>
        </w:rPr>
        <w:t>目录</w:t>
      </w:r>
      <w:bookmarkEnd w:id="0"/>
    </w:p>
    <w:p w14:paraId="78A29B69">
      <w:pPr>
        <w:pageBreakBefore w:val="0"/>
        <w:kinsoku/>
        <w:overflowPunct/>
        <w:topLinePunct w:val="0"/>
        <w:bidi w:val="0"/>
        <w:spacing w:after="0"/>
        <w:ind w:firstLine="480"/>
        <w:rPr>
          <w:rFonts w:hint="eastAsia"/>
          <w:color w:val="36363D"/>
          <w:lang w:val="zh-CN"/>
        </w:rPr>
      </w:pPr>
    </w:p>
    <w:p w14:paraId="8947EE85">
      <w:pPr>
        <w:pStyle w:val="32"/>
        <w:pageBreakBefore w:val="0"/>
        <w:tabs>
          <w:tab w:val="clear" w:pos="8296"/>
        </w:tabs>
        <w:kinsoku/>
        <w:overflowPunct/>
        <w:topLinePunct w:val="0"/>
        <w:bidi w:val="0"/>
        <w:spacing w:after="0"/>
        <w:rPr>
          <w:color w:val="36363D"/>
        </w:rPr>
      </w:pPr>
      <w:r>
        <w:rPr>
          <w:rFonts w:hint="eastAsia" w:ascii="宋体" w:hAnsi="宋体" w:cs="宋体"/>
          <w:color w:val="36363D"/>
        </w:rPr>
        <w:fldChar w:fldCharType="begin"/>
      </w:r>
      <w:r>
        <w:rPr>
          <w:rFonts w:hint="eastAsia" w:ascii="宋体" w:hAnsi="宋体" w:cs="宋体"/>
          <w:color w:val="36363D"/>
        </w:rPr>
        <w:instrText xml:space="preserve"> TOC \o "1-2" \h \z \u </w:instrText>
      </w:r>
      <w:r>
        <w:rPr>
          <w:rFonts w:hint="eastAsia" w:ascii="宋体" w:hAnsi="宋体" w:cs="宋体"/>
          <w:color w:val="36363D"/>
        </w:rPr>
        <w:fldChar w:fldCharType="separate"/>
      </w:r>
      <w:r>
        <w:rPr>
          <w:color w:val="36363D"/>
        </w:rPr>
        <w:fldChar w:fldCharType="begin"/>
      </w:r>
      <w:r>
        <w:rPr>
          <w:color w:val="36363D"/>
        </w:rPr>
        <w:instrText xml:space="preserve"> HYPERLINK \l "_Toc21969" </w:instrText>
      </w:r>
      <w:r>
        <w:rPr>
          <w:color w:val="36363D"/>
        </w:rPr>
        <w:fldChar w:fldCharType="separate"/>
      </w:r>
      <w:r>
        <w:rPr>
          <w:rFonts w:hint="eastAsia" w:cs="宋体"/>
          <w:color w:val="36363D"/>
        </w:rPr>
        <w:t>第一章 招标公告</w:t>
      </w:r>
      <w:r>
        <w:rPr>
          <w:color w:val="36363D"/>
        </w:rPr>
        <w:tab/>
      </w:r>
      <w:r>
        <w:rPr>
          <w:color w:val="36363D"/>
        </w:rPr>
        <w:fldChar w:fldCharType="begin"/>
      </w:r>
      <w:r>
        <w:rPr>
          <w:color w:val="36363D"/>
        </w:rPr>
        <w:instrText xml:space="preserve"> PAGEREF _Toc21969 </w:instrText>
      </w:r>
      <w:r>
        <w:rPr>
          <w:color w:val="36363D"/>
        </w:rPr>
        <w:fldChar w:fldCharType="separate"/>
      </w:r>
      <w:r>
        <w:rPr>
          <w:color w:val="36363D"/>
        </w:rPr>
        <w:t>3</w:t>
      </w:r>
      <w:r>
        <w:rPr>
          <w:color w:val="36363D"/>
        </w:rPr>
        <w:fldChar w:fldCharType="end"/>
      </w:r>
      <w:r>
        <w:rPr>
          <w:color w:val="36363D"/>
        </w:rPr>
        <w:fldChar w:fldCharType="end"/>
      </w:r>
    </w:p>
    <w:p w14:paraId="FB624C72">
      <w:pPr>
        <w:pStyle w:val="32"/>
        <w:pageBreakBefore w:val="0"/>
        <w:tabs>
          <w:tab w:val="clear" w:pos="8296"/>
        </w:tabs>
        <w:kinsoku/>
        <w:overflowPunct/>
        <w:topLinePunct w:val="0"/>
        <w:bidi w:val="0"/>
        <w:spacing w:after="0"/>
        <w:rPr>
          <w:color w:val="36363D"/>
        </w:rPr>
      </w:pPr>
      <w:r>
        <w:rPr>
          <w:color w:val="36363D"/>
        </w:rPr>
        <w:fldChar w:fldCharType="begin"/>
      </w:r>
      <w:r>
        <w:rPr>
          <w:color w:val="36363D"/>
        </w:rPr>
        <w:instrText xml:space="preserve"> HYPERLINK \l "_Toc28330" </w:instrText>
      </w:r>
      <w:r>
        <w:rPr>
          <w:color w:val="36363D"/>
        </w:rPr>
        <w:fldChar w:fldCharType="separate"/>
      </w:r>
      <w:r>
        <w:rPr>
          <w:color w:val="36363D"/>
        </w:rPr>
        <w:t>第</w:t>
      </w:r>
      <w:r>
        <w:rPr>
          <w:rFonts w:hint="eastAsia" w:ascii="宋体" w:hAnsi="宋体" w:cs="宋体"/>
          <w:bCs/>
          <w:color w:val="36363D"/>
          <w:kern w:val="44"/>
          <w:szCs w:val="32"/>
        </w:rPr>
        <w:t xml:space="preserve">二章 </w:t>
      </w:r>
      <w:r>
        <w:rPr>
          <w:rFonts w:hint="eastAsia" w:cs="宋体"/>
          <w:color w:val="36363D"/>
          <w:szCs w:val="32"/>
        </w:rPr>
        <w:t>采购需求</w:t>
      </w:r>
      <w:r>
        <w:rPr>
          <w:color w:val="36363D"/>
        </w:rPr>
        <w:tab/>
      </w:r>
      <w:r>
        <w:rPr>
          <w:color w:val="36363D"/>
        </w:rPr>
        <w:fldChar w:fldCharType="begin"/>
      </w:r>
      <w:r>
        <w:rPr>
          <w:color w:val="36363D"/>
        </w:rPr>
        <w:instrText xml:space="preserve"> PAGEREF _Toc28330 </w:instrText>
      </w:r>
      <w:r>
        <w:rPr>
          <w:color w:val="36363D"/>
        </w:rPr>
        <w:fldChar w:fldCharType="separate"/>
      </w:r>
      <w:r>
        <w:rPr>
          <w:color w:val="36363D"/>
        </w:rPr>
        <w:t>6</w:t>
      </w:r>
      <w:r>
        <w:rPr>
          <w:color w:val="36363D"/>
        </w:rPr>
        <w:fldChar w:fldCharType="end"/>
      </w:r>
      <w:r>
        <w:rPr>
          <w:color w:val="36363D"/>
        </w:rPr>
        <w:fldChar w:fldCharType="end"/>
      </w:r>
    </w:p>
    <w:p w14:paraId="C76D2FB1">
      <w:pPr>
        <w:pStyle w:val="32"/>
        <w:pageBreakBefore w:val="0"/>
        <w:tabs>
          <w:tab w:val="clear" w:pos="8296"/>
        </w:tabs>
        <w:kinsoku/>
        <w:overflowPunct/>
        <w:topLinePunct w:val="0"/>
        <w:bidi w:val="0"/>
        <w:spacing w:after="0"/>
        <w:rPr>
          <w:color w:val="36363D"/>
        </w:rPr>
      </w:pPr>
      <w:r>
        <w:rPr>
          <w:color w:val="36363D"/>
        </w:rPr>
        <w:fldChar w:fldCharType="begin"/>
      </w:r>
      <w:r>
        <w:rPr>
          <w:color w:val="36363D"/>
        </w:rPr>
        <w:instrText xml:space="preserve"> HYPERLINK \l "_Toc20148" </w:instrText>
      </w:r>
      <w:r>
        <w:rPr>
          <w:color w:val="36363D"/>
        </w:rPr>
        <w:fldChar w:fldCharType="separate"/>
      </w:r>
      <w:r>
        <w:rPr>
          <w:rFonts w:hint="eastAsia" w:cs="宋体"/>
          <w:color w:val="36363D"/>
          <w:szCs w:val="32"/>
        </w:rPr>
        <w:t>第三章 投标人须知</w:t>
      </w:r>
      <w:r>
        <w:rPr>
          <w:color w:val="36363D"/>
        </w:rPr>
        <w:tab/>
      </w:r>
      <w:r>
        <w:rPr>
          <w:color w:val="36363D"/>
        </w:rPr>
        <w:fldChar w:fldCharType="begin"/>
      </w:r>
      <w:r>
        <w:rPr>
          <w:color w:val="36363D"/>
        </w:rPr>
        <w:instrText xml:space="preserve"> PAGEREF _Toc20148 </w:instrText>
      </w:r>
      <w:r>
        <w:rPr>
          <w:color w:val="36363D"/>
        </w:rPr>
        <w:fldChar w:fldCharType="separate"/>
      </w:r>
      <w:r>
        <w:rPr>
          <w:color w:val="36363D"/>
        </w:rPr>
        <w:t>17</w:t>
      </w:r>
      <w:r>
        <w:rPr>
          <w:color w:val="36363D"/>
        </w:rPr>
        <w:fldChar w:fldCharType="end"/>
      </w:r>
      <w:r>
        <w:rPr>
          <w:color w:val="36363D"/>
        </w:rPr>
        <w:fldChar w:fldCharType="end"/>
      </w:r>
    </w:p>
    <w:p w14:paraId="9388E57B">
      <w:pPr>
        <w:pStyle w:val="32"/>
        <w:pageBreakBefore w:val="0"/>
        <w:tabs>
          <w:tab w:val="clear" w:pos="8296"/>
        </w:tabs>
        <w:kinsoku/>
        <w:overflowPunct/>
        <w:topLinePunct w:val="0"/>
        <w:bidi w:val="0"/>
        <w:spacing w:after="0"/>
        <w:rPr>
          <w:color w:val="36363D"/>
        </w:rPr>
      </w:pPr>
      <w:r>
        <w:rPr>
          <w:color w:val="36363D"/>
        </w:rPr>
        <w:fldChar w:fldCharType="begin"/>
      </w:r>
      <w:r>
        <w:rPr>
          <w:color w:val="36363D"/>
        </w:rPr>
        <w:instrText xml:space="preserve"> HYPERLINK \l "_Toc27090" </w:instrText>
      </w:r>
      <w:r>
        <w:rPr>
          <w:color w:val="36363D"/>
        </w:rPr>
        <w:fldChar w:fldCharType="separate"/>
      </w:r>
      <w:r>
        <w:rPr>
          <w:rFonts w:hint="eastAsia" w:cs="宋体"/>
          <w:color w:val="36363D"/>
          <w:szCs w:val="32"/>
        </w:rPr>
        <w:t>第四章 评标办法及评分标准</w:t>
      </w:r>
      <w:r>
        <w:rPr>
          <w:color w:val="36363D"/>
        </w:rPr>
        <w:tab/>
      </w:r>
      <w:r>
        <w:rPr>
          <w:color w:val="36363D"/>
        </w:rPr>
        <w:fldChar w:fldCharType="begin"/>
      </w:r>
      <w:r>
        <w:rPr>
          <w:color w:val="36363D"/>
        </w:rPr>
        <w:instrText xml:space="preserve"> PAGEREF _Toc27090 </w:instrText>
      </w:r>
      <w:r>
        <w:rPr>
          <w:color w:val="36363D"/>
        </w:rPr>
        <w:fldChar w:fldCharType="separate"/>
      </w:r>
      <w:r>
        <w:rPr>
          <w:color w:val="36363D"/>
        </w:rPr>
        <w:t>31</w:t>
      </w:r>
      <w:r>
        <w:rPr>
          <w:color w:val="36363D"/>
        </w:rPr>
        <w:fldChar w:fldCharType="end"/>
      </w:r>
      <w:r>
        <w:rPr>
          <w:color w:val="36363D"/>
        </w:rPr>
        <w:fldChar w:fldCharType="end"/>
      </w:r>
    </w:p>
    <w:p w14:paraId="45700836">
      <w:pPr>
        <w:pStyle w:val="32"/>
        <w:pageBreakBefore w:val="0"/>
        <w:tabs>
          <w:tab w:val="clear" w:pos="8296"/>
        </w:tabs>
        <w:kinsoku/>
        <w:overflowPunct/>
        <w:topLinePunct w:val="0"/>
        <w:bidi w:val="0"/>
        <w:spacing w:after="0"/>
        <w:rPr>
          <w:color w:val="36363D"/>
        </w:rPr>
      </w:pPr>
      <w:r>
        <w:rPr>
          <w:color w:val="36363D"/>
        </w:rPr>
        <w:fldChar w:fldCharType="begin"/>
      </w:r>
      <w:r>
        <w:rPr>
          <w:color w:val="36363D"/>
        </w:rPr>
        <w:instrText xml:space="preserve"> HYPERLINK \l "_Toc6575" </w:instrText>
      </w:r>
      <w:r>
        <w:rPr>
          <w:color w:val="36363D"/>
        </w:rPr>
        <w:fldChar w:fldCharType="separate"/>
      </w:r>
      <w:r>
        <w:rPr>
          <w:rFonts w:hint="eastAsia" w:cs="宋体"/>
          <w:color w:val="36363D"/>
          <w:szCs w:val="32"/>
        </w:rPr>
        <w:t>第五章 合同格式</w:t>
      </w:r>
      <w:r>
        <w:rPr>
          <w:color w:val="36363D"/>
        </w:rPr>
        <w:tab/>
      </w:r>
      <w:r>
        <w:rPr>
          <w:color w:val="36363D"/>
        </w:rPr>
        <w:fldChar w:fldCharType="begin"/>
      </w:r>
      <w:r>
        <w:rPr>
          <w:color w:val="36363D"/>
        </w:rPr>
        <w:instrText xml:space="preserve"> PAGEREF _Toc6575 </w:instrText>
      </w:r>
      <w:r>
        <w:rPr>
          <w:color w:val="36363D"/>
        </w:rPr>
        <w:fldChar w:fldCharType="separate"/>
      </w:r>
      <w:r>
        <w:rPr>
          <w:color w:val="36363D"/>
        </w:rPr>
        <w:t>36</w:t>
      </w:r>
      <w:r>
        <w:rPr>
          <w:color w:val="36363D"/>
        </w:rPr>
        <w:fldChar w:fldCharType="end"/>
      </w:r>
      <w:r>
        <w:rPr>
          <w:color w:val="36363D"/>
        </w:rPr>
        <w:fldChar w:fldCharType="end"/>
      </w:r>
    </w:p>
    <w:p w14:paraId="AD148551">
      <w:pPr>
        <w:pStyle w:val="32"/>
        <w:pageBreakBefore w:val="0"/>
        <w:tabs>
          <w:tab w:val="clear" w:pos="8296"/>
        </w:tabs>
        <w:kinsoku/>
        <w:overflowPunct/>
        <w:topLinePunct w:val="0"/>
        <w:bidi w:val="0"/>
        <w:spacing w:after="0"/>
        <w:rPr>
          <w:color w:val="36363D"/>
        </w:rPr>
      </w:pPr>
      <w:r>
        <w:rPr>
          <w:color w:val="36363D"/>
        </w:rPr>
        <w:fldChar w:fldCharType="begin"/>
      </w:r>
      <w:r>
        <w:rPr>
          <w:color w:val="36363D"/>
        </w:rPr>
        <w:instrText xml:space="preserve"> HYPERLINK \l "_Toc22978" </w:instrText>
      </w:r>
      <w:r>
        <w:rPr>
          <w:color w:val="36363D"/>
        </w:rPr>
        <w:fldChar w:fldCharType="separate"/>
      </w:r>
      <w:r>
        <w:rPr>
          <w:rFonts w:hint="eastAsia"/>
          <w:color w:val="36363D"/>
        </w:rPr>
        <w:t>第六章 投标文件格式</w:t>
      </w:r>
      <w:r>
        <w:rPr>
          <w:color w:val="36363D"/>
        </w:rPr>
        <w:tab/>
      </w:r>
      <w:r>
        <w:rPr>
          <w:color w:val="36363D"/>
        </w:rPr>
        <w:fldChar w:fldCharType="begin"/>
      </w:r>
      <w:r>
        <w:rPr>
          <w:color w:val="36363D"/>
        </w:rPr>
        <w:instrText xml:space="preserve"> PAGEREF _Toc22978 </w:instrText>
      </w:r>
      <w:r>
        <w:rPr>
          <w:color w:val="36363D"/>
        </w:rPr>
        <w:fldChar w:fldCharType="separate"/>
      </w:r>
      <w:r>
        <w:rPr>
          <w:color w:val="36363D"/>
        </w:rPr>
        <w:t>40</w:t>
      </w:r>
      <w:r>
        <w:rPr>
          <w:color w:val="36363D"/>
        </w:rPr>
        <w:fldChar w:fldCharType="end"/>
      </w:r>
      <w:r>
        <w:rPr>
          <w:color w:val="36363D"/>
        </w:rPr>
        <w:fldChar w:fldCharType="end"/>
      </w:r>
    </w:p>
    <w:p w14:paraId="41707ECA">
      <w:pPr>
        <w:pStyle w:val="32"/>
        <w:pageBreakBefore w:val="0"/>
        <w:tabs>
          <w:tab w:val="clear" w:pos="8296"/>
        </w:tabs>
        <w:kinsoku/>
        <w:overflowPunct/>
        <w:topLinePunct w:val="0"/>
        <w:bidi w:val="0"/>
        <w:spacing w:after="0"/>
        <w:rPr>
          <w:color w:val="36363D"/>
        </w:rPr>
      </w:pPr>
    </w:p>
    <w:p w14:paraId="846E7E00">
      <w:pPr>
        <w:pStyle w:val="23"/>
        <w:pageBreakBefore w:val="0"/>
        <w:tabs>
          <w:tab w:val="clear" w:pos="8296"/>
        </w:tabs>
        <w:kinsoku/>
        <w:overflowPunct/>
        <w:topLinePunct w:val="0"/>
        <w:bidi w:val="0"/>
        <w:spacing w:after="0"/>
        <w:ind w:left="480"/>
        <w:jc w:val="center"/>
        <w:rPr>
          <w:rFonts w:hint="eastAsia" w:ascii="宋体" w:hAnsi="宋体" w:cs="宋体"/>
          <w:color w:val="36363D"/>
        </w:rPr>
      </w:pPr>
      <w:r>
        <w:rPr>
          <w:rFonts w:hint="eastAsia" w:ascii="宋体" w:hAnsi="宋体" w:cs="宋体"/>
          <w:color w:val="36363D"/>
        </w:rPr>
        <w:fldChar w:fldCharType="end"/>
      </w:r>
    </w:p>
    <w:p w14:paraId="81C91328">
      <w:pPr>
        <w:pStyle w:val="3"/>
        <w:pageBreakBefore w:val="0"/>
        <w:kinsoku/>
        <w:overflowPunct/>
        <w:topLinePunct w:val="0"/>
        <w:bidi w:val="0"/>
        <w:spacing w:after="0"/>
        <w:rPr>
          <w:rFonts w:hint="eastAsia" w:cs="宋体"/>
          <w:color w:val="36363D"/>
        </w:rPr>
        <w:sectPr>
          <w:footerReference r:id="rId11" w:type="default"/>
          <w:pgSz w:w="11906" w:h="16838"/>
          <w:pgMar w:top="1247" w:right="1247" w:bottom="1247" w:left="1247" w:header="170" w:footer="567" w:gutter="0"/>
          <w:cols w:space="720" w:num="1"/>
          <w:docGrid w:linePitch="381" w:charSpace="0"/>
        </w:sectPr>
      </w:pPr>
      <w:bookmarkStart w:id="1" w:name="_Toc4470"/>
      <w:bookmarkStart w:id="2" w:name="_Toc12653"/>
      <w:bookmarkStart w:id="3" w:name="_Toc452457411"/>
    </w:p>
    <w:p w14:paraId="E4BFFAD2">
      <w:pPr>
        <w:pStyle w:val="3"/>
        <w:pageBreakBefore w:val="0"/>
        <w:kinsoku/>
        <w:overflowPunct/>
        <w:topLinePunct w:val="0"/>
        <w:bidi w:val="0"/>
        <w:spacing w:after="0"/>
        <w:rPr>
          <w:rFonts w:hint="eastAsia" w:cs="宋体"/>
          <w:color w:val="36363D"/>
        </w:rPr>
      </w:pPr>
      <w:bookmarkStart w:id="4" w:name="_Toc20635"/>
      <w:bookmarkStart w:id="5" w:name="_Toc21969"/>
      <w:bookmarkStart w:id="6" w:name="_Toc9058"/>
      <w:r>
        <w:rPr>
          <w:rFonts w:hint="eastAsia" w:cs="宋体"/>
          <w:color w:val="36363D"/>
        </w:rPr>
        <w:t>第一章 招标公告</w:t>
      </w:r>
      <w:bookmarkEnd w:id="1"/>
      <w:bookmarkEnd w:id="2"/>
      <w:bookmarkEnd w:id="4"/>
      <w:bookmarkEnd w:id="5"/>
      <w:bookmarkEnd w:id="6"/>
    </w:p>
    <w:p w14:paraId="50E2FE93">
      <w:pPr>
        <w:pStyle w:val="39"/>
        <w:pageBreakBefore w:val="0"/>
        <w:kinsoku/>
        <w:overflowPunct/>
        <w:topLinePunct w:val="0"/>
        <w:bidi w:val="0"/>
        <w:spacing w:before="0" w:beforeAutospacing="0" w:after="0" w:afterAutospacing="0" w:line="360" w:lineRule="auto"/>
        <w:ind w:firstLine="480" w:firstLineChars="200"/>
        <w:rPr>
          <w:rStyle w:val="46"/>
          <w:rFonts w:cs="宋体"/>
          <w:b w:val="0"/>
          <w:bCs/>
          <w:color w:val="36363D"/>
        </w:rPr>
      </w:pPr>
      <w:bookmarkStart w:id="7" w:name="_Toc29586"/>
      <w:r>
        <w:rPr>
          <w:rStyle w:val="46"/>
          <w:rFonts w:hint="eastAsia" w:cs="宋体"/>
          <w:b w:val="0"/>
          <w:bCs/>
          <w:color w:val="36363D"/>
        </w:rPr>
        <w:t>浙江致信招标代理有限公司</w:t>
      </w:r>
      <w:r>
        <w:rPr>
          <w:rStyle w:val="46"/>
          <w:rFonts w:hint="eastAsia" w:ascii="宋体" w:hAnsi="宋体" w:cs="宋体"/>
          <w:b w:val="0"/>
          <w:bCs/>
          <w:color w:val="36363D"/>
        </w:rPr>
        <w:t>受</w:t>
      </w:r>
      <w:r>
        <w:rPr>
          <w:rStyle w:val="46"/>
          <w:rFonts w:hint="eastAsia" w:cs="宋体"/>
          <w:b w:val="0"/>
          <w:bCs/>
          <w:color w:val="36363D"/>
        </w:rPr>
        <w:t>浙江工商职业技术学院</w:t>
      </w:r>
      <w:r>
        <w:rPr>
          <w:rStyle w:val="46"/>
          <w:rFonts w:hint="eastAsia" w:ascii="宋体" w:hAnsi="宋体" w:cs="宋体"/>
          <w:b w:val="0"/>
          <w:bCs/>
          <w:color w:val="36363D"/>
        </w:rPr>
        <w:t>的委托，</w:t>
      </w:r>
      <w:r>
        <w:rPr>
          <w:rStyle w:val="46"/>
          <w:rFonts w:hint="eastAsia" w:cs="宋体"/>
          <w:b w:val="0"/>
          <w:bCs/>
          <w:color w:val="36363D"/>
        </w:rPr>
        <w:t>就浙江工商职业技术学院海曙校区、宁海校区光伏发电合同能源管理项目进行公开招标，本项目为非依法必须招标项目。欢迎符合要求的供应商前来投标。</w:t>
      </w:r>
    </w:p>
    <w:p w14:paraId="9652ECB2">
      <w:pPr>
        <w:pageBreakBefore w:val="0"/>
        <w:numPr>
          <w:ilvl w:val="0"/>
          <w:numId w:val="5"/>
        </w:numPr>
        <w:kinsoku/>
        <w:overflowPunct/>
        <w:topLinePunct w:val="0"/>
        <w:bidi w:val="0"/>
        <w:snapToGrid w:val="0"/>
        <w:spacing w:after="0"/>
        <w:ind w:firstLine="0" w:firstLineChars="0"/>
        <w:rPr>
          <w:rStyle w:val="46"/>
          <w:rFonts w:hint="eastAsia" w:ascii="宋体" w:hAnsi="宋体" w:cs="宋体"/>
          <w:b w:val="0"/>
          <w:bCs/>
          <w:color w:val="36363D"/>
        </w:rPr>
      </w:pPr>
      <w:r>
        <w:rPr>
          <w:rStyle w:val="46"/>
          <w:rFonts w:hint="eastAsia" w:ascii="宋体" w:hAnsi="宋体" w:cs="宋体"/>
          <w:b w:val="0"/>
          <w:bCs/>
          <w:color w:val="36363D"/>
        </w:rPr>
        <w:t>项目名称：</w:t>
      </w:r>
      <w:bookmarkEnd w:id="7"/>
      <w:r>
        <w:rPr>
          <w:rStyle w:val="46"/>
          <w:rFonts w:hint="eastAsia" w:ascii="宋体" w:hAnsi="宋体" w:cs="宋体"/>
          <w:b w:val="0"/>
          <w:bCs/>
          <w:color w:val="36363D"/>
        </w:rPr>
        <w:t>浙江工商职业技术学院</w:t>
      </w:r>
      <w:r>
        <w:rPr>
          <w:rStyle w:val="46"/>
          <w:rFonts w:hint="eastAsia" w:cs="宋体"/>
          <w:b w:val="0"/>
          <w:bCs/>
          <w:color w:val="36363D"/>
        </w:rPr>
        <w:t>海曙校区、宁海校区光伏发电合同能源管理</w:t>
      </w:r>
      <w:r>
        <w:rPr>
          <w:rStyle w:val="46"/>
          <w:rFonts w:cs="宋体"/>
          <w:b w:val="0"/>
          <w:bCs/>
          <w:color w:val="36363D"/>
        </w:rPr>
        <w:t>项目</w:t>
      </w:r>
    </w:p>
    <w:p w14:paraId="176A8F57">
      <w:pPr>
        <w:pageBreakBefore w:val="0"/>
        <w:numPr>
          <w:ilvl w:val="0"/>
          <w:numId w:val="5"/>
        </w:numPr>
        <w:kinsoku/>
        <w:overflowPunct/>
        <w:topLinePunct w:val="0"/>
        <w:bidi w:val="0"/>
        <w:snapToGrid w:val="0"/>
        <w:spacing w:after="0"/>
        <w:ind w:firstLine="0" w:firstLineChars="0"/>
        <w:rPr>
          <w:rStyle w:val="46"/>
          <w:rFonts w:hint="eastAsia" w:ascii="宋体" w:hAnsi="宋体" w:cs="宋体"/>
          <w:b w:val="0"/>
          <w:bCs/>
          <w:color w:val="36363D"/>
        </w:rPr>
      </w:pPr>
      <w:r>
        <w:rPr>
          <w:rStyle w:val="46"/>
          <w:rFonts w:hint="eastAsia" w:ascii="宋体" w:hAnsi="宋体" w:cs="宋体"/>
          <w:b w:val="0"/>
          <w:bCs/>
          <w:color w:val="36363D"/>
        </w:rPr>
        <w:t>项目编号：</w:t>
      </w:r>
      <w:r>
        <w:rPr>
          <w:rStyle w:val="46"/>
          <w:rFonts w:hint="eastAsia" w:cs="宋体"/>
          <w:b w:val="0"/>
          <w:bCs/>
          <w:color w:val="36363D"/>
        </w:rPr>
        <w:t>ZJZX-ZJGS202506G</w:t>
      </w:r>
    </w:p>
    <w:p w14:paraId="36EE54AE">
      <w:pPr>
        <w:pageBreakBefore w:val="0"/>
        <w:numPr>
          <w:ilvl w:val="0"/>
          <w:numId w:val="5"/>
        </w:numPr>
        <w:kinsoku/>
        <w:overflowPunct/>
        <w:topLinePunct w:val="0"/>
        <w:bidi w:val="0"/>
        <w:snapToGrid w:val="0"/>
        <w:spacing w:after="0"/>
        <w:ind w:firstLine="0" w:firstLineChars="0"/>
        <w:rPr>
          <w:rStyle w:val="46"/>
          <w:rFonts w:hint="eastAsia" w:ascii="宋体" w:hAnsi="宋体" w:cs="宋体"/>
          <w:b w:val="0"/>
          <w:bCs/>
          <w:color w:val="36363D"/>
        </w:rPr>
      </w:pPr>
      <w:r>
        <w:rPr>
          <w:rStyle w:val="46"/>
          <w:rFonts w:hint="eastAsia" w:ascii="宋体" w:hAnsi="宋体" w:cs="宋体"/>
          <w:b w:val="0"/>
          <w:bCs/>
          <w:color w:val="36363D"/>
        </w:rPr>
        <w:t>采购方式：公开招标</w:t>
      </w:r>
    </w:p>
    <w:p w14:paraId="0DA438DB">
      <w:pPr>
        <w:pStyle w:val="27"/>
        <w:pageBreakBefore w:val="0"/>
        <w:numPr>
          <w:ilvl w:val="0"/>
          <w:numId w:val="5"/>
        </w:numPr>
        <w:kinsoku/>
        <w:overflowPunct/>
        <w:topLinePunct w:val="0"/>
        <w:bidi w:val="0"/>
        <w:spacing w:after="0"/>
        <w:rPr>
          <w:rStyle w:val="46"/>
          <w:rFonts w:hint="eastAsia" w:ascii="宋体" w:hAnsi="宋体" w:cs="宋体"/>
          <w:b w:val="0"/>
          <w:bCs/>
          <w:color w:val="36363D"/>
          <w:szCs w:val="24"/>
        </w:rPr>
      </w:pPr>
      <w:bookmarkStart w:id="8" w:name="_Toc5262"/>
      <w:r>
        <w:rPr>
          <w:rStyle w:val="46"/>
          <w:rFonts w:hint="eastAsia" w:ascii="宋体" w:hAnsi="宋体" w:cs="宋体"/>
          <w:b w:val="0"/>
          <w:bCs/>
          <w:color w:val="36363D"/>
          <w:szCs w:val="24"/>
        </w:rPr>
        <w:t>项目概况</w:t>
      </w:r>
      <w:bookmarkEnd w:id="8"/>
      <w:r>
        <w:rPr>
          <w:rStyle w:val="46"/>
          <w:rFonts w:hint="eastAsia" w:ascii="宋体" w:hAnsi="宋体" w:cs="宋体"/>
          <w:b w:val="0"/>
          <w:bCs/>
          <w:color w:val="36363D"/>
          <w:szCs w:val="24"/>
        </w:rPr>
        <w:t>：</w:t>
      </w:r>
    </w:p>
    <w:tbl>
      <w:tblPr>
        <w:tblStyle w:val="43"/>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67"/>
        <w:gridCol w:w="4987"/>
        <w:gridCol w:w="1487"/>
      </w:tblGrid>
      <w:tr w14:paraId="F731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C8809D07">
            <w:pPr>
              <w:pageBreakBefore w:val="0"/>
              <w:kinsoku/>
              <w:overflowPunct/>
              <w:topLinePunct w:val="0"/>
              <w:bidi w:val="0"/>
              <w:spacing w:after="0"/>
              <w:ind w:firstLine="0" w:firstLineChars="0"/>
              <w:jc w:val="center"/>
              <w:rPr>
                <w:rFonts w:hint="eastAsia" w:cs="宋体"/>
                <w:bCs/>
                <w:color w:val="36363D"/>
                <w:kern w:val="0"/>
              </w:rPr>
            </w:pPr>
            <w:r>
              <w:rPr>
                <w:rFonts w:hint="eastAsia" w:cs="宋体"/>
                <w:bCs/>
                <w:color w:val="36363D"/>
                <w:kern w:val="0"/>
              </w:rPr>
              <w:t>序号</w:t>
            </w:r>
          </w:p>
        </w:tc>
        <w:tc>
          <w:tcPr>
            <w:tcW w:w="2467" w:type="dxa"/>
            <w:vAlign w:val="center"/>
          </w:tcPr>
          <w:p w14:paraId="62AEF80B">
            <w:pPr>
              <w:pageBreakBefore w:val="0"/>
              <w:kinsoku/>
              <w:overflowPunct/>
              <w:topLinePunct w:val="0"/>
              <w:bidi w:val="0"/>
              <w:spacing w:after="0"/>
              <w:ind w:firstLine="0" w:firstLineChars="0"/>
              <w:jc w:val="center"/>
              <w:rPr>
                <w:rFonts w:hint="eastAsia" w:cs="宋体"/>
                <w:bCs/>
                <w:color w:val="36363D"/>
                <w:kern w:val="0"/>
              </w:rPr>
            </w:pPr>
            <w:r>
              <w:rPr>
                <w:rFonts w:hint="eastAsia" w:cs="宋体"/>
                <w:bCs/>
                <w:color w:val="36363D"/>
                <w:kern w:val="0"/>
              </w:rPr>
              <w:t>项目内容</w:t>
            </w:r>
          </w:p>
        </w:tc>
        <w:tc>
          <w:tcPr>
            <w:tcW w:w="4987" w:type="dxa"/>
            <w:vAlign w:val="center"/>
          </w:tcPr>
          <w:p w14:paraId="9921F8C3">
            <w:pPr>
              <w:pageBreakBefore w:val="0"/>
              <w:kinsoku/>
              <w:overflowPunct/>
              <w:topLinePunct w:val="0"/>
              <w:bidi w:val="0"/>
              <w:spacing w:after="0"/>
              <w:ind w:firstLine="0" w:firstLineChars="0"/>
              <w:jc w:val="center"/>
              <w:rPr>
                <w:rFonts w:hint="eastAsia" w:cs="宋体"/>
                <w:bCs/>
                <w:color w:val="36363D"/>
                <w:kern w:val="0"/>
              </w:rPr>
            </w:pPr>
            <w:r>
              <w:rPr>
                <w:rFonts w:hint="eastAsia" w:cs="宋体"/>
                <w:bCs/>
                <w:color w:val="36363D"/>
                <w:kern w:val="0"/>
              </w:rPr>
              <w:t>简要技术需求或服务要求</w:t>
            </w:r>
          </w:p>
        </w:tc>
        <w:tc>
          <w:tcPr>
            <w:tcW w:w="1487" w:type="dxa"/>
            <w:vAlign w:val="center"/>
          </w:tcPr>
          <w:p w14:paraId="B246AD87">
            <w:pPr>
              <w:pageBreakBefore w:val="0"/>
              <w:kinsoku/>
              <w:overflowPunct/>
              <w:topLinePunct w:val="0"/>
              <w:bidi w:val="0"/>
              <w:spacing w:after="0"/>
              <w:ind w:firstLine="0" w:firstLineChars="0"/>
              <w:jc w:val="center"/>
              <w:rPr>
                <w:rFonts w:hint="eastAsia" w:cs="宋体"/>
                <w:bCs/>
                <w:color w:val="36363D"/>
                <w:kern w:val="0"/>
              </w:rPr>
            </w:pPr>
            <w:r>
              <w:rPr>
                <w:rFonts w:hint="eastAsia" w:cs="宋体"/>
                <w:bCs/>
                <w:color w:val="36363D"/>
                <w:kern w:val="0"/>
              </w:rPr>
              <w:t>项目期限</w:t>
            </w:r>
          </w:p>
        </w:tc>
      </w:tr>
      <w:tr w14:paraId="85AE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E616F79A">
            <w:pPr>
              <w:pageBreakBefore w:val="0"/>
              <w:kinsoku/>
              <w:overflowPunct/>
              <w:topLinePunct w:val="0"/>
              <w:bidi w:val="0"/>
              <w:spacing w:after="0"/>
              <w:ind w:firstLine="0" w:firstLineChars="0"/>
              <w:jc w:val="center"/>
              <w:rPr>
                <w:rFonts w:hint="eastAsia" w:cs="宋体"/>
                <w:bCs/>
                <w:color w:val="36363D"/>
                <w:kern w:val="0"/>
              </w:rPr>
            </w:pPr>
            <w:r>
              <w:rPr>
                <w:rFonts w:hint="eastAsia" w:cs="宋体"/>
                <w:bCs/>
                <w:color w:val="36363D"/>
                <w:kern w:val="0"/>
              </w:rPr>
              <w:t>1</w:t>
            </w:r>
          </w:p>
        </w:tc>
        <w:tc>
          <w:tcPr>
            <w:tcW w:w="2467" w:type="dxa"/>
            <w:vAlign w:val="center"/>
          </w:tcPr>
          <w:p w14:paraId="2FB97B45">
            <w:pPr>
              <w:pageBreakBefore w:val="0"/>
              <w:kinsoku/>
              <w:overflowPunct/>
              <w:topLinePunct w:val="0"/>
              <w:bidi w:val="0"/>
              <w:spacing w:after="0"/>
              <w:ind w:firstLine="0" w:firstLineChars="0"/>
              <w:jc w:val="center"/>
              <w:rPr>
                <w:rFonts w:hint="eastAsia" w:cs="宋体"/>
                <w:bCs/>
                <w:color w:val="36363D"/>
                <w:kern w:val="0"/>
              </w:rPr>
            </w:pPr>
            <w:r>
              <w:rPr>
                <w:rFonts w:hint="eastAsia" w:cs="宋体"/>
                <w:bCs/>
                <w:color w:val="36363D"/>
                <w:kern w:val="0"/>
              </w:rPr>
              <w:t>浙江工商职业技术学院海曙校区、宁海校区光伏发电合同能源管理项目</w:t>
            </w:r>
          </w:p>
        </w:tc>
        <w:tc>
          <w:tcPr>
            <w:tcW w:w="4987" w:type="dxa"/>
            <w:vAlign w:val="center"/>
          </w:tcPr>
          <w:p w14:paraId="0622F0A7">
            <w:pPr>
              <w:pageBreakBefore w:val="0"/>
              <w:kinsoku/>
              <w:overflowPunct/>
              <w:topLinePunct w:val="0"/>
              <w:bidi w:val="0"/>
              <w:spacing w:after="0"/>
              <w:ind w:firstLine="0" w:firstLineChars="0"/>
              <w:jc w:val="center"/>
              <w:rPr>
                <w:rFonts w:hint="eastAsia" w:cs="宋体"/>
                <w:bCs/>
                <w:color w:val="36363D"/>
                <w:kern w:val="0"/>
              </w:rPr>
            </w:pPr>
            <w:r>
              <w:rPr>
                <w:rFonts w:hint="eastAsia" w:cs="宋体"/>
                <w:bCs/>
                <w:color w:val="36363D"/>
                <w:kern w:val="0"/>
              </w:rPr>
              <w:t>海曙、宁海二个校区总装机容量约为3.2MW。其中海曙校区平屋面可安装面积约10000平米，设计装机容量约为1.9MW；宁海校区平屋面可安装面积约7000平米，设计装机容量约为1.3MW。最终以实际装机容量为准（年平均发电量预估320万度）。</w:t>
            </w:r>
          </w:p>
        </w:tc>
        <w:tc>
          <w:tcPr>
            <w:tcW w:w="1487" w:type="dxa"/>
            <w:vAlign w:val="center"/>
          </w:tcPr>
          <w:p w14:paraId="732362A0">
            <w:pPr>
              <w:pageBreakBefore w:val="0"/>
              <w:kinsoku/>
              <w:overflowPunct/>
              <w:topLinePunct w:val="0"/>
              <w:bidi w:val="0"/>
              <w:spacing w:after="0"/>
              <w:ind w:firstLine="0" w:firstLineChars="0"/>
              <w:jc w:val="center"/>
              <w:rPr>
                <w:rFonts w:hint="eastAsia" w:cs="宋体"/>
                <w:bCs/>
                <w:color w:val="36363D"/>
                <w:kern w:val="0"/>
              </w:rPr>
            </w:pPr>
            <w:bookmarkStart w:id="9" w:name="_Hlk197418533"/>
            <w:r>
              <w:rPr>
                <w:rFonts w:hint="eastAsia" w:cs="宋体"/>
                <w:bCs/>
                <w:color w:val="36363D"/>
                <w:kern w:val="0"/>
              </w:rPr>
              <w:t>采用20+5年模式，首次合同签署20年，考核合格后再续签5年；</w:t>
            </w:r>
            <w:bookmarkEnd w:id="9"/>
          </w:p>
        </w:tc>
      </w:tr>
    </w:tbl>
    <w:p w14:paraId="E9ACDEF7">
      <w:pPr>
        <w:pageBreakBefore w:val="0"/>
        <w:numPr>
          <w:ilvl w:val="0"/>
          <w:numId w:val="5"/>
        </w:numPr>
        <w:kinsoku/>
        <w:overflowPunct/>
        <w:topLinePunct w:val="0"/>
        <w:bidi w:val="0"/>
        <w:snapToGrid w:val="0"/>
        <w:spacing w:after="0"/>
        <w:ind w:firstLine="0" w:firstLineChars="0"/>
        <w:rPr>
          <w:rStyle w:val="46"/>
          <w:rFonts w:hint="eastAsia" w:ascii="宋体" w:hAnsi="宋体" w:cs="宋体"/>
          <w:b w:val="0"/>
          <w:bCs/>
          <w:color w:val="36363D"/>
        </w:rPr>
      </w:pPr>
      <w:bookmarkStart w:id="10" w:name="_Toc24393"/>
      <w:r>
        <w:rPr>
          <w:rStyle w:val="46"/>
          <w:rFonts w:hint="eastAsia" w:ascii="宋体" w:hAnsi="宋体" w:cs="宋体"/>
          <w:b w:val="0"/>
          <w:bCs/>
          <w:color w:val="36363D"/>
        </w:rPr>
        <w:t>投标人资格要求:</w:t>
      </w:r>
      <w:bookmarkEnd w:id="10"/>
    </w:p>
    <w:p w14:paraId="254647A2">
      <w:pPr>
        <w:pageBreakBefore w:val="0"/>
        <w:kinsoku/>
        <w:overflowPunct/>
        <w:topLinePunct w:val="0"/>
        <w:bidi w:val="0"/>
        <w:spacing w:after="0"/>
        <w:ind w:firstLine="480"/>
        <w:jc w:val="left"/>
        <w:rPr>
          <w:rFonts w:hint="eastAsia" w:cs="宋体"/>
          <w:bCs/>
          <w:color w:val="36363D"/>
          <w:kern w:val="0"/>
        </w:rPr>
      </w:pPr>
      <w:r>
        <w:rPr>
          <w:rFonts w:hint="eastAsia" w:cs="宋体"/>
          <w:bCs/>
          <w:color w:val="36363D"/>
          <w:kern w:val="0"/>
        </w:rPr>
        <w:t>1.满足《中华人民共和国政府采购法》第二十二条规定；</w:t>
      </w:r>
    </w:p>
    <w:p w14:paraId="F3D5B2F1">
      <w:pPr>
        <w:pageBreakBefore w:val="0"/>
        <w:kinsoku/>
        <w:overflowPunct/>
        <w:topLinePunct w:val="0"/>
        <w:bidi w:val="0"/>
        <w:spacing w:after="0"/>
        <w:ind w:firstLine="480"/>
        <w:jc w:val="left"/>
        <w:rPr>
          <w:rFonts w:hint="eastAsia" w:cs="宋体"/>
          <w:bCs/>
          <w:color w:val="36363D"/>
          <w:kern w:val="0"/>
        </w:rPr>
      </w:pPr>
      <w:r>
        <w:rPr>
          <w:rFonts w:hint="eastAsia" w:cs="宋体"/>
          <w:bCs/>
          <w:color w:val="36363D"/>
          <w:kern w:val="0"/>
        </w:rPr>
        <w:t>2.投标人（包括子公司）须具有电力工程施工总承包三级及以上且承装修试五级及以上资质，并具有有效的安全生产许可证；项目中标后，中标公司根据要求与学院签订合作协议，为响应当地政府对新能源的要求须在当地成立全资项目公司用于备案、后期项目运维、电费结算。</w:t>
      </w:r>
    </w:p>
    <w:p w14:paraId="D438F86A">
      <w:pPr>
        <w:pageBreakBefore w:val="0"/>
        <w:kinsoku/>
        <w:overflowPunct/>
        <w:topLinePunct w:val="0"/>
        <w:bidi w:val="0"/>
        <w:spacing w:after="0"/>
        <w:ind w:firstLine="480"/>
        <w:jc w:val="left"/>
        <w:rPr>
          <w:rFonts w:hint="eastAsia" w:cs="宋体"/>
          <w:bCs/>
          <w:color w:val="36363D"/>
          <w:kern w:val="0"/>
        </w:rPr>
      </w:pPr>
      <w:r>
        <w:rPr>
          <w:rFonts w:hint="eastAsia" w:cs="宋体"/>
          <w:bCs/>
          <w:color w:val="36363D"/>
          <w:kern w:val="0"/>
        </w:rPr>
        <w:t>3.业绩要求：2021年1月1日以来投标人（包括子公司）承接过单体装机容量达到5兆瓦以上分布式光伏EPC总承包项目2个。</w:t>
      </w:r>
    </w:p>
    <w:p w14:paraId="1EE08873">
      <w:pPr>
        <w:pageBreakBefore w:val="0"/>
        <w:kinsoku/>
        <w:overflowPunct/>
        <w:topLinePunct w:val="0"/>
        <w:bidi w:val="0"/>
        <w:spacing w:after="0"/>
        <w:ind w:firstLine="480"/>
        <w:jc w:val="left"/>
        <w:rPr>
          <w:rFonts w:hint="eastAsia" w:cs="宋体"/>
          <w:bCs/>
          <w:color w:val="36363D"/>
          <w:kern w:val="0"/>
        </w:rPr>
      </w:pPr>
      <w:r>
        <w:rPr>
          <w:rFonts w:hint="eastAsia" w:cs="宋体"/>
          <w:bCs/>
          <w:color w:val="36363D"/>
          <w:kern w:val="0"/>
        </w:rPr>
        <w:t>注：①提供合同证明；②并网发电证明或竣工验收证明，复印件或扫描件并加盖投标人公章。（如以上证明材料未体现所要求业绩特征的，须提供项目发包人或项目所在行业主管部门出具的证明材料，否则作为无效业绩）</w:t>
      </w:r>
    </w:p>
    <w:p w14:paraId="FB34AC14">
      <w:pPr>
        <w:pageBreakBefore w:val="0"/>
        <w:kinsoku/>
        <w:overflowPunct/>
        <w:topLinePunct w:val="0"/>
        <w:bidi w:val="0"/>
        <w:spacing w:after="0"/>
        <w:ind w:firstLine="480"/>
        <w:jc w:val="left"/>
        <w:rPr>
          <w:rFonts w:hint="eastAsia" w:cs="宋体"/>
          <w:bCs/>
          <w:color w:val="36363D"/>
          <w:kern w:val="0"/>
        </w:rPr>
      </w:pPr>
      <w:r>
        <w:rPr>
          <w:rFonts w:hint="eastAsia" w:cs="宋体"/>
          <w:bCs/>
          <w:color w:val="36363D"/>
          <w:kern w:val="0"/>
        </w:rPr>
        <w:t>4.项目经理要求:具有二级及以上建造师执业资格注册证书(机电工程专业)、有效的安全生产考核合格证(B类)、至少具有1个4MWp及以上光伏EPC总承包项目经理的经验。</w:t>
      </w:r>
    </w:p>
    <w:p w14:paraId="99260F33">
      <w:pPr>
        <w:pageBreakBefore w:val="0"/>
        <w:kinsoku/>
        <w:overflowPunct/>
        <w:topLinePunct w:val="0"/>
        <w:bidi w:val="0"/>
        <w:spacing w:after="0"/>
        <w:ind w:firstLine="480"/>
        <w:jc w:val="left"/>
        <w:rPr>
          <w:rFonts w:hint="eastAsia" w:cs="宋体"/>
          <w:bCs/>
          <w:color w:val="36363D"/>
          <w:kern w:val="0"/>
        </w:rPr>
      </w:pPr>
      <w:r>
        <w:rPr>
          <w:rFonts w:hint="eastAsia" w:cs="宋体"/>
          <w:bCs/>
          <w:color w:val="36363D"/>
          <w:kern w:val="0"/>
        </w:rPr>
        <w:t>5.安全负责人要求：具有有效的安全生产考核合格证(C 类)。</w:t>
      </w:r>
    </w:p>
    <w:p w14:paraId="C9E8453B">
      <w:pPr>
        <w:pageBreakBefore w:val="0"/>
        <w:kinsoku/>
        <w:overflowPunct/>
        <w:topLinePunct w:val="0"/>
        <w:bidi w:val="0"/>
        <w:spacing w:after="0"/>
        <w:ind w:firstLine="480"/>
        <w:jc w:val="left"/>
        <w:rPr>
          <w:rFonts w:hint="eastAsia" w:cs="宋体"/>
          <w:bCs/>
          <w:color w:val="36363D"/>
          <w:kern w:val="0"/>
        </w:rPr>
      </w:pPr>
      <w:r>
        <w:rPr>
          <w:rFonts w:hint="eastAsia" w:cs="宋体"/>
          <w:bCs/>
          <w:color w:val="36363D"/>
          <w:kern w:val="0"/>
        </w:rPr>
        <w:t>6.未被“信用中国”（www.creditchina.gov.cn）、中国政府采购网（www.ccgp.gov.cn）列入失信被执行人、重大税收违法案件当事人名单、政府采购严重违法失信行为记录名单。</w:t>
      </w:r>
    </w:p>
    <w:p w14:paraId="22931F83">
      <w:pPr>
        <w:pageBreakBefore w:val="0"/>
        <w:kinsoku/>
        <w:overflowPunct/>
        <w:topLinePunct w:val="0"/>
        <w:bidi w:val="0"/>
        <w:spacing w:after="0"/>
        <w:ind w:firstLine="480"/>
        <w:jc w:val="left"/>
        <w:rPr>
          <w:rFonts w:hint="eastAsia" w:cs="宋体"/>
          <w:bCs/>
          <w:color w:val="36363D"/>
          <w:kern w:val="0"/>
        </w:rPr>
      </w:pPr>
      <w:r>
        <w:rPr>
          <w:rFonts w:hint="eastAsia" w:cs="宋体"/>
          <w:bCs/>
          <w:color w:val="36363D"/>
          <w:kern w:val="0"/>
        </w:rPr>
        <w:t>7.本项目不接受联合体投标。</w:t>
      </w:r>
    </w:p>
    <w:p w14:paraId="757103A9">
      <w:pPr>
        <w:pageBreakBefore w:val="0"/>
        <w:numPr>
          <w:ilvl w:val="0"/>
          <w:numId w:val="5"/>
        </w:numPr>
        <w:kinsoku/>
        <w:overflowPunct/>
        <w:topLinePunct w:val="0"/>
        <w:bidi w:val="0"/>
        <w:snapToGrid w:val="0"/>
        <w:spacing w:after="0"/>
        <w:ind w:firstLine="0" w:firstLineChars="0"/>
        <w:rPr>
          <w:rStyle w:val="46"/>
          <w:rFonts w:hint="eastAsia" w:ascii="宋体" w:hAnsi="宋体" w:cs="宋体"/>
          <w:b w:val="0"/>
          <w:bCs/>
          <w:color w:val="36363D"/>
        </w:rPr>
      </w:pPr>
      <w:r>
        <w:rPr>
          <w:rStyle w:val="46"/>
          <w:rFonts w:hint="eastAsia" w:ascii="宋体" w:hAnsi="宋体" w:cs="宋体"/>
          <w:b w:val="0"/>
          <w:bCs/>
          <w:color w:val="36363D"/>
        </w:rPr>
        <w:t>获取招标文件的时间期限、地点、方式及招标文件售价</w:t>
      </w:r>
    </w:p>
    <w:p w14:paraId="9B696A23">
      <w:pPr>
        <w:pStyle w:val="39"/>
        <w:pageBreakBefore w:val="0"/>
        <w:kinsoku/>
        <w:overflowPunct/>
        <w:topLinePunct w:val="0"/>
        <w:bidi w:val="0"/>
        <w:spacing w:before="0" w:beforeAutospacing="0" w:after="0" w:afterAutospacing="0" w:line="360" w:lineRule="auto"/>
        <w:ind w:firstLine="480" w:firstLineChars="200"/>
        <w:rPr>
          <w:rStyle w:val="46"/>
          <w:rFonts w:hint="eastAsia" w:ascii="宋体" w:hAnsi="宋体" w:cs="宋体"/>
          <w:b w:val="0"/>
          <w:bCs/>
          <w:color w:val="36363D"/>
        </w:rPr>
      </w:pPr>
      <w:r>
        <w:rPr>
          <w:rStyle w:val="46"/>
          <w:rFonts w:hint="eastAsia" w:ascii="宋体" w:hAnsi="宋体" w:cs="宋体"/>
          <w:b w:val="0"/>
          <w:bCs/>
          <w:color w:val="36363D"/>
        </w:rPr>
        <w:t>1.时间期限：202</w:t>
      </w:r>
      <w:r>
        <w:rPr>
          <w:rStyle w:val="46"/>
          <w:rFonts w:hint="eastAsia" w:cs="宋体"/>
          <w:b w:val="0"/>
          <w:bCs/>
          <w:color w:val="36363D"/>
        </w:rPr>
        <w:t>5</w:t>
      </w:r>
      <w:r>
        <w:rPr>
          <w:rStyle w:val="46"/>
          <w:rFonts w:hint="eastAsia" w:ascii="宋体" w:hAnsi="宋体" w:cs="宋体"/>
          <w:b w:val="0"/>
          <w:bCs/>
          <w:color w:val="36363D"/>
        </w:rPr>
        <w:t>年</w:t>
      </w:r>
      <w:r>
        <w:rPr>
          <w:rStyle w:val="46"/>
          <w:rFonts w:hint="default" w:ascii="宋体" w:hAnsi="宋体" w:cs="宋体"/>
          <w:b w:val="0"/>
          <w:bCs/>
          <w:color w:val="36363D"/>
          <w:lang w:val="en-US"/>
        </w:rPr>
        <w:t>5</w:t>
      </w:r>
      <w:r>
        <w:rPr>
          <w:rStyle w:val="46"/>
          <w:rFonts w:hint="eastAsia" w:ascii="宋体" w:hAnsi="宋体" w:cs="宋体"/>
          <w:b w:val="0"/>
          <w:bCs/>
          <w:color w:val="36363D"/>
        </w:rPr>
        <w:t>月</w:t>
      </w:r>
      <w:r>
        <w:rPr>
          <w:rStyle w:val="46"/>
          <w:rFonts w:hint="eastAsia" w:cs="宋体"/>
          <w:b w:val="0"/>
          <w:bCs/>
          <w:color w:val="36363D"/>
        </w:rPr>
        <w:t>2</w:t>
      </w:r>
      <w:r>
        <w:rPr>
          <w:rStyle w:val="46"/>
          <w:rFonts w:hint="default" w:cs="宋体"/>
          <w:b w:val="0"/>
          <w:bCs/>
          <w:color w:val="36363D"/>
          <w:lang w:val="en-US"/>
        </w:rPr>
        <w:t>3</w:t>
      </w:r>
      <w:r>
        <w:rPr>
          <w:rStyle w:val="46"/>
          <w:rFonts w:hint="eastAsia" w:ascii="宋体" w:hAnsi="宋体" w:cs="宋体"/>
          <w:b w:val="0"/>
          <w:bCs/>
          <w:color w:val="36363D"/>
        </w:rPr>
        <w:t>日至2025年</w:t>
      </w:r>
      <w:r>
        <w:rPr>
          <w:rStyle w:val="46"/>
          <w:rFonts w:hint="default" w:ascii="宋体" w:hAnsi="宋体" w:cs="宋体"/>
          <w:b w:val="0"/>
          <w:bCs/>
          <w:color w:val="36363D"/>
          <w:lang w:val="en-US"/>
        </w:rPr>
        <w:t>6</w:t>
      </w:r>
      <w:r>
        <w:rPr>
          <w:rStyle w:val="46"/>
          <w:rFonts w:hint="eastAsia" w:ascii="宋体" w:hAnsi="宋体" w:cs="宋体"/>
          <w:b w:val="0"/>
          <w:bCs/>
          <w:color w:val="36363D"/>
        </w:rPr>
        <w:t>月</w:t>
      </w:r>
      <w:r>
        <w:rPr>
          <w:rStyle w:val="46"/>
          <w:rFonts w:hint="eastAsia" w:cs="宋体"/>
          <w:b w:val="0"/>
          <w:bCs/>
          <w:color w:val="36363D"/>
        </w:rPr>
        <w:t>1</w:t>
      </w:r>
      <w:r>
        <w:rPr>
          <w:rStyle w:val="46"/>
          <w:rFonts w:hint="default" w:cs="宋体"/>
          <w:b w:val="0"/>
          <w:bCs/>
          <w:color w:val="36363D"/>
          <w:lang w:val="en-US"/>
        </w:rPr>
        <w:t>0</w:t>
      </w:r>
      <w:r>
        <w:rPr>
          <w:rStyle w:val="46"/>
          <w:rFonts w:hint="eastAsia" w:ascii="宋体" w:hAnsi="宋体" w:cs="宋体"/>
          <w:b w:val="0"/>
          <w:bCs/>
          <w:color w:val="36363D"/>
        </w:rPr>
        <w:t>日（双休日及法定节假日除外）（上午：09:00-11:30；下午：13:30-16:30）（北京时间）。</w:t>
      </w:r>
    </w:p>
    <w:p w14:paraId="30BE75DE">
      <w:pPr>
        <w:pStyle w:val="39"/>
        <w:pageBreakBefore w:val="0"/>
        <w:kinsoku/>
        <w:overflowPunct/>
        <w:topLinePunct w:val="0"/>
        <w:bidi w:val="0"/>
        <w:spacing w:before="0" w:beforeAutospacing="0" w:after="0" w:afterAutospacing="0" w:line="360" w:lineRule="auto"/>
        <w:ind w:firstLine="480" w:firstLineChars="200"/>
        <w:rPr>
          <w:rStyle w:val="46"/>
          <w:rFonts w:hint="eastAsia" w:ascii="宋体" w:hAnsi="宋体" w:cs="宋体"/>
          <w:b w:val="0"/>
          <w:bCs/>
          <w:color w:val="36363D"/>
        </w:rPr>
      </w:pPr>
      <w:r>
        <w:rPr>
          <w:rStyle w:val="46"/>
          <w:rFonts w:hint="eastAsia" w:ascii="宋体" w:hAnsi="宋体" w:cs="宋体"/>
          <w:b w:val="0"/>
          <w:bCs/>
          <w:color w:val="36363D"/>
        </w:rPr>
        <w:t>2.报名方式：</w:t>
      </w:r>
    </w:p>
    <w:p w14:paraId="925C0322">
      <w:pPr>
        <w:pStyle w:val="39"/>
        <w:pageBreakBefore w:val="0"/>
        <w:kinsoku/>
        <w:overflowPunct/>
        <w:topLinePunct w:val="0"/>
        <w:bidi w:val="0"/>
        <w:spacing w:before="0" w:beforeAutospacing="0" w:after="0" w:afterAutospacing="0" w:line="360" w:lineRule="auto"/>
        <w:ind w:firstLine="480" w:firstLineChars="200"/>
        <w:rPr>
          <w:rStyle w:val="46"/>
          <w:rFonts w:hint="eastAsia" w:ascii="宋体" w:hAnsi="宋体" w:cs="宋体"/>
          <w:b w:val="0"/>
          <w:bCs/>
          <w:color w:val="36363D"/>
        </w:rPr>
      </w:pPr>
      <w:r>
        <w:rPr>
          <w:rStyle w:val="46"/>
          <w:rFonts w:hint="eastAsia" w:ascii="宋体" w:hAnsi="宋体" w:cs="宋体"/>
          <w:b w:val="0"/>
          <w:bCs/>
          <w:color w:val="36363D"/>
        </w:rPr>
        <w:t>（1）线上获取文件：采取“微信公众号”报名：关注“浙江致信招标代理有限公司”企业公众号，按照操作提示步骤输入信息，并上传有效营业执照副本、缴费截图等资料进行报名。</w:t>
      </w:r>
    </w:p>
    <w:p w14:paraId="24B7E60B">
      <w:pPr>
        <w:pStyle w:val="39"/>
        <w:pageBreakBefore w:val="0"/>
        <w:kinsoku/>
        <w:overflowPunct/>
        <w:topLinePunct w:val="0"/>
        <w:bidi w:val="0"/>
        <w:spacing w:before="0" w:beforeAutospacing="0" w:after="0" w:afterAutospacing="0" w:line="360" w:lineRule="auto"/>
        <w:ind w:firstLine="480" w:firstLineChars="200"/>
        <w:rPr>
          <w:rStyle w:val="46"/>
          <w:rFonts w:hint="eastAsia" w:ascii="宋体" w:hAnsi="宋体" w:cs="宋体"/>
          <w:b w:val="0"/>
          <w:bCs/>
          <w:color w:val="36363D"/>
        </w:rPr>
      </w:pPr>
      <w:r>
        <w:rPr>
          <w:rStyle w:val="46"/>
          <w:rFonts w:hint="eastAsia" w:ascii="宋体" w:hAnsi="宋体" w:cs="宋体"/>
          <w:b w:val="0"/>
          <w:bCs/>
          <w:color w:val="36363D"/>
        </w:rPr>
        <w:t>获取文件联系人：张老师  联系方式：18067105009</w:t>
      </w:r>
    </w:p>
    <w:p w14:paraId="CF958B04">
      <w:pPr>
        <w:pStyle w:val="39"/>
        <w:pageBreakBefore w:val="0"/>
        <w:kinsoku/>
        <w:overflowPunct/>
        <w:topLinePunct w:val="0"/>
        <w:bidi w:val="0"/>
        <w:spacing w:before="0" w:beforeAutospacing="0" w:after="0" w:afterAutospacing="0" w:line="360" w:lineRule="auto"/>
        <w:ind w:firstLine="480" w:firstLineChars="200"/>
        <w:rPr>
          <w:rStyle w:val="46"/>
          <w:rFonts w:hint="eastAsia" w:ascii="宋体" w:hAnsi="宋体" w:cs="宋体"/>
          <w:b w:val="0"/>
          <w:bCs/>
          <w:color w:val="36363D"/>
        </w:rPr>
      </w:pPr>
      <w:r>
        <w:rPr>
          <w:rStyle w:val="46"/>
          <w:rFonts w:hint="eastAsia" w:ascii="宋体" w:hAnsi="宋体" w:cs="宋体"/>
          <w:b w:val="0"/>
          <w:bCs/>
          <w:color w:val="36363D"/>
        </w:rPr>
        <w:t>（2）提示：投标人未按上述方式获取的磋商文件与采购代理机构发布的招标文件不一致的，由其自行承担由此产生的后果。</w:t>
      </w:r>
    </w:p>
    <w:p w14:paraId="2AA41E48">
      <w:pPr>
        <w:pStyle w:val="39"/>
        <w:pageBreakBefore w:val="0"/>
        <w:kinsoku/>
        <w:overflowPunct/>
        <w:topLinePunct w:val="0"/>
        <w:bidi w:val="0"/>
        <w:spacing w:before="0" w:beforeAutospacing="0" w:after="0" w:afterAutospacing="0" w:line="360" w:lineRule="auto"/>
        <w:ind w:firstLine="480" w:firstLineChars="200"/>
        <w:rPr>
          <w:rStyle w:val="46"/>
          <w:rFonts w:hint="eastAsia" w:ascii="宋体" w:hAnsi="宋体" w:cs="宋体"/>
          <w:b w:val="0"/>
          <w:bCs/>
          <w:color w:val="36363D"/>
        </w:rPr>
      </w:pPr>
      <w:r>
        <w:rPr>
          <w:rStyle w:val="46"/>
          <w:rFonts w:hint="eastAsia" w:ascii="宋体" w:hAnsi="宋体" w:cs="宋体"/>
          <w:b w:val="0"/>
          <w:bCs/>
          <w:color w:val="36363D"/>
        </w:rPr>
        <w:t>3.招标文件售价：</w:t>
      </w:r>
      <w:r>
        <w:rPr>
          <w:rStyle w:val="46"/>
          <w:rFonts w:hint="eastAsia" w:ascii="宋体" w:hAnsi="宋体" w:cs="宋体"/>
          <w:b w:val="0"/>
          <w:bCs/>
          <w:color w:val="36363D"/>
          <w:u w:val="single"/>
        </w:rPr>
        <w:t xml:space="preserve"> 500元 </w:t>
      </w:r>
      <w:r>
        <w:rPr>
          <w:rStyle w:val="46"/>
          <w:rFonts w:hint="eastAsia" w:ascii="宋体" w:hAnsi="宋体" w:cs="宋体"/>
          <w:b w:val="0"/>
          <w:bCs/>
          <w:color w:val="36363D"/>
        </w:rPr>
        <w:t>（售后不退）</w:t>
      </w:r>
    </w:p>
    <w:p w14:paraId="378B8DB1">
      <w:pPr>
        <w:pageBreakBefore w:val="0"/>
        <w:numPr>
          <w:ilvl w:val="0"/>
          <w:numId w:val="5"/>
        </w:numPr>
        <w:kinsoku/>
        <w:overflowPunct/>
        <w:topLinePunct w:val="0"/>
        <w:bidi w:val="0"/>
        <w:snapToGrid w:val="0"/>
        <w:spacing w:after="0"/>
        <w:ind w:firstLine="0" w:firstLineChars="0"/>
        <w:rPr>
          <w:rStyle w:val="46"/>
          <w:rFonts w:hint="eastAsia" w:ascii="宋体" w:hAnsi="宋体" w:cs="宋体"/>
          <w:b w:val="0"/>
          <w:bCs/>
          <w:color w:val="36363D"/>
        </w:rPr>
      </w:pPr>
      <w:r>
        <w:rPr>
          <w:rStyle w:val="46"/>
          <w:rFonts w:hint="eastAsia" w:ascii="宋体" w:hAnsi="宋体" w:cs="宋体"/>
          <w:b w:val="0"/>
          <w:bCs/>
          <w:color w:val="36363D"/>
        </w:rPr>
        <w:t>本项目招标文件公告期限为：自本公告发布之日起五个工作日。</w:t>
      </w:r>
    </w:p>
    <w:p w14:paraId="138D96C1">
      <w:pPr>
        <w:pageBreakBefore w:val="0"/>
        <w:numPr>
          <w:ilvl w:val="0"/>
          <w:numId w:val="5"/>
        </w:numPr>
        <w:kinsoku/>
        <w:overflowPunct/>
        <w:topLinePunct w:val="0"/>
        <w:bidi w:val="0"/>
        <w:snapToGrid w:val="0"/>
        <w:spacing w:after="0"/>
        <w:ind w:firstLine="0" w:firstLineChars="0"/>
        <w:rPr>
          <w:rStyle w:val="46"/>
          <w:rFonts w:hint="eastAsia" w:ascii="宋体" w:hAnsi="宋体" w:cs="宋体"/>
          <w:b w:val="0"/>
          <w:bCs/>
          <w:color w:val="36363D"/>
        </w:rPr>
      </w:pPr>
      <w:bookmarkStart w:id="11" w:name="_Toc1080"/>
      <w:r>
        <w:rPr>
          <w:rStyle w:val="46"/>
          <w:rFonts w:hint="eastAsia" w:ascii="宋体" w:hAnsi="宋体" w:cs="宋体"/>
          <w:b w:val="0"/>
          <w:bCs/>
          <w:color w:val="36363D"/>
        </w:rPr>
        <w:t>投标文件提交截止时间、开标时间及地点</w:t>
      </w:r>
      <w:bookmarkEnd w:id="11"/>
    </w:p>
    <w:p w14:paraId="ACC46F70">
      <w:pPr>
        <w:pageBreakBefore w:val="0"/>
        <w:kinsoku/>
        <w:overflowPunct/>
        <w:topLinePunct w:val="0"/>
        <w:bidi w:val="0"/>
        <w:spacing w:after="0"/>
        <w:ind w:firstLine="480"/>
        <w:rPr>
          <w:rFonts w:hint="eastAsia" w:cs="宋体"/>
          <w:bCs/>
          <w:color w:val="36363D"/>
        </w:rPr>
      </w:pPr>
      <w:bookmarkStart w:id="12" w:name="_Toc2231"/>
      <w:r>
        <w:rPr>
          <w:rFonts w:hint="eastAsia" w:cs="宋体"/>
          <w:bCs/>
          <w:color w:val="36363D"/>
        </w:rPr>
        <w:t>1.提交截止时间：</w:t>
      </w:r>
      <w:r>
        <w:rPr>
          <w:rFonts w:hint="eastAsia" w:cs="宋体"/>
          <w:bCs/>
          <w:color w:val="36363D"/>
          <w:u w:val="single"/>
        </w:rPr>
        <w:t>2025年</w:t>
      </w:r>
      <w:r>
        <w:rPr>
          <w:rFonts w:hint="default" w:cs="宋体"/>
          <w:bCs/>
          <w:color w:val="36363D"/>
          <w:u w:val="single"/>
          <w:lang w:val="en-US"/>
        </w:rPr>
        <w:t>6</w:t>
      </w:r>
      <w:r>
        <w:rPr>
          <w:rFonts w:hint="eastAsia" w:cs="宋体"/>
          <w:bCs/>
          <w:color w:val="36363D"/>
          <w:u w:val="single"/>
        </w:rPr>
        <w:t>月</w:t>
      </w:r>
      <w:r>
        <w:rPr>
          <w:rFonts w:hint="default" w:cs="宋体"/>
          <w:bCs/>
          <w:color w:val="36363D"/>
          <w:u w:val="single"/>
          <w:lang w:val="en-US"/>
        </w:rPr>
        <w:t>12</w:t>
      </w:r>
      <w:r>
        <w:rPr>
          <w:rFonts w:hint="eastAsia" w:cs="宋体"/>
          <w:bCs/>
          <w:color w:val="36363D"/>
          <w:u w:val="single"/>
        </w:rPr>
        <w:t>日</w:t>
      </w:r>
      <w:r>
        <w:rPr>
          <w:rFonts w:hint="default" w:cs="宋体"/>
          <w:bCs/>
          <w:color w:val="36363D"/>
          <w:u w:val="single"/>
          <w:lang w:val="en-US"/>
        </w:rPr>
        <w:t>13</w:t>
      </w:r>
      <w:r>
        <w:rPr>
          <w:rFonts w:hint="eastAsia" w:cs="宋体"/>
          <w:bCs/>
          <w:color w:val="36363D"/>
          <w:u w:val="single"/>
        </w:rPr>
        <w:t xml:space="preserve">:30 </w:t>
      </w:r>
      <w:r>
        <w:rPr>
          <w:rFonts w:hint="eastAsia" w:cs="宋体"/>
          <w:bCs/>
          <w:color w:val="36363D"/>
        </w:rPr>
        <w:t>（北京时间）</w:t>
      </w:r>
    </w:p>
    <w:p w14:paraId="7C02C332">
      <w:pPr>
        <w:pageBreakBefore w:val="0"/>
        <w:kinsoku/>
        <w:overflowPunct/>
        <w:topLinePunct w:val="0"/>
        <w:bidi w:val="0"/>
        <w:spacing w:after="0"/>
        <w:ind w:firstLine="480"/>
        <w:rPr>
          <w:rFonts w:hint="eastAsia" w:cs="宋体"/>
          <w:bCs/>
          <w:color w:val="36363D"/>
          <w:u w:val="single"/>
        </w:rPr>
      </w:pPr>
      <w:r>
        <w:rPr>
          <w:rFonts w:hint="eastAsia" w:cs="宋体"/>
          <w:bCs/>
          <w:color w:val="36363D"/>
        </w:rPr>
        <w:t>2.提交地址：</w:t>
      </w:r>
      <w:r>
        <w:rPr>
          <w:rFonts w:hint="eastAsia" w:cs="宋体"/>
          <w:bCs/>
          <w:color w:val="36363D"/>
          <w:u w:val="single"/>
        </w:rPr>
        <w:t>宁波市翠柏路89号宁波工程学院公共培训平台大楼A座1116室</w:t>
      </w:r>
    </w:p>
    <w:p w14:paraId="65CFAFFD">
      <w:pPr>
        <w:pageBreakBefore w:val="0"/>
        <w:kinsoku/>
        <w:overflowPunct/>
        <w:topLinePunct w:val="0"/>
        <w:bidi w:val="0"/>
        <w:spacing w:after="0"/>
        <w:ind w:firstLine="480"/>
        <w:rPr>
          <w:rFonts w:hint="eastAsia" w:cs="宋体"/>
          <w:bCs/>
          <w:color w:val="36363D"/>
        </w:rPr>
      </w:pPr>
      <w:r>
        <w:rPr>
          <w:rFonts w:hint="eastAsia" w:cs="宋体"/>
          <w:bCs/>
          <w:color w:val="36363D"/>
        </w:rPr>
        <w:t>3.开标时间：</w:t>
      </w:r>
      <w:r>
        <w:rPr>
          <w:rFonts w:hint="eastAsia" w:cs="宋体"/>
          <w:bCs/>
          <w:color w:val="36363D"/>
          <w:u w:val="single"/>
        </w:rPr>
        <w:t>2025年</w:t>
      </w:r>
      <w:r>
        <w:rPr>
          <w:rFonts w:hint="default" w:cs="宋体"/>
          <w:bCs/>
          <w:color w:val="36363D"/>
          <w:u w:val="single"/>
          <w:lang w:val="en-US"/>
        </w:rPr>
        <w:t>6</w:t>
      </w:r>
      <w:r>
        <w:rPr>
          <w:rFonts w:hint="eastAsia" w:cs="宋体"/>
          <w:bCs/>
          <w:color w:val="36363D"/>
          <w:u w:val="single"/>
          <w:lang w:val="en-US" w:eastAsia="zh-CN"/>
        </w:rPr>
        <w:t xml:space="preserve"> </w:t>
      </w:r>
      <w:r>
        <w:rPr>
          <w:rFonts w:hint="eastAsia" w:cs="宋体"/>
          <w:bCs/>
          <w:color w:val="36363D"/>
          <w:u w:val="single"/>
        </w:rPr>
        <w:t>月</w:t>
      </w:r>
      <w:r>
        <w:rPr>
          <w:rFonts w:hint="default" w:cs="宋体"/>
          <w:bCs/>
          <w:color w:val="36363D"/>
          <w:u w:val="single"/>
          <w:lang w:val="en-US"/>
        </w:rPr>
        <w:t>12</w:t>
      </w:r>
      <w:r>
        <w:rPr>
          <w:rFonts w:hint="eastAsia" w:cs="宋体"/>
          <w:bCs/>
          <w:color w:val="36363D"/>
          <w:u w:val="single"/>
          <w:lang w:val="en-US" w:eastAsia="zh-CN"/>
        </w:rPr>
        <w:t xml:space="preserve"> </w:t>
      </w:r>
      <w:r>
        <w:rPr>
          <w:rFonts w:hint="eastAsia" w:cs="宋体"/>
          <w:bCs/>
          <w:color w:val="36363D"/>
          <w:u w:val="single"/>
        </w:rPr>
        <w:t>日</w:t>
      </w:r>
      <w:r>
        <w:rPr>
          <w:rFonts w:hint="default" w:cs="宋体"/>
          <w:bCs/>
          <w:color w:val="36363D"/>
          <w:u w:val="single"/>
          <w:lang w:val="en-US"/>
        </w:rPr>
        <w:t>13：</w:t>
      </w:r>
      <w:r>
        <w:rPr>
          <w:rFonts w:hint="eastAsia" w:cs="宋体"/>
          <w:bCs/>
          <w:color w:val="36363D"/>
          <w:u w:val="single"/>
        </w:rPr>
        <w:t xml:space="preserve">30  </w:t>
      </w:r>
      <w:r>
        <w:rPr>
          <w:rFonts w:hint="eastAsia" w:cs="宋体"/>
          <w:bCs/>
          <w:color w:val="36363D"/>
        </w:rPr>
        <w:t>（北京时间）</w:t>
      </w:r>
    </w:p>
    <w:p w14:paraId="1C501CAF">
      <w:pPr>
        <w:pageBreakBefore w:val="0"/>
        <w:kinsoku/>
        <w:overflowPunct/>
        <w:topLinePunct w:val="0"/>
        <w:bidi w:val="0"/>
        <w:spacing w:after="0"/>
        <w:ind w:firstLine="480"/>
        <w:rPr>
          <w:rFonts w:hint="eastAsia" w:cs="宋体"/>
          <w:bCs/>
          <w:color w:val="36363D"/>
          <w:u w:val="single"/>
        </w:rPr>
      </w:pPr>
      <w:r>
        <w:rPr>
          <w:rFonts w:hint="eastAsia" w:cs="宋体"/>
          <w:bCs/>
          <w:color w:val="36363D"/>
        </w:rPr>
        <w:t>4.开标地点：</w:t>
      </w:r>
      <w:bookmarkEnd w:id="12"/>
      <w:r>
        <w:rPr>
          <w:rFonts w:hint="eastAsia" w:cs="宋体"/>
          <w:bCs/>
          <w:color w:val="36363D"/>
          <w:u w:val="single"/>
        </w:rPr>
        <w:t>宁波市翠柏路89号宁波工程学院公共培训平台大楼A座1116室</w:t>
      </w:r>
    </w:p>
    <w:p w14:paraId="13FFC9CE">
      <w:pPr>
        <w:pageBreakBefore w:val="0"/>
        <w:numPr>
          <w:ilvl w:val="0"/>
          <w:numId w:val="5"/>
        </w:numPr>
        <w:kinsoku/>
        <w:overflowPunct/>
        <w:topLinePunct w:val="0"/>
        <w:bidi w:val="0"/>
        <w:snapToGrid w:val="0"/>
        <w:spacing w:after="0"/>
        <w:ind w:firstLine="0" w:firstLineChars="0"/>
        <w:rPr>
          <w:rStyle w:val="46"/>
          <w:rFonts w:hint="eastAsia" w:ascii="宋体" w:hAnsi="宋体" w:cs="宋体"/>
          <w:b w:val="0"/>
          <w:bCs/>
          <w:color w:val="36363D"/>
        </w:rPr>
      </w:pPr>
      <w:bookmarkStart w:id="13" w:name="_Toc6191"/>
      <w:r>
        <w:rPr>
          <w:rStyle w:val="46"/>
          <w:rFonts w:hint="eastAsia" w:ascii="宋体" w:hAnsi="宋体" w:cs="宋体"/>
          <w:b w:val="0"/>
          <w:bCs/>
          <w:color w:val="36363D"/>
        </w:rPr>
        <w:t>其他事项：</w:t>
      </w:r>
      <w:bookmarkEnd w:id="13"/>
    </w:p>
    <w:p w14:paraId="95D154E2">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招标代理机构提出质疑。</w:t>
      </w:r>
    </w:p>
    <w:p w14:paraId="D2B770AD">
      <w:pPr>
        <w:pageBreakBefore w:val="0"/>
        <w:numPr>
          <w:ilvl w:val="0"/>
          <w:numId w:val="5"/>
        </w:numPr>
        <w:kinsoku/>
        <w:overflowPunct/>
        <w:topLinePunct w:val="0"/>
        <w:bidi w:val="0"/>
        <w:snapToGrid w:val="0"/>
        <w:spacing w:after="0"/>
        <w:ind w:firstLine="0" w:firstLineChars="0"/>
        <w:rPr>
          <w:rStyle w:val="46"/>
          <w:rFonts w:hint="eastAsia" w:ascii="宋体" w:hAnsi="宋体" w:cs="宋体"/>
          <w:b w:val="0"/>
          <w:bCs/>
          <w:color w:val="36363D"/>
        </w:rPr>
      </w:pPr>
      <w:bookmarkStart w:id="14" w:name="_Toc5293"/>
      <w:r>
        <w:rPr>
          <w:rStyle w:val="46"/>
          <w:rFonts w:hint="eastAsia" w:ascii="宋体" w:hAnsi="宋体" w:cs="宋体"/>
          <w:b w:val="0"/>
          <w:bCs/>
          <w:color w:val="36363D"/>
        </w:rPr>
        <w:t>联系方式</w:t>
      </w:r>
      <w:bookmarkEnd w:id="14"/>
      <w:r>
        <w:rPr>
          <w:rStyle w:val="46"/>
          <w:rFonts w:hint="eastAsia" w:ascii="宋体" w:hAnsi="宋体" w:cs="宋体"/>
          <w:b w:val="0"/>
          <w:bCs/>
          <w:color w:val="36363D"/>
        </w:rPr>
        <w:t>：</w:t>
      </w:r>
    </w:p>
    <w:p w14:paraId="3B7A1344">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1.采购人信息</w:t>
      </w:r>
    </w:p>
    <w:p w14:paraId="4F9E92AC">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名称：浙江工商职业技术学院</w:t>
      </w:r>
    </w:p>
    <w:p w14:paraId="4F1DA672">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地址：宁波市机场路1988号</w:t>
      </w:r>
    </w:p>
    <w:p w14:paraId="697A3F13">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项目联系人（询问）：王老师</w:t>
      </w:r>
    </w:p>
    <w:p w14:paraId="9B2B544F">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联系方式（询问）：0574-87422007</w:t>
      </w:r>
    </w:p>
    <w:p w14:paraId="6A5665F6">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项目质疑联系人：陈老师</w:t>
      </w:r>
    </w:p>
    <w:p w14:paraId="1D607F40">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联系电话：0574-87422200</w:t>
      </w:r>
    </w:p>
    <w:p w14:paraId="25378868">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2.招标代理机构信息</w:t>
      </w:r>
    </w:p>
    <w:p w14:paraId="68F06669">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名称：浙江致信招标代理有限公司</w:t>
      </w:r>
    </w:p>
    <w:p w14:paraId="D3EACFA4">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地    址：宁波市翠柏路89号宁波工程学院公共培训平台大楼A座1111室</w:t>
      </w:r>
    </w:p>
    <w:p w14:paraId="DAF87AD9">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业务联系人：毛工、</w:t>
      </w:r>
      <w:r>
        <w:rPr>
          <w:rFonts w:hint="default" w:cs="宋体"/>
          <w:bCs/>
          <w:color w:val="36363D"/>
          <w:lang w:val="en-US"/>
        </w:rPr>
        <w:t>徐锦锋、俞磊、徐敬琪、张小燕、朱梅黎、沈诗佳</w:t>
      </w:r>
    </w:p>
    <w:p w14:paraId="A39CF2C0">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 xml:space="preserve">联系电话：0574-63816102      </w:t>
      </w:r>
    </w:p>
    <w:p w14:paraId="C5B73F4A">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 xml:space="preserve">质疑联系人：俞德委       </w:t>
      </w:r>
    </w:p>
    <w:p w14:paraId="7BE70DF0">
      <w:pPr>
        <w:pStyle w:val="39"/>
        <w:pageBreakBefore w:val="0"/>
        <w:kinsoku/>
        <w:overflowPunct/>
        <w:topLinePunct w:val="0"/>
        <w:bidi w:val="0"/>
        <w:spacing w:before="0" w:beforeAutospacing="0" w:after="0" w:afterAutospacing="0" w:line="360" w:lineRule="auto"/>
        <w:ind w:firstLine="480" w:firstLineChars="200"/>
        <w:rPr>
          <w:rFonts w:hint="eastAsia" w:cs="宋体"/>
          <w:bCs/>
          <w:color w:val="36363D"/>
        </w:rPr>
      </w:pPr>
      <w:r>
        <w:rPr>
          <w:rFonts w:hint="eastAsia" w:cs="宋体"/>
          <w:bCs/>
          <w:color w:val="36363D"/>
        </w:rPr>
        <w:t>联系电话：0571-88026807</w:t>
      </w:r>
    </w:p>
    <w:p w14:paraId="EDD80049">
      <w:pPr>
        <w:pageBreakBefore w:val="0"/>
        <w:kinsoku/>
        <w:overflowPunct/>
        <w:topLinePunct w:val="0"/>
        <w:bidi w:val="0"/>
        <w:snapToGrid w:val="0"/>
        <w:spacing w:after="0" w:line="480" w:lineRule="exact"/>
        <w:ind w:firstLine="482"/>
        <w:rPr>
          <w:rFonts w:hint="eastAsia" w:cs="宋体"/>
          <w:b/>
          <w:bCs/>
          <w:color w:val="36363D"/>
        </w:rPr>
      </w:pPr>
      <w:r>
        <w:rPr>
          <w:rFonts w:hint="eastAsia" w:cs="宋体"/>
          <w:b/>
          <w:bCs/>
          <w:color w:val="36363D"/>
        </w:rPr>
        <w:t>备注：请贵单位领取本项目招标文件后，认真阅读各项内容，进行必要的准备工作，按文件的要求详细填写和编制投标文件，并按以上确定的时间、地点准时参加投标。</w:t>
      </w:r>
    </w:p>
    <w:p w14:paraId="D64EFDC4">
      <w:pPr>
        <w:pStyle w:val="55"/>
        <w:pageBreakBefore w:val="0"/>
        <w:kinsoku/>
        <w:overflowPunct/>
        <w:topLinePunct w:val="0"/>
        <w:bidi w:val="0"/>
        <w:spacing w:after="0"/>
        <w:rPr>
          <w:rFonts w:hint="eastAsia" w:ascii="宋体" w:hAnsi="宋体" w:eastAsia="宋体" w:cs="宋体"/>
          <w:color w:val="36363D"/>
        </w:rPr>
      </w:pPr>
    </w:p>
    <w:p w14:paraId="87C511F3">
      <w:pPr>
        <w:pStyle w:val="55"/>
        <w:pageBreakBefore w:val="0"/>
        <w:kinsoku/>
        <w:overflowPunct/>
        <w:topLinePunct w:val="0"/>
        <w:bidi w:val="0"/>
        <w:spacing w:after="0"/>
        <w:rPr>
          <w:rFonts w:hint="eastAsia" w:ascii="宋体" w:hAnsi="宋体" w:eastAsia="宋体" w:cs="宋体"/>
          <w:color w:val="36363D"/>
        </w:rPr>
        <w:sectPr>
          <w:footerReference r:id="rId12" w:type="default"/>
          <w:pgSz w:w="11906" w:h="16838"/>
          <w:pgMar w:top="1247" w:right="1247" w:bottom="1247" w:left="1247" w:header="170" w:footer="567" w:gutter="0"/>
          <w:cols w:space="720" w:num="1"/>
          <w:docGrid w:linePitch="381" w:charSpace="0"/>
        </w:sectPr>
      </w:pPr>
    </w:p>
    <w:bookmarkEnd w:id="3"/>
    <w:p w14:paraId="FCDE6075">
      <w:pPr>
        <w:pStyle w:val="3"/>
        <w:pageBreakBefore w:val="0"/>
        <w:numPr>
          <w:ilvl w:val="0"/>
          <w:numId w:val="6"/>
        </w:numPr>
        <w:kinsoku/>
        <w:overflowPunct/>
        <w:topLinePunct w:val="0"/>
        <w:bidi w:val="0"/>
        <w:spacing w:after="0"/>
        <w:rPr>
          <w:rFonts w:hint="eastAsia" w:cs="宋体"/>
          <w:color w:val="36363D"/>
          <w:szCs w:val="32"/>
        </w:rPr>
      </w:pPr>
      <w:bookmarkStart w:id="15" w:name="_Toc15156"/>
      <w:bookmarkStart w:id="16" w:name="_Toc8514"/>
      <w:bookmarkStart w:id="17" w:name="_Toc28330"/>
      <w:bookmarkStart w:id="18" w:name="_Toc11757"/>
      <w:r>
        <w:rPr>
          <w:rFonts w:hint="eastAsia" w:cs="宋体"/>
          <w:color w:val="36363D"/>
          <w:szCs w:val="32"/>
        </w:rPr>
        <w:t>采购需求</w:t>
      </w:r>
      <w:bookmarkEnd w:id="15"/>
      <w:bookmarkEnd w:id="16"/>
      <w:bookmarkEnd w:id="17"/>
      <w:bookmarkEnd w:id="18"/>
    </w:p>
    <w:p w14:paraId="480DF8F4">
      <w:pPr>
        <w:pageBreakBefore w:val="0"/>
        <w:widowControl/>
        <w:kinsoku/>
        <w:overflowPunct/>
        <w:topLinePunct w:val="0"/>
        <w:autoSpaceDE/>
        <w:autoSpaceDN/>
        <w:bidi w:val="0"/>
        <w:spacing w:after="0" w:line="360" w:lineRule="auto"/>
        <w:ind w:right="0" w:rightChars="0" w:firstLine="482"/>
        <w:jc w:val="left"/>
        <w:textAlignment w:val="auto"/>
        <w:rPr>
          <w:rFonts w:hint="eastAsia" w:cs="宋体"/>
          <w:color w:val="36363D"/>
          <w:kern w:val="0"/>
        </w:rPr>
      </w:pPr>
      <w:bookmarkStart w:id="19" w:name="_Toc20362"/>
      <w:bookmarkStart w:id="20" w:name="_Toc5734"/>
      <w:bookmarkStart w:id="21" w:name="_Toc17984"/>
      <w:bookmarkStart w:id="22" w:name="_Toc3775"/>
      <w:r>
        <w:rPr>
          <w:rFonts w:hint="eastAsia" w:cs="宋体"/>
          <w:b/>
          <w:bCs/>
          <w:color w:val="36363D"/>
          <w:kern w:val="0"/>
        </w:rPr>
        <w:t>一、项目建设内容</w:t>
      </w:r>
    </w:p>
    <w:p w14:paraId="ED491AAF">
      <w:pPr>
        <w:pageBreakBefore w:val="0"/>
        <w:widowControl/>
        <w:kinsoku/>
        <w:overflowPunct/>
        <w:topLinePunct w:val="0"/>
        <w:autoSpaceDE/>
        <w:autoSpaceDN/>
        <w:bidi w:val="0"/>
        <w:spacing w:after="0" w:line="360" w:lineRule="auto"/>
        <w:ind w:right="0" w:rightChars="0" w:firstLine="480"/>
        <w:jc w:val="left"/>
        <w:textAlignment w:val="auto"/>
        <w:rPr>
          <w:rFonts w:hint="eastAsia" w:cs="宋体"/>
          <w:color w:val="36363D"/>
          <w:kern w:val="0"/>
        </w:rPr>
      </w:pPr>
      <w:r>
        <w:rPr>
          <w:rFonts w:hint="eastAsia" w:cs="宋体"/>
          <w:color w:val="36363D"/>
          <w:kern w:val="0"/>
        </w:rPr>
        <w:t>（一）建设规模</w:t>
      </w:r>
    </w:p>
    <w:p w14:paraId="5E05C28E">
      <w:pPr>
        <w:pageBreakBefore w:val="0"/>
        <w:widowControl/>
        <w:kinsoku/>
        <w:overflowPunct/>
        <w:topLinePunct w:val="0"/>
        <w:autoSpaceDE/>
        <w:autoSpaceDN/>
        <w:bidi w:val="0"/>
        <w:spacing w:after="0" w:line="360" w:lineRule="auto"/>
        <w:ind w:right="0" w:rightChars="0" w:firstLine="480"/>
        <w:jc w:val="left"/>
        <w:textAlignment w:val="auto"/>
        <w:rPr>
          <w:rFonts w:hint="eastAsia" w:cs="宋体"/>
          <w:color w:val="36363D"/>
          <w:kern w:val="0"/>
        </w:rPr>
      </w:pPr>
      <w:r>
        <w:rPr>
          <w:rFonts w:hint="eastAsia" w:cs="宋体"/>
          <w:color w:val="36363D"/>
          <w:kern w:val="0"/>
        </w:rPr>
        <w:t>海曙、宁海二个校区总装机容量约为3.2MW。其中海曙校区平屋面可安装面积约10000平米，设计装机容量约为1.9MW；宁海校区平屋面可安装面积约7000平米，设计装机容量约为1.3MW。最终以实际装机容量为准（年平均发电量预估3</w:t>
      </w:r>
      <w:r>
        <w:rPr>
          <w:rFonts w:hint="eastAsia" w:cs="宋体"/>
          <w:color w:val="36363D"/>
          <w:kern w:val="0"/>
          <w:lang w:val="en-US" w:eastAsia="zh-CN"/>
        </w:rPr>
        <w:t>2</w:t>
      </w:r>
      <w:r>
        <w:rPr>
          <w:rFonts w:hint="eastAsia" w:cs="宋体"/>
          <w:color w:val="36363D"/>
          <w:kern w:val="0"/>
        </w:rPr>
        <w:t>0万度）。</w:t>
      </w:r>
    </w:p>
    <w:p w14:paraId="917EF1B6">
      <w:pPr>
        <w:pageBreakBefore w:val="0"/>
        <w:widowControl/>
        <w:kinsoku/>
        <w:overflowPunct/>
        <w:topLinePunct w:val="0"/>
        <w:autoSpaceDE/>
        <w:autoSpaceDN/>
        <w:bidi w:val="0"/>
        <w:spacing w:after="0" w:line="360" w:lineRule="auto"/>
        <w:ind w:right="0" w:rightChars="0" w:firstLine="480"/>
        <w:jc w:val="left"/>
        <w:textAlignment w:val="auto"/>
        <w:rPr>
          <w:rFonts w:hint="eastAsia" w:cs="宋体"/>
          <w:color w:val="36363D"/>
          <w:kern w:val="0"/>
        </w:rPr>
      </w:pPr>
      <w:r>
        <w:rPr>
          <w:rFonts w:hint="eastAsia" w:cs="宋体"/>
          <w:color w:val="36363D"/>
          <w:kern w:val="0"/>
        </w:rPr>
        <w:t>（二）项目建设运维模式</w:t>
      </w:r>
    </w:p>
    <w:p w14:paraId="DE933D9F">
      <w:pPr>
        <w:pageBreakBefore w:val="0"/>
        <w:widowControl/>
        <w:kinsoku/>
        <w:overflowPunct/>
        <w:topLinePunct w:val="0"/>
        <w:autoSpaceDE/>
        <w:autoSpaceDN/>
        <w:bidi w:val="0"/>
        <w:spacing w:after="0" w:line="360" w:lineRule="auto"/>
        <w:ind w:right="0" w:rightChars="0" w:firstLine="480"/>
        <w:jc w:val="left"/>
        <w:textAlignment w:val="auto"/>
        <w:rPr>
          <w:rFonts w:hint="eastAsia" w:cs="宋体"/>
          <w:color w:val="36363D"/>
          <w:kern w:val="0"/>
        </w:rPr>
      </w:pPr>
      <w:r>
        <w:rPr>
          <w:rFonts w:hint="eastAsia" w:cs="宋体"/>
          <w:color w:val="36363D"/>
          <w:kern w:val="0"/>
        </w:rPr>
        <w:t>1.项目采取合同能源管理的模式，光伏发电优先供应校方，校方按合同价定期支付电费，余电上网，项目期限为25年（自光伏电站并网发电之日起开始计算，采用20+5年模式，首次合同签署20年，考核合格后再续签5年）。</w:t>
      </w:r>
    </w:p>
    <w:p w14:paraId="F699CE6C">
      <w:pPr>
        <w:pageBreakBefore w:val="0"/>
        <w:widowControl/>
        <w:kinsoku/>
        <w:overflowPunct/>
        <w:topLinePunct w:val="0"/>
        <w:autoSpaceDE/>
        <w:autoSpaceDN/>
        <w:bidi w:val="0"/>
        <w:spacing w:after="0" w:line="360" w:lineRule="auto"/>
        <w:ind w:right="0" w:rightChars="0" w:firstLine="480"/>
        <w:jc w:val="left"/>
        <w:textAlignment w:val="auto"/>
        <w:rPr>
          <w:rFonts w:hint="eastAsia" w:cs="宋体"/>
          <w:color w:val="36363D"/>
          <w:kern w:val="0"/>
        </w:rPr>
      </w:pPr>
      <w:r>
        <w:rPr>
          <w:rFonts w:hint="eastAsia" w:cs="宋体"/>
          <w:color w:val="36363D"/>
          <w:kern w:val="0"/>
        </w:rPr>
        <w:t>2.所有光伏设备的采购、施工安装、运行调试、相关备案审批及并网验收手续、后续日常的运维及设备更换等全部由中标单位负责并承担相关费用；所投入的资产产权在合同期结束后归属学校；合作期限内，以校方为主体利用项目获取的一切奖励和补贴及其他权益均归校方享有；以中标人为主体利用项目获取的一切奖励和补贴及其他权益均归中标人享有，其中本项目中给予提供光伏电站建设屋顶的企业产生的补贴（如有），归校方所有。</w:t>
      </w:r>
    </w:p>
    <w:p w14:paraId="2B1A1CD4">
      <w:pPr>
        <w:pageBreakBefore w:val="0"/>
        <w:widowControl/>
        <w:kinsoku/>
        <w:overflowPunct/>
        <w:topLinePunct w:val="0"/>
        <w:autoSpaceDE/>
        <w:autoSpaceDN/>
        <w:bidi w:val="0"/>
        <w:spacing w:after="0" w:line="360" w:lineRule="auto"/>
        <w:ind w:right="0" w:rightChars="0" w:firstLine="480"/>
        <w:jc w:val="left"/>
        <w:textAlignment w:val="auto"/>
        <w:rPr>
          <w:rFonts w:hint="eastAsia" w:cs="宋体"/>
          <w:color w:val="36363D"/>
          <w:kern w:val="0"/>
        </w:rPr>
      </w:pPr>
      <w:r>
        <w:rPr>
          <w:rFonts w:hint="eastAsia" w:cs="宋体"/>
          <w:color w:val="36363D"/>
          <w:kern w:val="0"/>
        </w:rPr>
        <w:t>3.本项目光伏电价：校方享有电价优惠收益，供应商在合同期内以政府供电电费单价作为基准向采购人提供折扣电价的优惠折扣率（折扣率需≤93%），即向采购人收取的电价=政府（供电公司）供电基准电价（以结算日实际基准电价为准）×中标费率,最终以固定单价签订合作协议，方便后期结算，投标报价包括供应商投资、建设、运营、管理、维护以及过程中发生的所有项目所需费用。</w:t>
      </w:r>
    </w:p>
    <w:p w14:paraId="54BC96DB">
      <w:pPr>
        <w:pageBreakBefore w:val="0"/>
        <w:widowControl/>
        <w:kinsoku/>
        <w:overflowPunct/>
        <w:topLinePunct w:val="0"/>
        <w:autoSpaceDE/>
        <w:autoSpaceDN/>
        <w:bidi w:val="0"/>
        <w:spacing w:after="0" w:line="360" w:lineRule="auto"/>
        <w:ind w:right="0" w:rightChars="0" w:firstLine="480"/>
        <w:jc w:val="left"/>
        <w:textAlignment w:val="auto"/>
        <w:rPr>
          <w:rFonts w:hint="eastAsia" w:cs="宋体"/>
          <w:color w:val="36363D"/>
          <w:kern w:val="0"/>
        </w:rPr>
      </w:pPr>
      <w:r>
        <w:rPr>
          <w:rFonts w:hint="eastAsia" w:cs="宋体"/>
          <w:color w:val="36363D"/>
          <w:kern w:val="0"/>
        </w:rPr>
        <w:t>（三）项目附加条件</w:t>
      </w:r>
    </w:p>
    <w:p w14:paraId="BCA28BB9">
      <w:pPr>
        <w:pageBreakBefore w:val="0"/>
        <w:widowControl/>
        <w:kinsoku/>
        <w:overflowPunct/>
        <w:topLinePunct w:val="0"/>
        <w:autoSpaceDE/>
        <w:autoSpaceDN/>
        <w:bidi w:val="0"/>
        <w:spacing w:after="0" w:line="360" w:lineRule="auto"/>
        <w:ind w:right="0" w:rightChars="0" w:firstLine="480"/>
        <w:jc w:val="left"/>
        <w:textAlignment w:val="auto"/>
        <w:rPr>
          <w:rFonts w:hint="eastAsia" w:cs="宋体"/>
          <w:color w:val="36363D"/>
          <w:kern w:val="0"/>
        </w:rPr>
      </w:pPr>
      <w:r>
        <w:rPr>
          <w:rFonts w:hint="eastAsia" w:cs="宋体"/>
          <w:color w:val="36363D"/>
          <w:kern w:val="0"/>
        </w:rPr>
        <w:t>1.中标单位需承担所有学生宿舍屋面渗漏维修处理。即针对两个校区（包含海曙校区、宁海校区）范围内的学生宿舍房屋屋面进行防水翻新，或采用新技术达到屋面防水的效果，维修费用投入不低于150万元。投入使用后，有安装光伏区域的楼幢如发生渗漏水，合同期内由中标单位负责维修处理并承担相关费用；无安装光伏区域的楼幢如发生渗漏水，中标单位负责五年内渗漏免费处理。</w:t>
      </w:r>
    </w:p>
    <w:p w14:paraId="97C667DE">
      <w:pPr>
        <w:pageBreakBefore w:val="0"/>
        <w:widowControl/>
        <w:kinsoku/>
        <w:overflowPunct/>
        <w:topLinePunct w:val="0"/>
        <w:autoSpaceDE/>
        <w:autoSpaceDN/>
        <w:bidi w:val="0"/>
        <w:spacing w:after="0" w:line="360" w:lineRule="auto"/>
        <w:ind w:right="0" w:rightChars="0" w:firstLine="480"/>
        <w:jc w:val="left"/>
        <w:textAlignment w:val="auto"/>
        <w:rPr>
          <w:rFonts w:hint="eastAsia" w:cs="宋体"/>
          <w:color w:val="36363D"/>
          <w:kern w:val="0"/>
        </w:rPr>
      </w:pPr>
      <w:r>
        <w:rPr>
          <w:rFonts w:hint="eastAsia" w:cs="宋体"/>
          <w:color w:val="36363D"/>
          <w:kern w:val="0"/>
        </w:rPr>
        <w:t>2.中标单位进场后对学校日常运行电力设施设备的改造升级费用不少于30万元，并且根据实际装机容量，如超出3.5MW部分每增加0.1MW，增加2万元投入。</w:t>
      </w:r>
    </w:p>
    <w:p w14:paraId="F0DAB7B7">
      <w:pPr>
        <w:pStyle w:val="3"/>
        <w:pageBreakBefore w:val="0"/>
        <w:kinsoku/>
        <w:overflowPunct/>
        <w:topLinePunct w:val="0"/>
        <w:autoSpaceDE/>
        <w:autoSpaceDN/>
        <w:bidi w:val="0"/>
        <w:spacing w:after="0" w:line="360" w:lineRule="auto"/>
        <w:ind w:right="0" w:rightChars="0" w:firstLine="420"/>
        <w:jc w:val="left"/>
        <w:textAlignment w:val="auto"/>
        <w:rPr>
          <w:rFonts w:hint="eastAsia" w:cs="宋体"/>
          <w:color w:val="36363D"/>
          <w:kern w:val="0"/>
          <w:sz w:val="24"/>
          <w:szCs w:val="24"/>
        </w:rPr>
      </w:pPr>
      <w:bookmarkStart w:id="23" w:name="_Toc31299"/>
      <w:r>
        <w:rPr>
          <w:rFonts w:hint="eastAsia" w:cs="宋体"/>
          <w:color w:val="36363D"/>
          <w:kern w:val="0"/>
          <w:sz w:val="24"/>
          <w:szCs w:val="24"/>
        </w:rPr>
        <w:t>3.本项目范围内的光伏设备及电力设施如涉及到后期学校的搬迁，如需异地安装的另行协商，涉及到光伏电站拆迁赔偿的，校方协助中标方与政府部门进行沟通。</w:t>
      </w:r>
      <w:bookmarkEnd w:id="23"/>
    </w:p>
    <w:p w14:paraId="A53DEF93">
      <w:pPr>
        <w:pageBreakBefore w:val="0"/>
        <w:kinsoku/>
        <w:overflowPunct/>
        <w:topLinePunct w:val="0"/>
        <w:autoSpaceDE/>
        <w:autoSpaceDN/>
        <w:bidi w:val="0"/>
        <w:snapToGrid w:val="0"/>
        <w:spacing w:after="0" w:line="360" w:lineRule="auto"/>
        <w:ind w:right="0" w:rightChars="0" w:firstLine="0" w:firstLineChars="0"/>
        <w:textAlignment w:val="auto"/>
        <w:outlineLvl w:val="0"/>
        <w:rPr>
          <w:rFonts w:hint="eastAsia" w:cs="宋体"/>
          <w:b/>
          <w:snapToGrid w:val="0"/>
          <w:color w:val="36363D"/>
          <w:kern w:val="0"/>
        </w:rPr>
      </w:pPr>
      <w:bookmarkStart w:id="24" w:name="_Toc8448"/>
      <w:r>
        <w:rPr>
          <w:rFonts w:hint="eastAsia" w:cs="宋体"/>
          <w:b/>
          <w:snapToGrid w:val="0"/>
          <w:color w:val="36363D"/>
          <w:kern w:val="0"/>
        </w:rPr>
        <w:t>（四）</w:t>
      </w:r>
      <w:bookmarkStart w:id="25" w:name="_Toc461113246"/>
      <w:bookmarkStart w:id="26" w:name="_Toc5256"/>
      <w:bookmarkStart w:id="27" w:name="_Toc497116263"/>
      <w:r>
        <w:rPr>
          <w:rFonts w:hint="eastAsia" w:cs="宋体"/>
          <w:b/>
          <w:snapToGrid w:val="0"/>
          <w:color w:val="36363D"/>
          <w:kern w:val="0"/>
        </w:rPr>
        <w:t>项目设计和施工要求</w:t>
      </w:r>
      <w:bookmarkEnd w:id="24"/>
    </w:p>
    <w:p w14:paraId="93656C70">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b/>
          <w:bCs/>
          <w:color w:val="36363D"/>
          <w:sz w:val="24"/>
          <w:szCs w:val="24"/>
        </w:rPr>
      </w:pPr>
      <w:r>
        <w:rPr>
          <w:rFonts w:hint="eastAsia" w:ascii="宋体" w:hAnsi="宋体" w:eastAsia="宋体" w:cs="宋体"/>
          <w:b/>
          <w:bCs/>
          <w:color w:val="36363D"/>
          <w:sz w:val="24"/>
          <w:szCs w:val="24"/>
        </w:rPr>
        <w:t>1.基本要求</w:t>
      </w:r>
    </w:p>
    <w:p w14:paraId="855A4E6B">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本招标书中提出了最低限度的技术要求，并未对一切技术细节规定所有的技术要求和适用的标准，投标人应保证提供符合本招标书和有关最新工业标准的优质产品及其相应服务。对国家有关安全、健康、环保等强制性标准，必须满足其要求。投标人提供的产品应满足本招标书的要求。</w:t>
      </w:r>
    </w:p>
    <w:p w14:paraId="95A613CC">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系统满足《光伏发电站接入电力系统技术规定》（GB/T 19964-2012）、《光伏发电站接入电力系统 设计规范》（GB/T 50866-2013）、《浙江省整县（市、区）推进屋顶分布式光伏开发工作导则》及国家对系统接入的各项要求。</w:t>
      </w:r>
    </w:p>
    <w:p w14:paraId="FA997F16">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2.总的设计工艺和方案</w:t>
      </w:r>
    </w:p>
    <w:p w14:paraId="484BC763">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2.1项目技术方案</w:t>
      </w:r>
    </w:p>
    <w:p w14:paraId="E5CBEEDB">
      <w:pPr>
        <w:pStyle w:val="211"/>
        <w:pageBreakBefore w:val="0"/>
        <w:kinsoku/>
        <w:overflowPunct/>
        <w:topLinePunct w:val="0"/>
        <w:autoSpaceDE/>
        <w:autoSpaceDN/>
        <w:bidi w:val="0"/>
        <w:spacing w:before="0" w:after="0" w:line="360" w:lineRule="auto"/>
        <w:ind w:left="0" w:right="0" w:rightChars="0" w:firstLine="480"/>
        <w:textAlignment w:val="auto"/>
        <w:rPr>
          <w:rFonts w:hint="eastAsia"/>
          <w:color w:val="36363D"/>
          <w:szCs w:val="24"/>
          <w:lang w:eastAsia="zh-CN"/>
        </w:rPr>
      </w:pPr>
      <w:r>
        <w:rPr>
          <w:rFonts w:hint="eastAsia"/>
          <w:b w:val="0"/>
          <w:bCs w:val="0"/>
          <w:color w:val="36363D"/>
          <w:szCs w:val="24"/>
          <w:lang w:eastAsia="zh-CN"/>
        </w:rPr>
        <w:t>本工程安装位置为海曙、宁海二个校区屋顶，要求从各面视线看建筑物，建筑物立面保持原样，无安装痕迹，光伏阵列需结合美观性及结构稳定性，确定倾角。▲</w:t>
      </w:r>
      <w:r>
        <w:rPr>
          <w:rFonts w:hint="eastAsia"/>
          <w:color w:val="36363D"/>
          <w:szCs w:val="24"/>
          <w:lang w:eastAsia="zh-CN"/>
        </w:rPr>
        <w:t>中标单位应当委托具有和房屋主体建筑同等资质的设计单位进行设计并出具的荷载值、支撑点位、结构图等，确保结构安全和消防安全，所有档案依法归档，确保供电部门并网验收通过，并由招标人委托有资质的第三方进行复核并通过，费用由中标单位支付。支架固定采用基础件预埋（按学校时间要求进行预埋件施工），支架高度需满足消防疏散要求和日常检修需求。</w:t>
      </w:r>
      <w:r>
        <w:rPr>
          <w:color w:val="36363D"/>
          <w:szCs w:val="24"/>
          <w:lang w:eastAsia="zh-CN"/>
        </w:rPr>
        <w:t>建立网络在线监控与故障检测平台，确保供电正常，运行安全；</w:t>
      </w:r>
    </w:p>
    <w:p w14:paraId="AD08DA52">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2.2组件和设备要求</w:t>
      </w:r>
    </w:p>
    <w:p w14:paraId="D79FF63C">
      <w:pPr>
        <w:pageBreakBefore w:val="0"/>
        <w:kinsoku/>
        <w:overflowPunct/>
        <w:topLinePunct w:val="0"/>
        <w:autoSpaceDE/>
        <w:autoSpaceDN/>
        <w:bidi w:val="0"/>
        <w:spacing w:after="0" w:line="360" w:lineRule="auto"/>
        <w:ind w:right="0" w:rightChars="0" w:firstLine="480"/>
        <w:textAlignment w:val="auto"/>
        <w:rPr>
          <w:rFonts w:hint="eastAsia" w:cs="宋体"/>
          <w:bCs/>
          <w:color w:val="36363D"/>
        </w:rPr>
      </w:pPr>
      <w:r>
        <w:rPr>
          <w:rFonts w:hint="eastAsia" w:cs="宋体"/>
          <w:bCs/>
          <w:color w:val="36363D"/>
        </w:rPr>
        <w:t>投标人所采用的光伏发电系统产品应技术先进、经过国家检测认证机构认证（CQC认证）、性能达到国家光伏技术指标要求。</w:t>
      </w:r>
    </w:p>
    <w:p w14:paraId="459B203C">
      <w:pPr>
        <w:pageBreakBefore w:val="0"/>
        <w:kinsoku/>
        <w:overflowPunct/>
        <w:topLinePunct w:val="0"/>
        <w:autoSpaceDE/>
        <w:autoSpaceDN/>
        <w:bidi w:val="0"/>
        <w:spacing w:after="0" w:line="360" w:lineRule="auto"/>
        <w:ind w:right="0" w:rightChars="0" w:firstLine="480"/>
        <w:textAlignment w:val="auto"/>
        <w:rPr>
          <w:rFonts w:hint="eastAsia" w:cs="宋体"/>
          <w:bCs/>
          <w:color w:val="36363D"/>
          <w:u w:val="single"/>
        </w:rPr>
      </w:pPr>
      <w:r>
        <w:rPr>
          <w:rFonts w:hint="eastAsia" w:cs="宋体"/>
          <w:bCs/>
          <w:color w:val="36363D"/>
          <w:u w:val="single"/>
        </w:rPr>
        <w:t xml:space="preserve">2.2.1光伏组件 </w:t>
      </w:r>
    </w:p>
    <w:p w14:paraId="3952617C">
      <w:pPr>
        <w:pageBreakBefore w:val="0"/>
        <w:kinsoku/>
        <w:overflowPunct/>
        <w:topLinePunct w:val="0"/>
        <w:autoSpaceDE/>
        <w:autoSpaceDN/>
        <w:bidi w:val="0"/>
        <w:spacing w:after="0" w:line="360" w:lineRule="auto"/>
        <w:ind w:right="0" w:rightChars="0" w:firstLine="480"/>
        <w:textAlignment w:val="auto"/>
        <w:rPr>
          <w:rFonts w:hint="eastAsia" w:cs="宋体"/>
          <w:b/>
          <w:color w:val="36363D"/>
        </w:rPr>
      </w:pPr>
      <w:r>
        <w:rPr>
          <w:rFonts w:hint="eastAsia" w:cs="宋体"/>
          <w:color w:val="36363D"/>
        </w:rPr>
        <w:t>2.2.1.1本工程要求采用大功率的</w:t>
      </w:r>
      <w:r>
        <w:rPr>
          <w:rFonts w:cs="宋体"/>
          <w:color w:val="36363D"/>
        </w:rPr>
        <w:t>5</w:t>
      </w:r>
      <w:r>
        <w:rPr>
          <w:rFonts w:hint="eastAsia" w:cs="宋体"/>
          <w:color w:val="36363D"/>
        </w:rPr>
        <w:t>90Wp及以上电池组件A级及以上产品，产品发电数值仅允许正偏差。</w:t>
      </w:r>
    </w:p>
    <w:p w14:paraId="A872B5C3">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2.2.1.2光伏组件的光电转换效率≥ 20%（以组件边框面积计算转换效率，转换效率需满足超低能耗建筑要求，具体以设计为准）。</w:t>
      </w:r>
    </w:p>
    <w:p w14:paraId="152967C5">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2.2.1.3晶体硅组件衰减率光伏电站安全运行1周年不高于1%，之后每年衰减率不高于0.4%，光伏电站安全运行5周年不高于5%，光伏电站安全运行10周年不高于10%，光伏电站安全运行25年内不高于20%。</w:t>
      </w:r>
      <w:r>
        <w:rPr>
          <w:rFonts w:hint="eastAsia" w:ascii="宋体" w:hAnsi="宋体" w:eastAsia="宋体" w:cs="宋体"/>
          <w:b/>
          <w:color w:val="36363D"/>
          <w:sz w:val="24"/>
          <w:szCs w:val="24"/>
        </w:rPr>
        <w:t>（光伏组件进场时需提供检测报告和产品质量投保保险单）</w:t>
      </w:r>
    </w:p>
    <w:p w14:paraId="564FEEC5">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2.2.1.4光伏发电系统第三年发电效率不低于第一年的95%。</w:t>
      </w:r>
    </w:p>
    <w:p w14:paraId="D1073700">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2.2.1.5光伏组件应满足以下标准、规范及规程：</w:t>
      </w:r>
    </w:p>
    <w:p w14:paraId="39B64161">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①IEC61215晶体硅光伏组件设计鉴定和定型</w:t>
      </w:r>
    </w:p>
    <w:p w14:paraId="2F623452">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②IEC6173O.l 光伏组件的安全性构造要求 IEC6173O.2 光伏组件的安全性测试要求；</w:t>
      </w:r>
    </w:p>
    <w:p w14:paraId="7DFBB251">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③GB/T18479-2001《地面用光伏（PV）发电系统概述和导则》；</w:t>
      </w:r>
    </w:p>
    <w:p w14:paraId="856B0300">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④GB/T 19939-2005《光伏系统并网技术要求》。</w:t>
      </w:r>
    </w:p>
    <w:p w14:paraId="2F932F7C">
      <w:pPr>
        <w:pageBreakBefore w:val="0"/>
        <w:kinsoku/>
        <w:overflowPunct/>
        <w:topLinePunct w:val="0"/>
        <w:autoSpaceDE/>
        <w:autoSpaceDN/>
        <w:bidi w:val="0"/>
        <w:spacing w:after="0" w:line="360" w:lineRule="auto"/>
        <w:ind w:right="0" w:rightChars="0" w:firstLine="480"/>
        <w:textAlignment w:val="auto"/>
        <w:rPr>
          <w:rFonts w:hint="eastAsia" w:cs="宋体"/>
          <w:bCs/>
          <w:color w:val="36363D"/>
          <w:u w:val="single"/>
        </w:rPr>
      </w:pPr>
      <w:r>
        <w:rPr>
          <w:rFonts w:hint="eastAsia" w:cs="宋体"/>
          <w:bCs/>
          <w:color w:val="36363D"/>
          <w:u w:val="single"/>
        </w:rPr>
        <w:t>2.2.2逆变器</w:t>
      </w:r>
    </w:p>
    <w:p w14:paraId="EEFE4F83">
      <w:pPr>
        <w:pStyle w:val="15"/>
        <w:pageBreakBefore w:val="0"/>
        <w:kinsoku/>
        <w:wordWrap w:val="0"/>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2.2.2.1项目选用的逆变器必须满足NB/T32004-2013《光伏发电并网逆变器技术规范》、GB/T29319-2012《光伏发电系统接入配电网技术规定》和CNCA/CTS0012-2013《并网光伏微型逆变器技术要求和测试方法》（特指微型逆变器）的要求，并须通过国家批准认证机构的认证（中标后提供认证证书原件备查）。</w:t>
      </w:r>
    </w:p>
    <w:p w14:paraId="614865CF">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2.2.2.2根据最大输入功率的差别，投标人所用逆变器应分别满足以下技术要求：</w:t>
      </w:r>
    </w:p>
    <w:p w14:paraId="09CF802D">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项目的并网逆变器中国效率指标应满足：不带主隔离变压器的光伏逆变器（不含微型逆变器）中国效率不低于98%，带主隔离变压器的光伏逆变器（不含微型逆变器）中国效率不低于96%；微型逆变器中国效率相应指标不低于95%、94%。</w:t>
      </w:r>
    </w:p>
    <w:p w14:paraId="68286C3D">
      <w:pPr>
        <w:pageBreakBefore w:val="0"/>
        <w:kinsoku/>
        <w:overflowPunct/>
        <w:topLinePunct w:val="0"/>
        <w:autoSpaceDE/>
        <w:autoSpaceDN/>
        <w:bidi w:val="0"/>
        <w:spacing w:after="0" w:line="360" w:lineRule="auto"/>
        <w:ind w:right="0" w:rightChars="0" w:firstLine="480"/>
        <w:textAlignment w:val="auto"/>
        <w:rPr>
          <w:rFonts w:hint="eastAsia" w:cs="宋体"/>
          <w:bCs/>
          <w:color w:val="36363D"/>
          <w:u w:val="single"/>
        </w:rPr>
      </w:pPr>
      <w:r>
        <w:rPr>
          <w:rFonts w:hint="eastAsia" w:cs="宋体"/>
          <w:bCs/>
          <w:color w:val="36363D"/>
          <w:u w:val="single"/>
        </w:rPr>
        <w:t>2.2.3防雷汇流箱</w:t>
      </w:r>
    </w:p>
    <w:p w14:paraId="50509ECC">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2.2.3.1 基本要求</w:t>
      </w:r>
    </w:p>
    <w:p w14:paraId="D22E24B3">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①工作电压范围 ：0~400V AC</w:t>
      </w:r>
    </w:p>
    <w:p w14:paraId="11500BBB">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②工作环境条件－- 30℃ — +70℃</w:t>
      </w:r>
    </w:p>
    <w:p w14:paraId="E577812C">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③防护等级：IP65（户外）</w:t>
      </w:r>
    </w:p>
    <w:p w14:paraId="91D502DF">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④冷却方式：自然冷却。</w:t>
      </w:r>
    </w:p>
    <w:p w14:paraId="69BAA8A2">
      <w:pPr>
        <w:pStyle w:val="211"/>
        <w:pageBreakBefore w:val="0"/>
        <w:kinsoku/>
        <w:overflowPunct/>
        <w:topLinePunct w:val="0"/>
        <w:autoSpaceDE/>
        <w:autoSpaceDN/>
        <w:bidi w:val="0"/>
        <w:spacing w:before="0" w:after="0" w:line="360" w:lineRule="auto"/>
        <w:ind w:left="0" w:right="0" w:rightChars="0" w:firstLine="480"/>
        <w:textAlignment w:val="auto"/>
        <w:rPr>
          <w:rFonts w:hint="eastAsia"/>
          <w:b w:val="0"/>
          <w:bCs w:val="0"/>
          <w:color w:val="36363D"/>
          <w:szCs w:val="24"/>
          <w:lang w:eastAsia="zh-CN"/>
        </w:rPr>
      </w:pPr>
      <w:r>
        <w:rPr>
          <w:rFonts w:hint="eastAsia"/>
          <w:b w:val="0"/>
          <w:bCs w:val="0"/>
          <w:color w:val="36363D"/>
          <w:szCs w:val="24"/>
          <w:lang w:eastAsia="zh-CN"/>
        </w:rPr>
        <w:t>⑤断路器额定极限短路分断能力 Icu(kA) ≥ 50(kA)</w:t>
      </w:r>
    </w:p>
    <w:p w14:paraId="CC78EA3C">
      <w:pPr>
        <w:pStyle w:val="211"/>
        <w:pageBreakBefore w:val="0"/>
        <w:kinsoku/>
        <w:overflowPunct/>
        <w:topLinePunct w:val="0"/>
        <w:autoSpaceDE/>
        <w:autoSpaceDN/>
        <w:bidi w:val="0"/>
        <w:spacing w:before="0" w:after="0" w:line="360" w:lineRule="auto"/>
        <w:ind w:left="0" w:right="0" w:rightChars="0" w:firstLine="480"/>
        <w:textAlignment w:val="auto"/>
        <w:rPr>
          <w:rFonts w:hint="eastAsia"/>
          <w:b w:val="0"/>
          <w:bCs w:val="0"/>
          <w:color w:val="36363D"/>
          <w:szCs w:val="24"/>
          <w:lang w:eastAsia="zh-CN"/>
        </w:rPr>
      </w:pPr>
      <w:r>
        <w:rPr>
          <w:rFonts w:hint="eastAsia"/>
          <w:b w:val="0"/>
          <w:bCs w:val="0"/>
          <w:color w:val="36363D"/>
          <w:szCs w:val="24"/>
          <w:lang w:eastAsia="zh-CN"/>
        </w:rPr>
        <w:t>⑥包含防雷设备。</w:t>
      </w:r>
    </w:p>
    <w:p w14:paraId="2D074AB4">
      <w:pPr>
        <w:pStyle w:val="211"/>
        <w:pageBreakBefore w:val="0"/>
        <w:kinsoku/>
        <w:overflowPunct/>
        <w:topLinePunct w:val="0"/>
        <w:autoSpaceDE/>
        <w:autoSpaceDN/>
        <w:bidi w:val="0"/>
        <w:spacing w:before="0" w:after="0" w:line="360" w:lineRule="auto"/>
        <w:ind w:left="0" w:right="0" w:rightChars="0" w:firstLine="480"/>
        <w:textAlignment w:val="auto"/>
        <w:rPr>
          <w:rFonts w:hint="eastAsia"/>
          <w:b w:val="0"/>
          <w:bCs w:val="0"/>
          <w:color w:val="36363D"/>
          <w:szCs w:val="24"/>
          <w:lang w:eastAsia="zh-CN"/>
        </w:rPr>
      </w:pPr>
      <w:r>
        <w:rPr>
          <w:rFonts w:hint="eastAsia"/>
          <w:b w:val="0"/>
          <w:bCs w:val="0"/>
          <w:color w:val="36363D"/>
          <w:szCs w:val="24"/>
          <w:lang w:eastAsia="zh-CN"/>
        </w:rPr>
        <w:t>2.2.3.2防雷汇流箱设备平均无故障时间不低于</w:t>
      </w:r>
      <w:r>
        <w:rPr>
          <w:b w:val="0"/>
          <w:bCs w:val="0"/>
          <w:color w:val="36363D"/>
          <w:szCs w:val="24"/>
          <w:lang w:eastAsia="zh-CN"/>
        </w:rPr>
        <w:t xml:space="preserve"> 5</w:t>
      </w:r>
      <w:r>
        <w:rPr>
          <w:rFonts w:hint="eastAsia"/>
          <w:b w:val="0"/>
          <w:bCs w:val="0"/>
          <w:color w:val="36363D"/>
          <w:szCs w:val="24"/>
          <w:lang w:eastAsia="zh-CN"/>
        </w:rPr>
        <w:t xml:space="preserve"> 年，使用寿命不低于25 年。</w:t>
      </w:r>
    </w:p>
    <w:p w14:paraId="4A63FC63">
      <w:pPr>
        <w:pStyle w:val="211"/>
        <w:pageBreakBefore w:val="0"/>
        <w:kinsoku/>
        <w:overflowPunct/>
        <w:topLinePunct w:val="0"/>
        <w:autoSpaceDE/>
        <w:autoSpaceDN/>
        <w:bidi w:val="0"/>
        <w:spacing w:before="0" w:after="0" w:line="360" w:lineRule="auto"/>
        <w:ind w:left="0" w:right="0" w:rightChars="0" w:firstLine="480"/>
        <w:textAlignment w:val="auto"/>
        <w:rPr>
          <w:rFonts w:hint="eastAsia"/>
          <w:b w:val="0"/>
          <w:bCs w:val="0"/>
          <w:color w:val="36363D"/>
          <w:szCs w:val="24"/>
          <w:lang w:eastAsia="zh-CN"/>
        </w:rPr>
      </w:pPr>
      <w:r>
        <w:rPr>
          <w:rFonts w:hint="eastAsia"/>
          <w:b w:val="0"/>
          <w:bCs w:val="0"/>
          <w:color w:val="36363D"/>
          <w:szCs w:val="24"/>
          <w:lang w:eastAsia="zh-CN"/>
        </w:rPr>
        <w:t>2.2.3.3防雷汇流箱应满足以下标准、规范及规程：</w:t>
      </w:r>
    </w:p>
    <w:p w14:paraId="8213BBE5">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CNCA/CTS0001-2011A《光伏汇流设备技术规范》的要求。</w:t>
      </w:r>
    </w:p>
    <w:p w14:paraId="363F5237">
      <w:pPr>
        <w:pageBreakBefore w:val="0"/>
        <w:kinsoku/>
        <w:overflowPunct/>
        <w:topLinePunct w:val="0"/>
        <w:autoSpaceDE/>
        <w:autoSpaceDN/>
        <w:bidi w:val="0"/>
        <w:spacing w:after="0" w:line="360" w:lineRule="auto"/>
        <w:ind w:right="0" w:rightChars="0" w:firstLine="480"/>
        <w:textAlignment w:val="auto"/>
        <w:rPr>
          <w:rFonts w:hint="eastAsia" w:cs="宋体"/>
          <w:bCs/>
          <w:color w:val="36363D"/>
          <w:u w:val="single"/>
        </w:rPr>
      </w:pPr>
      <w:r>
        <w:rPr>
          <w:rFonts w:hint="eastAsia" w:cs="宋体"/>
          <w:bCs/>
          <w:color w:val="36363D"/>
          <w:u w:val="single"/>
        </w:rPr>
        <w:t>2.2.4太阳能电池支架的技术要求</w:t>
      </w:r>
    </w:p>
    <w:p w14:paraId="6691A54C">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2.2.4.1投标方应说明支架的材料：组件支架的设计需要考虑安装方便，拆卸简单，连接应有吸收光伏组件与安装面之间热胀冷缩不均的措施。投标单位提供组件安装支架及与建筑面的连接件。组件安装支架采用基材Q235B热浸镀锌钢结构材料（热浸镀锌厚度≥65µm），所有户外紧固连接件都采用不锈钢304 材质，需有足够的强度和较强的耐腐蚀性能，以保证光伏组件在任何自然气象条件不脱落。室内紧固连接件采用镀锌材料。</w:t>
      </w:r>
    </w:p>
    <w:p w14:paraId="16A487A6">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2.2.4.2表面防腐应满足 </w:t>
      </w:r>
      <w:r>
        <w:rPr>
          <w:rFonts w:ascii="宋体" w:hAnsi="宋体" w:eastAsia="宋体" w:cs="宋体"/>
          <w:color w:val="36363D"/>
          <w:sz w:val="24"/>
          <w:szCs w:val="24"/>
        </w:rPr>
        <w:t>10</w:t>
      </w:r>
      <w:r>
        <w:rPr>
          <w:rFonts w:hint="eastAsia" w:ascii="宋体" w:hAnsi="宋体" w:eastAsia="宋体" w:cs="宋体"/>
          <w:color w:val="36363D"/>
          <w:sz w:val="24"/>
          <w:szCs w:val="24"/>
        </w:rPr>
        <w:t xml:space="preserve"> 年内可拆卸再利用和 25年内安全使用的要求。</w:t>
      </w:r>
    </w:p>
    <w:p w14:paraId="6C6D32B2">
      <w:pPr>
        <w:pStyle w:val="211"/>
        <w:pageBreakBefore w:val="0"/>
        <w:kinsoku/>
        <w:overflowPunct/>
        <w:topLinePunct w:val="0"/>
        <w:autoSpaceDE/>
        <w:autoSpaceDN/>
        <w:bidi w:val="0"/>
        <w:spacing w:before="0" w:after="0" w:line="360" w:lineRule="auto"/>
        <w:ind w:left="0" w:right="0" w:rightChars="0" w:firstLine="480"/>
        <w:textAlignment w:val="auto"/>
        <w:rPr>
          <w:rFonts w:hint="eastAsia"/>
          <w:b w:val="0"/>
          <w:bCs w:val="0"/>
          <w:color w:val="36363D"/>
          <w:szCs w:val="24"/>
          <w:u w:val="single"/>
          <w:lang w:eastAsia="zh-CN"/>
        </w:rPr>
      </w:pPr>
      <w:r>
        <w:rPr>
          <w:rFonts w:hint="eastAsia"/>
          <w:b w:val="0"/>
          <w:bCs w:val="0"/>
          <w:color w:val="36363D"/>
          <w:szCs w:val="24"/>
          <w:u w:val="single"/>
          <w:lang w:eastAsia="zh-CN"/>
        </w:rPr>
        <w:t xml:space="preserve">2.2.5 配电装置 </w:t>
      </w:r>
    </w:p>
    <w:p w14:paraId="E56A74A0">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2.2.5.1配电装置的要求</w:t>
      </w:r>
    </w:p>
    <w:p w14:paraId="0F189A20">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2.2.5.1.1发电单元逆变器通过电缆连接交流防雷配电柜，然后通过电缆连接至并网侧。相同规格的功能单元应具有互换性。所有元件外接引线均应经端子排接入或引出。</w:t>
      </w:r>
    </w:p>
    <w:p w14:paraId="7D930E2A">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2.2.5.1.2开关柜金属分隔间隔及抽屉单元内的每组端子排应留有不少于总数的 20％的备用端子。</w:t>
      </w:r>
    </w:p>
    <w:p w14:paraId="3ACE27B0">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2.2.5.1.3配电装置功能满足当地供电部门要求，断路器和接触器应有可靠的“防跳”接线。</w:t>
      </w:r>
    </w:p>
    <w:p w14:paraId="CAE58D95">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2.2.5.2电能质量监测仪在线式电能质量检测系统的技术要求需要满足电能监测规范要求。</w:t>
      </w:r>
    </w:p>
    <w:p w14:paraId="91C9C6F9">
      <w:pPr>
        <w:pStyle w:val="211"/>
        <w:pageBreakBefore w:val="0"/>
        <w:kinsoku/>
        <w:overflowPunct/>
        <w:topLinePunct w:val="0"/>
        <w:autoSpaceDE/>
        <w:autoSpaceDN/>
        <w:bidi w:val="0"/>
        <w:spacing w:before="0" w:after="0" w:line="360" w:lineRule="auto"/>
        <w:ind w:left="0" w:right="0" w:rightChars="0" w:firstLine="480"/>
        <w:textAlignment w:val="auto"/>
        <w:rPr>
          <w:rFonts w:hint="eastAsia"/>
          <w:b w:val="0"/>
          <w:bCs w:val="0"/>
          <w:color w:val="36363D"/>
          <w:szCs w:val="24"/>
          <w:u w:val="single"/>
          <w:lang w:eastAsia="zh-CN"/>
        </w:rPr>
      </w:pPr>
      <w:r>
        <w:rPr>
          <w:rFonts w:hint="eastAsia"/>
          <w:b w:val="0"/>
          <w:bCs w:val="0"/>
          <w:color w:val="36363D"/>
          <w:szCs w:val="24"/>
          <w:u w:val="single"/>
          <w:lang w:eastAsia="zh-CN"/>
        </w:rPr>
        <w:t>2.2.6 对电缆材料和配件的要求（包括但不限于以下标准要求）</w:t>
      </w:r>
    </w:p>
    <w:p w14:paraId="36FE46D3">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2.2.6.1光伏组件连接电缆采用光伏专用电缆。</w:t>
      </w:r>
    </w:p>
    <w:p w14:paraId="A51BA714">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2.2.6.2要求电缆制造商至少具备 UL、TUV 其中之一的论证。动力电缆由投标人填写使用的品牌，在签订合同时经由招标人确认后执行。</w:t>
      </w:r>
    </w:p>
    <w:p w14:paraId="1B07343F">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2.2.6.3光伏电缆寿命不低于25年。</w:t>
      </w:r>
    </w:p>
    <w:p w14:paraId="3C5FC558">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2.2.6.4电缆材料和配件应满足国家强制认证标准的要求。</w:t>
      </w:r>
    </w:p>
    <w:p w14:paraId="8AF861B8">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2.2.6.5现场交接试验</w:t>
      </w:r>
    </w:p>
    <w:p w14:paraId="76F50F39">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外观检查，导体表面应光洁、无油污、无损伤绝缘的毛刺、锐边，无凸起或断裂的单线。结构尺寸检查，绞线中各类金属线的根数、绞合节径比等的尺寸测量。安装后进行绝缘电阻试验，并检查相位。</w:t>
      </w:r>
    </w:p>
    <w:p w14:paraId="1516E40D">
      <w:pPr>
        <w:pStyle w:val="211"/>
        <w:pageBreakBefore w:val="0"/>
        <w:kinsoku/>
        <w:overflowPunct/>
        <w:topLinePunct w:val="0"/>
        <w:autoSpaceDE/>
        <w:autoSpaceDN/>
        <w:bidi w:val="0"/>
        <w:spacing w:before="0" w:after="0" w:line="360" w:lineRule="auto"/>
        <w:ind w:right="0" w:rightChars="0" w:firstLine="480"/>
        <w:textAlignment w:val="auto"/>
        <w:rPr>
          <w:rFonts w:hint="eastAsia"/>
          <w:b w:val="0"/>
          <w:bCs w:val="0"/>
          <w:color w:val="36363D"/>
          <w:szCs w:val="24"/>
          <w:u w:val="single"/>
          <w:lang w:eastAsia="zh-CN"/>
        </w:rPr>
      </w:pPr>
      <w:r>
        <w:rPr>
          <w:rFonts w:hint="eastAsia"/>
          <w:b w:val="0"/>
          <w:bCs w:val="0"/>
          <w:color w:val="36363D"/>
          <w:szCs w:val="24"/>
          <w:u w:val="single"/>
          <w:lang w:eastAsia="zh-CN"/>
        </w:rPr>
        <w:t>2.2.7 主材品牌推荐表</w:t>
      </w:r>
    </w:p>
    <w:tbl>
      <w:tblPr>
        <w:tblStyle w:val="4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485"/>
        <w:gridCol w:w="6471"/>
      </w:tblGrid>
      <w:tr w14:paraId="30A8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14:paraId="386DBD6E">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序号</w:t>
            </w:r>
          </w:p>
        </w:tc>
        <w:tc>
          <w:tcPr>
            <w:tcW w:w="1485" w:type="dxa"/>
          </w:tcPr>
          <w:p w14:paraId="A9086632">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主材名称</w:t>
            </w:r>
          </w:p>
        </w:tc>
        <w:tc>
          <w:tcPr>
            <w:tcW w:w="6471" w:type="dxa"/>
          </w:tcPr>
          <w:p w14:paraId="2E46E9BE">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品牌推荐要求</w:t>
            </w:r>
          </w:p>
        </w:tc>
      </w:tr>
      <w:tr w14:paraId="6796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14:paraId="FEBB7A1D">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1</w:t>
            </w:r>
          </w:p>
        </w:tc>
        <w:tc>
          <w:tcPr>
            <w:tcW w:w="1485" w:type="dxa"/>
          </w:tcPr>
          <w:p w14:paraId="2CF830AA">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光伏组件</w:t>
            </w:r>
          </w:p>
        </w:tc>
        <w:tc>
          <w:tcPr>
            <w:tcW w:w="6471" w:type="dxa"/>
            <w:vMerge w:val="restart"/>
            <w:vAlign w:val="center"/>
          </w:tcPr>
          <w:p w14:paraId="31087568">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组件使用隆基、晶科、晶澳、通威等同等品牌</w:t>
            </w:r>
          </w:p>
          <w:p w14:paraId="C4DBB0C2">
            <w:pPr>
              <w:pStyle w:val="211"/>
              <w:pageBreakBefore w:val="0"/>
              <w:kinsoku/>
              <w:overflowPunct/>
              <w:topLinePunct w:val="0"/>
              <w:autoSpaceDE/>
              <w:autoSpaceDN/>
              <w:bidi w:val="0"/>
              <w:spacing w:before="0" w:after="0" w:line="360" w:lineRule="auto"/>
              <w:ind w:left="98" w:right="0" w:rightChars="0" w:hanging="98" w:hangingChars="41"/>
              <w:textAlignment w:val="auto"/>
              <w:rPr>
                <w:rFonts w:hint="eastAsia"/>
                <w:b w:val="0"/>
                <w:bCs w:val="0"/>
                <w:color w:val="36363D"/>
                <w:szCs w:val="24"/>
                <w:lang w:eastAsia="zh-CN"/>
              </w:rPr>
            </w:pPr>
            <w:r>
              <w:rPr>
                <w:rFonts w:hint="eastAsia"/>
                <w:b w:val="0"/>
                <w:bCs w:val="0"/>
                <w:color w:val="36363D"/>
                <w:szCs w:val="24"/>
                <w:lang w:eastAsia="zh-CN"/>
              </w:rPr>
              <w:t xml:space="preserve">      逆变器华为、锦浪、阳光等同等品牌</w:t>
            </w:r>
          </w:p>
          <w:p w14:paraId="80DA22F1">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断路器选用常熟、人民、大全等同等品牌</w:t>
            </w:r>
          </w:p>
          <w:p w14:paraId="35800365">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 xml:space="preserve">       电缆选用中策、中大元通、上上、沪安等同等品牌</w:t>
            </w:r>
          </w:p>
          <w:p w14:paraId="0D9FADCD">
            <w:pPr>
              <w:pStyle w:val="211"/>
              <w:pageBreakBefore w:val="0"/>
              <w:kinsoku/>
              <w:overflowPunct/>
              <w:topLinePunct w:val="0"/>
              <w:autoSpaceDE/>
              <w:autoSpaceDN/>
              <w:bidi w:val="0"/>
              <w:spacing w:before="0" w:after="0" w:line="360" w:lineRule="auto"/>
              <w:ind w:left="98" w:right="0" w:rightChars="0" w:hanging="98" w:hangingChars="41"/>
              <w:textAlignment w:val="auto"/>
              <w:rPr>
                <w:rFonts w:hint="eastAsia"/>
                <w:b w:val="0"/>
                <w:bCs w:val="0"/>
                <w:color w:val="36363D"/>
                <w:szCs w:val="24"/>
                <w:lang w:eastAsia="zh-CN"/>
              </w:rPr>
            </w:pPr>
          </w:p>
        </w:tc>
      </w:tr>
      <w:tr w14:paraId="F26F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14:paraId="A194250B">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2</w:t>
            </w:r>
          </w:p>
        </w:tc>
        <w:tc>
          <w:tcPr>
            <w:tcW w:w="1485" w:type="dxa"/>
          </w:tcPr>
          <w:p w14:paraId="F811C8BF">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逆变器</w:t>
            </w:r>
          </w:p>
        </w:tc>
        <w:tc>
          <w:tcPr>
            <w:tcW w:w="6471" w:type="dxa"/>
            <w:vMerge w:val="continue"/>
          </w:tcPr>
          <w:p w14:paraId="8C55C355">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p>
        </w:tc>
      </w:tr>
      <w:tr w14:paraId="47B0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14:paraId="2AE8B0FA">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3</w:t>
            </w:r>
          </w:p>
        </w:tc>
        <w:tc>
          <w:tcPr>
            <w:tcW w:w="1485" w:type="dxa"/>
          </w:tcPr>
          <w:p w14:paraId="F583CCBA">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断路器</w:t>
            </w:r>
          </w:p>
        </w:tc>
        <w:tc>
          <w:tcPr>
            <w:tcW w:w="6471" w:type="dxa"/>
            <w:vMerge w:val="continue"/>
          </w:tcPr>
          <w:p w14:paraId="A33BEF08">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p>
        </w:tc>
      </w:tr>
      <w:tr w14:paraId="6179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14:paraId="F38CFA78">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4</w:t>
            </w:r>
          </w:p>
        </w:tc>
        <w:tc>
          <w:tcPr>
            <w:tcW w:w="1485" w:type="dxa"/>
          </w:tcPr>
          <w:p w14:paraId="27CE9989">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r>
              <w:rPr>
                <w:rFonts w:hint="eastAsia"/>
                <w:b w:val="0"/>
                <w:bCs w:val="0"/>
                <w:color w:val="36363D"/>
                <w:szCs w:val="24"/>
                <w:lang w:eastAsia="zh-CN"/>
              </w:rPr>
              <w:t>电缆</w:t>
            </w:r>
          </w:p>
        </w:tc>
        <w:tc>
          <w:tcPr>
            <w:tcW w:w="6471" w:type="dxa"/>
            <w:vMerge w:val="continue"/>
          </w:tcPr>
          <w:p w14:paraId="F5A05DB8">
            <w:pPr>
              <w:pStyle w:val="211"/>
              <w:pageBreakBefore w:val="0"/>
              <w:kinsoku/>
              <w:overflowPunct/>
              <w:topLinePunct w:val="0"/>
              <w:autoSpaceDE/>
              <w:autoSpaceDN/>
              <w:bidi w:val="0"/>
              <w:spacing w:before="0" w:after="0" w:line="360" w:lineRule="auto"/>
              <w:ind w:left="98" w:right="0" w:rightChars="0" w:hanging="98" w:hangingChars="41"/>
              <w:jc w:val="center"/>
              <w:textAlignment w:val="auto"/>
              <w:rPr>
                <w:rFonts w:hint="eastAsia"/>
                <w:b w:val="0"/>
                <w:bCs w:val="0"/>
                <w:color w:val="36363D"/>
                <w:szCs w:val="24"/>
                <w:lang w:eastAsia="zh-CN"/>
              </w:rPr>
            </w:pPr>
          </w:p>
        </w:tc>
      </w:tr>
      <w:bookmarkEnd w:id="25"/>
      <w:bookmarkEnd w:id="26"/>
      <w:bookmarkEnd w:id="27"/>
    </w:tbl>
    <w:p w14:paraId="F0EC40B6">
      <w:pPr>
        <w:pageBreakBefore w:val="0"/>
        <w:kinsoku/>
        <w:overflowPunct/>
        <w:topLinePunct w:val="0"/>
        <w:autoSpaceDE/>
        <w:autoSpaceDN/>
        <w:bidi w:val="0"/>
        <w:snapToGrid w:val="0"/>
        <w:spacing w:after="0" w:line="360" w:lineRule="auto"/>
        <w:ind w:right="0" w:rightChars="0" w:firstLine="482"/>
        <w:textAlignment w:val="auto"/>
        <w:outlineLvl w:val="0"/>
        <w:rPr>
          <w:rFonts w:hint="eastAsia" w:cs="宋体"/>
          <w:b/>
          <w:snapToGrid w:val="0"/>
          <w:color w:val="36363D"/>
          <w:kern w:val="0"/>
        </w:rPr>
      </w:pPr>
      <w:bookmarkStart w:id="28" w:name="_Toc11357"/>
      <w:r>
        <w:rPr>
          <w:rFonts w:hint="eastAsia" w:cs="宋体"/>
          <w:b/>
          <w:snapToGrid w:val="0"/>
          <w:color w:val="36363D"/>
          <w:kern w:val="0"/>
        </w:rPr>
        <w:t>（五）项目总体要求</w:t>
      </w:r>
      <w:bookmarkEnd w:id="28"/>
    </w:p>
    <w:p w14:paraId="7CFB8703">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1. 总则</w:t>
      </w:r>
    </w:p>
    <w:p w14:paraId="B212ADA1">
      <w:pPr>
        <w:pStyle w:val="15"/>
        <w:pageBreakBefore w:val="0"/>
        <w:kinsoku/>
        <w:overflowPunct/>
        <w:topLinePunct w:val="0"/>
        <w:autoSpaceDE/>
        <w:autoSpaceDN/>
        <w:bidi w:val="0"/>
        <w:spacing w:after="0" w:line="360" w:lineRule="auto"/>
        <w:ind w:right="0" w:rightChars="0" w:firstLine="480" w:firstLineChars="200"/>
        <w:jc w:val="both"/>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本规范适用于浙江工商职业技术学院海曙校区、宁海校区光伏发电合同能源管理项目范围的设备材料采购、运输、施工、工程验收等的技术要求。光伏电站所用设备材料必须是全新的、技术先进成熟可靠、使光伏电站具有良好的可用率，并能满足环保要求，光伏电站采用的系统和设备都必须是成熟的、有良好的实践效果，由投标人提供给招标人的设备以及技术资料必须满足技术规范的要求。</w:t>
      </w:r>
    </w:p>
    <w:p w14:paraId="2C2709BC">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投标人应按照本项目已批复的接入系统报告等及有关部门的审查意见进行设备制造、采购和施工。本技术规范书中未涉及的内容，应遵循国家有关设计、制造、施工、试验等。</w:t>
      </w:r>
    </w:p>
    <w:p w14:paraId="FC76646E">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按国家及行业颁布的现行标准、规程、规范及有关实施细则执行。</w:t>
      </w:r>
    </w:p>
    <w:p w14:paraId="BA0E71AC">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2. 工作要求</w:t>
      </w:r>
    </w:p>
    <w:p w14:paraId="9128D51D">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2.1 设备制造、建筑安装、调试试验及中标单位的其他工作必须满足国家现行规程、标准和规范的要求。投标方应针对以上内容提交所有相关标准、规定及相关标准的清单及图纸，合同签订后，国家新颁布的与本工程有关的强制性标准、规程和规范，同样适用于本项目，中标方必须执行。项目开工后或施工图纸出版后，国家新颁布的非强制性标准、规程和规范，中标人与招标人双方协商后确定是否适用。</w:t>
      </w:r>
    </w:p>
    <w:p w14:paraId="77BF6E2D">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中标单位确保工程质量的活动均符合有关规定，应按ISO9001:2000的要求建立质量管理体系，所有与工程质量有关的活动应按体系的要求运转。同时，按现行有关标准，中标单位建立分级验收制度，配备合格的各级检验员在规定的环节进行检验、试验，保证合格的产品进入下道工序。</w:t>
      </w:r>
    </w:p>
    <w:p w14:paraId="9943EBF8">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2.3 中标单位严格按合同约定的范围和要求建设，项目建设全面执行国家和电力行业颁布的有关规范、标准及要求。项目建设质量满足项目合同规定的规范标准和《光伏电站场项目建设工程验收规程》要求，达到合格要求。</w:t>
      </w:r>
    </w:p>
    <w:p w14:paraId="2432246E">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2.4 中标单位应争创安全文明施工现场。杜绝人身死亡事故，不发生人身重伤、群伤事故，不发生重大机械和设备损坏事故，不发生重大火灾事故，不发生负主要责任的特大交通事故，不发生重大垮塌、职业伤害和重大环境污染事故，因中标单位原因导致的任何事故，由中标单位承担所有经济及法律责任。</w:t>
      </w:r>
    </w:p>
    <w:p w14:paraId="88B3B76A">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2.5 中标单位应服从监理工程师（招标人派遣）的指令。</w:t>
      </w:r>
    </w:p>
    <w:p w14:paraId="62E12CD6">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2.6 工程验收标准采用当时最新国家颁布的验收标准和本工程设备、材料和工程有关技术规范、要求和验收标准中较高的标准。</w:t>
      </w:r>
    </w:p>
    <w:p w14:paraId="BD92DA88">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3.安全文明施工</w:t>
      </w:r>
    </w:p>
    <w:p w14:paraId="F2C85D00">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3.1 指导思想</w:t>
      </w:r>
    </w:p>
    <w:p w14:paraId="FF5AEA55">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坚持安全第一，预防为主的方针，认真贯彻执行国家、行业及招标人有关安全生产和环境保护的方针、政策、法律法规，建立健全职业安全卫生管理体系，落实各级安全生产责任制；加强安全生产监督网络建设，使安全生产保证体系和安全生产监督体系在施工过程中得到可靠运作。本着“尊重人、关心人、爱护人”及“对个人、对企业、对国家”高度负责的精神，牢固树立“施工中只要有危险因素存在，就一定有标准化安全防护设施”的指导思想，切实保证安全管理工作做到“纵向到底、横向到边”。为招标人提供一个安全、优质的精品工程。</w:t>
      </w:r>
    </w:p>
    <w:p w14:paraId="860AA1FC">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3.2 总体目标</w:t>
      </w:r>
    </w:p>
    <w:p w14:paraId="9DBA9E7E">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3.2.1 安全目标：杜绝死亡事故，无重伤事故，无重大机械设备损坏事故，无重大火灾事故，无重大责任在中标单位的交通事故。</w:t>
      </w:r>
    </w:p>
    <w:p w14:paraId="329B534E">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3.2.2 文明施工目标：道路整洁化，设施标准化，堆放定置化，行为规范化，环境绿色化，施工有序化，争创建设安全文明施工现场。</w:t>
      </w:r>
    </w:p>
    <w:p w14:paraId="502C41C7">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3.2.3 执行的法律、法规与其它要求：执行下列现行的国家法律、法规及电力行业有关规定（但不限于）：</w:t>
      </w:r>
    </w:p>
    <w:p w14:paraId="968B385A">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①《中华人民共和国劳动法》</w:t>
      </w:r>
    </w:p>
    <w:p w14:paraId="A5198900">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②《中华人民共和国全民所有制工业企业法》</w:t>
      </w:r>
    </w:p>
    <w:p w14:paraId="C8ADD966">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③《中华人民共和国标准化法》</w:t>
      </w:r>
    </w:p>
    <w:p w14:paraId="2058CFF3">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④《安全生产工作规定》</w:t>
      </w:r>
    </w:p>
    <w:p w14:paraId="CAE13945">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⑤《电力建设安全施工管理规定》</w:t>
      </w:r>
    </w:p>
    <w:p w14:paraId="A4EC0181">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⑥《电力安全监察规定》</w:t>
      </w:r>
    </w:p>
    <w:p w14:paraId="CD68BA56">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⑦《电力建设安全工作规程》</w:t>
      </w:r>
    </w:p>
    <w:p w14:paraId="A3F34D0B">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⑧《电业生产事故调查规程》</w:t>
      </w:r>
    </w:p>
    <w:p w14:paraId="8E56AB53">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⑨《电力建设文明施工规定及考核办法》</w:t>
      </w:r>
    </w:p>
    <w:p w14:paraId="707D7EC1">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⑩《电力建设安全文明施工现场标准及考核检查表》</w:t>
      </w:r>
    </w:p>
    <w:p w14:paraId="3BC231C0">
      <w:pPr>
        <w:pStyle w:val="15"/>
        <w:pageBreakBefore w:val="0"/>
        <w:kinsoku/>
        <w:overflowPunct/>
        <w:topLinePunct w:val="0"/>
        <w:autoSpaceDE/>
        <w:autoSpaceDN/>
        <w:bidi w:val="0"/>
        <w:spacing w:after="0" w:line="360" w:lineRule="auto"/>
        <w:ind w:right="0" w:rightChars="0" w:firstLine="547" w:firstLineChars="228"/>
        <w:textAlignment w:val="auto"/>
        <w:rPr>
          <w:rFonts w:hint="eastAsia" w:ascii="宋体" w:hAnsi="宋体" w:eastAsia="宋体" w:cs="宋体"/>
          <w:color w:val="36363D"/>
          <w:sz w:val="24"/>
          <w:szCs w:val="24"/>
        </w:rPr>
      </w:pPr>
      <w:r>
        <w:rPr>
          <w:rFonts w:ascii="宋体" w:hAnsi="宋体" w:eastAsia="宋体" w:cs="宋体"/>
          <w:color w:val="36363D"/>
          <w:sz w:val="24"/>
          <w:szCs w:val="24"/>
        </w:rPr>
        <w:t>⑪</w:t>
      </w:r>
      <w:r>
        <w:rPr>
          <w:rFonts w:hint="eastAsia" w:ascii="宋体" w:hAnsi="宋体" w:eastAsia="宋体" w:cs="宋体"/>
          <w:color w:val="36363D"/>
          <w:sz w:val="24"/>
          <w:szCs w:val="24"/>
        </w:rPr>
        <w:t xml:space="preserve">《职业安全卫生管理体系试行标准》 </w:t>
      </w:r>
    </w:p>
    <w:p w14:paraId="BD7150E3">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地方政府有关安全文明施工的法律、法规及规定；项目法人单位制定的有关安全文明施工的要求等。签订合同时需同时签订施工安全管理协议。</w:t>
      </w:r>
    </w:p>
    <w:p w14:paraId="61161675">
      <w:pPr>
        <w:pStyle w:val="211"/>
        <w:pageBreakBefore w:val="0"/>
        <w:kinsoku/>
        <w:overflowPunct/>
        <w:topLinePunct w:val="0"/>
        <w:autoSpaceDE/>
        <w:autoSpaceDN/>
        <w:bidi w:val="0"/>
        <w:spacing w:before="0" w:after="0" w:line="360" w:lineRule="auto"/>
        <w:ind w:right="0" w:rightChars="0" w:firstLine="482"/>
        <w:textAlignment w:val="auto"/>
        <w:rPr>
          <w:rFonts w:hint="eastAsia"/>
          <w:color w:val="36363D"/>
          <w:szCs w:val="24"/>
          <w:lang w:eastAsia="zh-CN"/>
        </w:rPr>
      </w:pPr>
      <w:r>
        <w:rPr>
          <w:rFonts w:hint="eastAsia"/>
          <w:snapToGrid w:val="0"/>
          <w:color w:val="36363D"/>
          <w:szCs w:val="24"/>
          <w:lang w:eastAsia="zh-CN"/>
        </w:rPr>
        <w:t>（六）</w:t>
      </w:r>
      <w:r>
        <w:rPr>
          <w:rFonts w:hint="eastAsia"/>
          <w:color w:val="36363D"/>
          <w:szCs w:val="24"/>
          <w:lang w:eastAsia="zh-CN"/>
        </w:rPr>
        <w:t xml:space="preserve">项目实施方案 </w:t>
      </w:r>
    </w:p>
    <w:p w14:paraId="0A018ACC">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投标人应根据工程进度计划编制项目实施方案。项目实施方案包括但不限于以下内容：</w:t>
      </w:r>
    </w:p>
    <w:p w14:paraId="05855A9E">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1.施工所用的标准及规范</w:t>
      </w:r>
    </w:p>
    <w:p w14:paraId="A1862BC9">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1.1 国家和地方现行的标准、规范及其他技术文件；</w:t>
      </w:r>
    </w:p>
    <w:p w14:paraId="2DDAD7A2">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1.2 行业标准、规范及其他技术文件；</w:t>
      </w:r>
    </w:p>
    <w:p w14:paraId="8CCB3E20">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1.3 产品生产厂家的产品说明书及其他技术文件。</w:t>
      </w:r>
    </w:p>
    <w:p w14:paraId="08AEC29E">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2.施工综合进度</w:t>
      </w:r>
    </w:p>
    <w:p w14:paraId="17C11284">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2.1 制定工程进度计划（根据实际修改）；</w:t>
      </w:r>
    </w:p>
    <w:p w14:paraId="D469D5E8">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 图纸交付进度，要求提供图纸总目录和图纸交付进度；</w:t>
      </w:r>
    </w:p>
    <w:p w14:paraId="C532D3F5">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2.3 主要设备交付进度；</w:t>
      </w:r>
    </w:p>
    <w:p w14:paraId="DD6548F7">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2.4 综合劳动力和主要工种劳动力安排计划；</w:t>
      </w:r>
    </w:p>
    <w:p w14:paraId="7191FAE9">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2.5 主要施工机械设备配置及进场计划；</w:t>
      </w:r>
    </w:p>
    <w:p w14:paraId="935884F4">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2.6 工程进度计划的实施和控制；</w:t>
      </w:r>
    </w:p>
    <w:p w14:paraId="6473AE34">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2.6.1施工准备计划；</w:t>
      </w:r>
    </w:p>
    <w:p w14:paraId="2077937C">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2.6.2设计进度保证措施；</w:t>
      </w:r>
    </w:p>
    <w:p w14:paraId="FA5F436E">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2.6.3设备进度保证措施；</w:t>
      </w:r>
    </w:p>
    <w:p w14:paraId="CA0195A8">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2.6.4施工进度保证措施；</w:t>
      </w:r>
    </w:p>
    <w:p w14:paraId="C2185C55">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2.6.5调试进度保证措施。</w:t>
      </w:r>
    </w:p>
    <w:p w14:paraId="0D257D74">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3.施工总平面布置</w:t>
      </w:r>
    </w:p>
    <w:p w14:paraId="06EE2155">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3.1 施工区域划分和施工用地面积指标（要求投标方提供较详细的全场施工总平面布置）</w:t>
      </w:r>
    </w:p>
    <w:p w14:paraId="F338CA58">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3.2 交通运输组织</w:t>
      </w:r>
    </w:p>
    <w:p w14:paraId="4B4BB360">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3.3 施工机械平面布置</w:t>
      </w:r>
    </w:p>
    <w:p w14:paraId="13B05ACC">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3.4 施工总平面管理</w:t>
      </w:r>
    </w:p>
    <w:p w14:paraId="C729A06F">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4.施工临时设施及场地</w:t>
      </w:r>
    </w:p>
    <w:p w14:paraId="D06D9CD0">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4.1 本工程生产性施工临时建筑及施工场地</w:t>
      </w:r>
    </w:p>
    <w:p w14:paraId="B081C012">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4.2 安装工程生产性施工临时建筑及施工场地</w:t>
      </w:r>
    </w:p>
    <w:p w14:paraId="28936126">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4.3 生活性施工临时建筑</w:t>
      </w:r>
    </w:p>
    <w:p w14:paraId="77368673">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4.4 施工临时建筑总面积</w:t>
      </w:r>
    </w:p>
    <w:p w14:paraId="E42D2A6B">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5.施工能力供应</w:t>
      </w:r>
    </w:p>
    <w:p w14:paraId="ADFB08F5">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5.1 供水</w:t>
      </w:r>
    </w:p>
    <w:p w14:paraId="16CD9003">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5.2 供电</w:t>
      </w:r>
    </w:p>
    <w:p w14:paraId="E3435C99">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6.主要施工方案及特殊施工措施</w:t>
      </w:r>
    </w:p>
    <w:p w14:paraId="2FC27551">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6.1 施工原则性方案：主要指整个工程施工的思路、计划等叙述</w:t>
      </w:r>
    </w:p>
    <w:p w14:paraId="14BAB087">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6.2 投标人应编制安装工程主要施工方案目录有</w:t>
      </w:r>
    </w:p>
    <w:p w14:paraId="2C7207C0">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6.2.1电池组件安装方案</w:t>
      </w:r>
    </w:p>
    <w:p w14:paraId="8C39E076">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6.2.2开关柜安装方案</w:t>
      </w:r>
    </w:p>
    <w:p w14:paraId="B2B656E3">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6.2.3电缆敷设和接线施工方案</w:t>
      </w:r>
    </w:p>
    <w:p w14:paraId="A557CB80">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6.3 投标人应编制特殊施工措施目录有</w:t>
      </w:r>
    </w:p>
    <w:p w14:paraId="449F1D97">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6.3.1冬、雨季施工措施</w:t>
      </w:r>
    </w:p>
    <w:p w14:paraId="E58F50C5">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6.3.2试运措施</w:t>
      </w:r>
    </w:p>
    <w:p w14:paraId="F40F3009">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6.3.3接地、防雷施工方案 </w:t>
      </w:r>
    </w:p>
    <w:p w14:paraId="33151E37">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7.设备、物资的管理</w:t>
      </w:r>
    </w:p>
    <w:p w14:paraId="3FFCDB74">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7.1 设备、材料的装卸与搬运</w:t>
      </w:r>
    </w:p>
    <w:p w14:paraId="DDE48329">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7.2 设备的开箱检验及装箱图纸、技术资料的管理</w:t>
      </w:r>
    </w:p>
    <w:p w14:paraId="4DEF1270">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7.3 设备、材料的保管保养</w:t>
      </w:r>
    </w:p>
    <w:p w14:paraId="27173DE7">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7.4 设备的发放使用</w:t>
      </w:r>
    </w:p>
    <w:p w14:paraId="B1E2D0F7">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7.5 工程材料的供应与管理</w:t>
      </w:r>
    </w:p>
    <w:p w14:paraId="552BB2EA">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7.6 工程竣工后备品、备件及专用工具的移交</w:t>
      </w:r>
    </w:p>
    <w:p w14:paraId="9F267803">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8.项目质量管理</w:t>
      </w:r>
    </w:p>
    <w:p w14:paraId="745EBECB">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8.1 投标人质量管理手册</w:t>
      </w:r>
    </w:p>
    <w:p w14:paraId="D156DFEB">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8.2 质量管理体系可操作性程序文件清单</w:t>
      </w:r>
    </w:p>
    <w:p w14:paraId="D3C06BEB">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投标人应结合工程实际情况，提供符合 ISO9001:2000 质量管理体系要求的质量计划或质保大纲。</w:t>
      </w:r>
    </w:p>
    <w:p w14:paraId="CDBF3616">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8.3 投标人应达到的项目质量目标</w:t>
      </w:r>
    </w:p>
    <w:p w14:paraId="65D904F9">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8.3.1设计质量目标 方案优化、指标先进、严格评审、供图及时、设计变更率≯5%</w:t>
      </w:r>
    </w:p>
    <w:p w14:paraId="5C75599E">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8.3.2设备质量目标 选型合理、技术可靠、严格监造、供货及时、设备缺陷率为零</w:t>
      </w:r>
    </w:p>
    <w:p w14:paraId="80F173CA">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8.3.3施工质量目标</w:t>
      </w:r>
    </w:p>
    <w:p w14:paraId="6B0F46D7">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安装工程： 单位工程合格率：100％ 钢筋焊接一检合格率：≥100％ 砼强度合格率：100％ 分项工程合格率：100％ 分部工程合格率：100％ 单位工程合格率：100％ 受检焊接接头一检合格率：≥100％</w:t>
      </w:r>
    </w:p>
    <w:p w14:paraId="EA6D5A85">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8.3.4调试质量目标 保护装置、主要仪表投入率：100％ 自动投入率：100％ 整体试运一次成功</w:t>
      </w:r>
    </w:p>
    <w:p w14:paraId="70D165B8">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8.4 项目质量管理网络</w:t>
      </w:r>
    </w:p>
    <w:p w14:paraId="D59CE206">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8.5 工程项目检验、试验的计划</w:t>
      </w:r>
    </w:p>
    <w:p w14:paraId="ADB4F1FA">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8.5.1项目质量控制计划</w:t>
      </w:r>
    </w:p>
    <w:p w14:paraId="1F9C0F1E">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8.5.2工程质量验收和评定项目划分表 6.8.6 工程项目检验、试验的实施</w:t>
      </w:r>
    </w:p>
    <w:p w14:paraId="6CD724AA">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8.6项目质量控制</w:t>
      </w:r>
    </w:p>
    <w:p w14:paraId="D5ABDEA9">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8.6.1设计质量控制措施</w:t>
      </w:r>
    </w:p>
    <w:p w14:paraId="C1001691">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8.6.2采购质量控制措施</w:t>
      </w:r>
    </w:p>
    <w:p w14:paraId="2F7F86F8">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8.6.3施工质量控制措施</w:t>
      </w:r>
    </w:p>
    <w:p w14:paraId="5C45063E">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8.6.4调试质量控制措施 </w:t>
      </w:r>
    </w:p>
    <w:p w14:paraId="00831E26">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9.文明施工</w:t>
      </w:r>
    </w:p>
    <w:p w14:paraId="FEEF69E2">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9.1文明施工的总目标，由投标人提出并征求招标人的同意</w:t>
      </w:r>
    </w:p>
    <w:p w14:paraId="8F150655">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9.2文明施工管理组织机构</w:t>
      </w:r>
    </w:p>
    <w:p w14:paraId="0DC6B15D">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9.3文明施工的规划措施</w:t>
      </w:r>
    </w:p>
    <w:p w14:paraId="B82D2B99">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9.4文明施工的实施 </w:t>
      </w:r>
    </w:p>
    <w:p w14:paraId="096ED653">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10.项目施工技术管理</w:t>
      </w:r>
    </w:p>
    <w:p w14:paraId="85DFE626">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10.1 施工技术责任制度，各级技术负责人的职责</w:t>
      </w:r>
    </w:p>
    <w:p w14:paraId="521EC8FC">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10.2 施工组织设计的编制规定 投标人应严格按照经审定的《施工组织设计大纲》7要求编制针对工程特点的施工组织设计并制定的消除质量通病的措施，提交包括临时设施和施工道路的施工总布置图及其他必需的图表、文字说明书等资料。</w:t>
      </w:r>
    </w:p>
    <w:p w14:paraId="A18D3DAC">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10.3 施工技术措施、方案编制、报批和管理规定</w:t>
      </w:r>
    </w:p>
    <w:p w14:paraId="02C3E73F">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10.4 设计变更管理规定</w:t>
      </w:r>
    </w:p>
    <w:p w14:paraId="A4703A88">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10.5 特殊施工过程管理规定</w:t>
      </w:r>
    </w:p>
    <w:p w14:paraId="C72D9167">
      <w:pPr>
        <w:pStyle w:val="15"/>
        <w:pageBreakBefore w:val="0"/>
        <w:kinsoku/>
        <w:overflowPunct/>
        <w:topLinePunct w:val="0"/>
        <w:autoSpaceDE/>
        <w:autoSpaceDN/>
        <w:bidi w:val="0"/>
        <w:spacing w:after="0" w:line="360" w:lineRule="auto"/>
        <w:ind w:right="0" w:rightChars="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10.6 工程竣工资料移交管理规定</w:t>
      </w:r>
    </w:p>
    <w:p w14:paraId="2EFD614B">
      <w:pPr>
        <w:pStyle w:val="211"/>
        <w:pageBreakBefore w:val="0"/>
        <w:kinsoku/>
        <w:overflowPunct/>
        <w:topLinePunct w:val="0"/>
        <w:autoSpaceDE/>
        <w:autoSpaceDN/>
        <w:bidi w:val="0"/>
        <w:spacing w:before="0" w:after="0" w:line="360" w:lineRule="auto"/>
        <w:ind w:right="0" w:rightChars="0" w:firstLine="482"/>
        <w:textAlignment w:val="auto"/>
        <w:rPr>
          <w:rFonts w:hint="eastAsia"/>
          <w:color w:val="36363D"/>
          <w:szCs w:val="24"/>
          <w:lang w:eastAsia="zh-CN"/>
        </w:rPr>
      </w:pPr>
      <w:r>
        <w:rPr>
          <w:rFonts w:hint="eastAsia"/>
          <w:color w:val="36363D"/>
          <w:szCs w:val="24"/>
          <w:lang w:eastAsia="zh-CN"/>
        </w:rPr>
        <w:t>（七）设备、技术文件及图纸的交付</w:t>
      </w:r>
    </w:p>
    <w:p w14:paraId="D2733C8A">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 xml:space="preserve">1.设计文件的交付 </w:t>
      </w:r>
    </w:p>
    <w:p w14:paraId="994CFE55">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投标人安排施工图设计应保证工期需要。中标单位在进场施工前需提供具有电力设计资质的设计单位出具的正式蓝图3套（中标单位1套、建设单位2套）及电子版图纸1套，竣工验收后，由中标单位提供给建设单位校内存档竣工蓝图2套。</w:t>
      </w:r>
    </w:p>
    <w:p w14:paraId="36786E0C">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2.竣工文件</w:t>
      </w:r>
    </w:p>
    <w:p w14:paraId="0A570DB5">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投标人应编制并随时更新一套完整的、有关工程施工情况的竣工记录，如实记载竣工工程的准确位置、尺寸、调试试验资料和实施工作的详细说明。应在竣工试验开始前，提交两套副本分别提交监理工程师及招标人代表。</w:t>
      </w:r>
    </w:p>
    <w:p w14:paraId="DD60C3D1">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此外，投标人应负责绘制并向招标人代表提供工程的竣工图，标明整个工程的施工完毕的实际情况， 提交监理工程师根据规定进行审核。投标人应对图纸质量负责。</w:t>
      </w:r>
    </w:p>
    <w:p w14:paraId="C39C7177">
      <w:pPr>
        <w:pStyle w:val="211"/>
        <w:pageBreakBefore w:val="0"/>
        <w:kinsoku/>
        <w:overflowPunct/>
        <w:topLinePunct w:val="0"/>
        <w:autoSpaceDE/>
        <w:autoSpaceDN/>
        <w:bidi w:val="0"/>
        <w:spacing w:before="0" w:after="0" w:line="360" w:lineRule="auto"/>
        <w:ind w:right="0" w:rightChars="0" w:firstLine="482"/>
        <w:textAlignment w:val="auto"/>
        <w:rPr>
          <w:rFonts w:hint="eastAsia"/>
          <w:color w:val="36363D"/>
          <w:szCs w:val="24"/>
          <w:lang w:eastAsia="zh-CN"/>
        </w:rPr>
      </w:pPr>
      <w:r>
        <w:rPr>
          <w:rFonts w:hint="eastAsia"/>
          <w:color w:val="36363D"/>
          <w:szCs w:val="24"/>
          <w:lang w:eastAsia="zh-CN"/>
        </w:rPr>
        <w:t xml:space="preserve">（八）人员培训和派遣 </w:t>
      </w:r>
    </w:p>
    <w:p w14:paraId="CD699C1C">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1.投标人应负责在建设单位培训招标人的技术人员。</w:t>
      </w:r>
    </w:p>
    <w:p w14:paraId="B7B32853">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2.投标人将负责培训课程的安排，并由招标人确认。投标人应选择有经验和能力的培训员。培训和培训教材使用中文。</w:t>
      </w:r>
    </w:p>
    <w:p w14:paraId="F32648C2">
      <w:pPr>
        <w:pStyle w:val="211"/>
        <w:pageBreakBefore w:val="0"/>
        <w:kinsoku/>
        <w:overflowPunct/>
        <w:topLinePunct w:val="0"/>
        <w:autoSpaceDE/>
        <w:autoSpaceDN/>
        <w:bidi w:val="0"/>
        <w:spacing w:before="0" w:after="0" w:line="360" w:lineRule="auto"/>
        <w:ind w:right="0" w:rightChars="0" w:firstLine="482"/>
        <w:textAlignment w:val="auto"/>
        <w:rPr>
          <w:rFonts w:hint="eastAsia"/>
          <w:color w:val="36363D"/>
          <w:szCs w:val="24"/>
          <w:lang w:eastAsia="zh-CN"/>
        </w:rPr>
      </w:pPr>
      <w:r>
        <w:rPr>
          <w:rFonts w:hint="eastAsia"/>
          <w:color w:val="36363D"/>
          <w:szCs w:val="24"/>
          <w:lang w:eastAsia="zh-CN"/>
        </w:rPr>
        <w:t>（九）运输和保管</w:t>
      </w:r>
    </w:p>
    <w:p w14:paraId="48F06F90">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中标单位采购的本工程所有工程设备、材料从制造厂到现场的装车、运输、中转装卸、接货、卸车、检验、入库、保管、维护、保养、现场搬运直至安装位置等均由中标单位负责和管理。</w:t>
      </w:r>
    </w:p>
    <w:p w14:paraId="1412F12D">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中标单位应严格按照规程要求对现场工程设备、材料实施分类保管。中标单位和分包商应及时构建符合要求的棚库、封闭库、保温库、危险品库等。露天堆放场地应进行必要的硬化、围护，并设有排水、防火设施。中标单位和分包商应建立健全设备、材料开箱检验、出入库管理、维修保养、废弃设备材料处置管理办法等制度。招标人代表及监理工程师将不定期对设备、材料的管理状况进行监督检查，中标单位负责落实监督检查提出的整改意见。</w:t>
      </w:r>
    </w:p>
    <w:p w14:paraId="EA2E8EB7">
      <w:pPr>
        <w:pStyle w:val="211"/>
        <w:pageBreakBefore w:val="0"/>
        <w:numPr>
          <w:ilvl w:val="0"/>
          <w:numId w:val="7"/>
        </w:numPr>
        <w:kinsoku/>
        <w:overflowPunct/>
        <w:topLinePunct w:val="0"/>
        <w:autoSpaceDE/>
        <w:autoSpaceDN/>
        <w:bidi w:val="0"/>
        <w:spacing w:before="0" w:after="0" w:line="360" w:lineRule="auto"/>
        <w:ind w:right="0" w:rightChars="0" w:firstLineChars="0"/>
        <w:textAlignment w:val="auto"/>
        <w:rPr>
          <w:rFonts w:hint="eastAsia"/>
          <w:color w:val="36363D"/>
          <w:szCs w:val="24"/>
          <w:lang w:eastAsia="zh-CN"/>
        </w:rPr>
      </w:pPr>
      <w:r>
        <w:rPr>
          <w:rFonts w:hint="eastAsia"/>
          <w:color w:val="36363D"/>
          <w:szCs w:val="24"/>
          <w:lang w:eastAsia="zh-CN"/>
        </w:rPr>
        <w:t>运抵现场</w:t>
      </w:r>
    </w:p>
    <w:p w14:paraId="3BE5BD74">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本项目所需要的所有工程设备、材料、设备以及其他物资的采购、运输、接货、卸货和 安全保管等，均应由中标单位负责。</w:t>
      </w:r>
    </w:p>
    <w:p w14:paraId="68212F40">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项目建设单位代表有对设备、材料的运货情况、质量情况和供货情况进行监督检查的职能和权力。 </w:t>
      </w:r>
    </w:p>
    <w:p w14:paraId="F1E86153">
      <w:pPr>
        <w:pStyle w:val="211"/>
        <w:pageBreakBefore w:val="0"/>
        <w:kinsoku/>
        <w:overflowPunct/>
        <w:topLinePunct w:val="0"/>
        <w:autoSpaceDE/>
        <w:autoSpaceDN/>
        <w:bidi w:val="0"/>
        <w:spacing w:before="0" w:after="0" w:line="360" w:lineRule="auto"/>
        <w:ind w:left="0" w:right="0" w:rightChars="0" w:firstLine="482"/>
        <w:textAlignment w:val="auto"/>
        <w:rPr>
          <w:rFonts w:hint="eastAsia"/>
          <w:color w:val="36363D"/>
          <w:szCs w:val="24"/>
          <w:lang w:eastAsia="zh-CN"/>
        </w:rPr>
      </w:pPr>
      <w:r>
        <w:rPr>
          <w:rFonts w:hint="eastAsia"/>
          <w:color w:val="36363D"/>
          <w:szCs w:val="24"/>
          <w:lang w:eastAsia="zh-CN"/>
        </w:rPr>
        <w:t>2.工程设备与材料的所有权</w:t>
      </w:r>
    </w:p>
    <w:p w14:paraId="5D164CE1">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合格优质的工程设备和材料的财产权均为中标单位所有，保管由中标单位负责。 </w:t>
      </w:r>
    </w:p>
    <w:p w14:paraId="1719C613">
      <w:pPr>
        <w:pStyle w:val="211"/>
        <w:pageBreakBefore w:val="0"/>
        <w:kinsoku/>
        <w:overflowPunct/>
        <w:topLinePunct w:val="0"/>
        <w:autoSpaceDE/>
        <w:autoSpaceDN/>
        <w:bidi w:val="0"/>
        <w:spacing w:before="0" w:after="0" w:line="360" w:lineRule="auto"/>
        <w:ind w:right="0" w:rightChars="0" w:firstLine="482"/>
        <w:textAlignment w:val="auto"/>
        <w:rPr>
          <w:rFonts w:hint="eastAsia"/>
          <w:color w:val="36363D"/>
          <w:szCs w:val="24"/>
          <w:lang w:eastAsia="zh-CN"/>
        </w:rPr>
      </w:pPr>
      <w:r>
        <w:rPr>
          <w:rFonts w:hint="eastAsia"/>
          <w:color w:val="36363D"/>
          <w:szCs w:val="24"/>
          <w:lang w:eastAsia="zh-CN"/>
        </w:rPr>
        <w:t>（十）项目管理组织机构和人员配置</w:t>
      </w:r>
    </w:p>
    <w:p w14:paraId="E4E60B2A">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项目管理组织机构：中标单位应在项目场地设置项目经理部（以下简称“项目经理部”）以对其履行合同项目服务的行为进行管理。项目经理部是投标人履行其在合同项目服务的执行机构，在工程竣工前应为常设机构。项目经理部应为投标人履行其在合同项目服务的唯一机构，其所有行为均视为投标人本身的行为。</w:t>
      </w:r>
    </w:p>
    <w:p w14:paraId="A5FB3168">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2.项目主要管理人员的配置</w:t>
      </w:r>
    </w:p>
    <w:p w14:paraId="5D0071E7">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2.1投标人的现场组织机构人员的配置，要根据工程特点，施工规模、建设工期、管理目标以及合理的管理跨度进行配置，应在提高管理人员整体素质的基础上优化组合，组成精干高效的管理工作班子。</w:t>
      </w:r>
    </w:p>
    <w:p w14:paraId="631909EE">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2.2投标人现场组织机构管理人员的配置要有合理的专业机构，各专业人员应配套，并要有合理的技术职务、职称机构。</w:t>
      </w:r>
    </w:p>
    <w:p w14:paraId="E8879DE1">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2.3投标人现场组织机构的管理人员应具有其所承担管理任务相适应的技术水平、管理水平和相应资质。 </w:t>
      </w:r>
    </w:p>
    <w:p w14:paraId="F4E964D6">
      <w:pPr>
        <w:pStyle w:val="211"/>
        <w:pageBreakBefore w:val="0"/>
        <w:kinsoku/>
        <w:overflowPunct/>
        <w:topLinePunct w:val="0"/>
        <w:autoSpaceDE/>
        <w:autoSpaceDN/>
        <w:bidi w:val="0"/>
        <w:spacing w:before="0" w:after="0" w:line="360" w:lineRule="auto"/>
        <w:ind w:right="0" w:rightChars="0" w:firstLine="482"/>
        <w:textAlignment w:val="auto"/>
        <w:rPr>
          <w:rFonts w:hint="eastAsia"/>
          <w:color w:val="36363D"/>
          <w:szCs w:val="24"/>
          <w:lang w:eastAsia="zh-CN"/>
        </w:rPr>
      </w:pPr>
      <w:r>
        <w:rPr>
          <w:rFonts w:hint="eastAsia"/>
          <w:color w:val="36363D"/>
          <w:szCs w:val="24"/>
          <w:lang w:eastAsia="zh-CN"/>
        </w:rPr>
        <w:t>（十一）招标人对承包人的特殊要求</w:t>
      </w:r>
    </w:p>
    <w:p w14:paraId="C2384261">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1.中标单位的施工工作不得影响区域的人员正常工作。中标单位应对施工现场区域做好相关围挡和告示等工作，以确保施工区域的安全及文明施工。</w:t>
      </w:r>
    </w:p>
    <w:p w14:paraId="80E4DFD8">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2.因政府原因导致本项目不能如实按期开工或暂停施工的，视作不可抗力，不得作为索赔的条件或理由，工期相应顺延。</w:t>
      </w:r>
    </w:p>
    <w:p w14:paraId="014BC5F0">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3.项目审计和检查等的配合</w:t>
      </w:r>
    </w:p>
    <w:p w14:paraId="F514BE2B">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3.1与本项目相关的审计和稽查，中标单位应高度重视并委派专人积极予以配合；</w:t>
      </w:r>
    </w:p>
    <w:p w14:paraId="9DCBB273">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3.2有关单位对本项目的各种检查和视察等活动，中标单位有义务予以积极配合开展各项工作；</w:t>
      </w:r>
    </w:p>
    <w:p w14:paraId="E0C27AB4">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3.3本项目有关的各类统计报表、汇报材料包括验收等，中标单位有义务配合招标人做好编制工作并提供相应的资料；</w:t>
      </w:r>
    </w:p>
    <w:p w14:paraId="7B444A92">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3.4加强与交警、路政、城管、城建等部门的联系。</w:t>
      </w:r>
    </w:p>
    <w:p w14:paraId="31399626">
      <w:pPr>
        <w:pStyle w:val="15"/>
        <w:pageBreakBefore w:val="0"/>
        <w:kinsoku/>
        <w:overflowPunct/>
        <w:topLinePunct w:val="0"/>
        <w:autoSpaceDE/>
        <w:autoSpaceDN/>
        <w:bidi w:val="0"/>
        <w:spacing w:after="0" w:line="360" w:lineRule="auto"/>
        <w:ind w:right="0" w:rightChars="0" w:firstLine="480" w:firstLineChars="200"/>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4.中标单位在施工现场除设置办公、值班用房外，不得在施工现场安排人员食宿，中标单位须服从校方相关部门的管理，未经学校允许，施工人员不得进入校内其他建筑。 </w:t>
      </w:r>
    </w:p>
    <w:p w14:paraId="F87266A7">
      <w:pPr>
        <w:pageBreakBefore w:val="0"/>
        <w:widowControl/>
        <w:kinsoku/>
        <w:overflowPunct/>
        <w:topLinePunct w:val="0"/>
        <w:autoSpaceDE/>
        <w:autoSpaceDN/>
        <w:bidi w:val="0"/>
        <w:snapToGrid w:val="0"/>
        <w:spacing w:after="0" w:line="360" w:lineRule="auto"/>
        <w:ind w:right="0" w:rightChars="0" w:firstLine="480"/>
        <w:textAlignment w:val="auto"/>
        <w:rPr>
          <w:rFonts w:hint="eastAsia" w:cs="宋体"/>
          <w:color w:val="36363D"/>
        </w:rPr>
      </w:pPr>
      <w:r>
        <w:rPr>
          <w:rFonts w:hint="eastAsia" w:cs="宋体"/>
          <w:color w:val="36363D"/>
        </w:rPr>
        <w:t>5.在施工过程中，由于中标单位措施不力，损坏校内道路、破坏周边环境卫生，影响交通安全和正常运行，并造成重大影响，引起索赔，赔偿、诉讼费用及工程拖延或施工费用增加时，应由中标单位承担一切责任和费用。</w:t>
      </w:r>
    </w:p>
    <w:p w14:paraId="666BE0F2">
      <w:pPr>
        <w:pStyle w:val="3"/>
        <w:pageBreakBefore w:val="0"/>
        <w:kinsoku/>
        <w:overflowPunct/>
        <w:topLinePunct w:val="0"/>
        <w:bidi w:val="0"/>
        <w:spacing w:after="0"/>
        <w:jc w:val="left"/>
        <w:rPr>
          <w:rFonts w:hint="eastAsia" w:cs="宋体"/>
          <w:b w:val="0"/>
          <w:bCs w:val="0"/>
          <w:color w:val="36363D"/>
          <w:szCs w:val="32"/>
        </w:rPr>
      </w:pPr>
      <w:bookmarkStart w:id="29" w:name="_Toc14075"/>
      <w:r>
        <w:rPr>
          <w:rFonts w:hint="eastAsia" w:cs="宋体"/>
          <w:b w:val="0"/>
          <w:bCs w:val="0"/>
          <w:color w:val="36363D"/>
          <w:szCs w:val="32"/>
        </w:rPr>
        <w:br w:type="page"/>
      </w:r>
      <w:bookmarkEnd w:id="19"/>
      <w:bookmarkEnd w:id="20"/>
      <w:bookmarkEnd w:id="29"/>
    </w:p>
    <w:p w14:paraId="4F7C4E3A">
      <w:pPr>
        <w:pStyle w:val="3"/>
        <w:pageBreakBefore w:val="0"/>
        <w:kinsoku/>
        <w:overflowPunct/>
        <w:topLinePunct w:val="0"/>
        <w:bidi w:val="0"/>
        <w:spacing w:after="0"/>
        <w:rPr>
          <w:rFonts w:hint="eastAsia" w:cs="宋体"/>
          <w:color w:val="36363D"/>
          <w:szCs w:val="32"/>
        </w:rPr>
      </w:pPr>
      <w:bookmarkStart w:id="30" w:name="_Toc20148"/>
      <w:bookmarkStart w:id="31" w:name="_Toc16935"/>
      <w:r>
        <w:rPr>
          <w:rFonts w:hint="eastAsia" w:cs="宋体"/>
          <w:color w:val="36363D"/>
          <w:szCs w:val="32"/>
        </w:rPr>
        <w:t>第三章 投标人须知</w:t>
      </w:r>
      <w:bookmarkEnd w:id="21"/>
      <w:bookmarkEnd w:id="22"/>
      <w:bookmarkEnd w:id="30"/>
      <w:bookmarkEnd w:id="31"/>
    </w:p>
    <w:p w14:paraId="D13DB6B4">
      <w:pPr>
        <w:pStyle w:val="4"/>
        <w:pageBreakBefore w:val="0"/>
        <w:kinsoku/>
        <w:overflowPunct/>
        <w:topLinePunct w:val="0"/>
        <w:bidi w:val="0"/>
        <w:spacing w:after="0"/>
        <w:jc w:val="center"/>
        <w:rPr>
          <w:rFonts w:hint="eastAsia" w:ascii="宋体" w:hAnsi="宋体" w:cs="宋体"/>
          <w:color w:val="36363D"/>
          <w:sz w:val="24"/>
          <w:szCs w:val="24"/>
        </w:rPr>
      </w:pPr>
      <w:bookmarkStart w:id="32" w:name="_Toc13632"/>
      <w:bookmarkStart w:id="33" w:name="_Toc11636"/>
      <w:bookmarkStart w:id="34" w:name="_Toc2290"/>
      <w:bookmarkStart w:id="35" w:name="_Toc5983"/>
      <w:bookmarkStart w:id="36" w:name="_Toc21699"/>
      <w:bookmarkStart w:id="37" w:name="_Toc16996"/>
      <w:bookmarkStart w:id="38" w:name="_Toc26553"/>
      <w:bookmarkStart w:id="39" w:name="_Toc28291"/>
      <w:bookmarkStart w:id="40" w:name="_Toc26569"/>
      <w:bookmarkStart w:id="41" w:name="_Toc452457413"/>
      <w:r>
        <w:rPr>
          <w:rFonts w:hint="eastAsia" w:ascii="宋体" w:hAnsi="宋体" w:cs="宋体"/>
          <w:color w:val="36363D"/>
          <w:sz w:val="24"/>
          <w:szCs w:val="24"/>
        </w:rPr>
        <w:t>前 附 表</w:t>
      </w:r>
      <w:bookmarkEnd w:id="32"/>
      <w:bookmarkEnd w:id="33"/>
      <w:bookmarkEnd w:id="34"/>
      <w:bookmarkEnd w:id="35"/>
      <w:bookmarkEnd w:id="36"/>
      <w:bookmarkEnd w:id="37"/>
      <w:bookmarkEnd w:id="38"/>
      <w:bookmarkEnd w:id="39"/>
      <w:bookmarkEnd w:id="40"/>
      <w:bookmarkEnd w:id="41"/>
    </w:p>
    <w:tbl>
      <w:tblPr>
        <w:tblStyle w:val="43"/>
        <w:tblW w:w="9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25"/>
        <w:gridCol w:w="6930"/>
      </w:tblGrid>
      <w:tr w14:paraId="3109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FD66B8C3">
            <w:pPr>
              <w:pageBreakBefore w:val="0"/>
              <w:kinsoku/>
              <w:overflowPunct/>
              <w:topLinePunct w:val="0"/>
              <w:bidi w:val="0"/>
              <w:spacing w:after="0"/>
              <w:ind w:firstLine="0" w:firstLineChars="0"/>
              <w:jc w:val="center"/>
              <w:rPr>
                <w:rFonts w:hint="eastAsia" w:cs="宋体"/>
                <w:b/>
                <w:bCs/>
                <w:color w:val="36363D"/>
              </w:rPr>
            </w:pPr>
            <w:bookmarkStart w:id="42" w:name="_Toc179632546"/>
            <w:bookmarkStart w:id="43" w:name="_Toc296602420"/>
            <w:bookmarkStart w:id="44" w:name="_Toc152045529"/>
            <w:bookmarkStart w:id="45" w:name="_Toc246996918"/>
            <w:bookmarkStart w:id="46" w:name="_Toc152042305"/>
            <w:bookmarkStart w:id="47" w:name="_Toc247085689"/>
            <w:bookmarkStart w:id="48" w:name="_Toc452457414"/>
            <w:bookmarkStart w:id="49" w:name="_Toc144974497"/>
            <w:bookmarkStart w:id="50" w:name="_Toc246996175"/>
            <w:r>
              <w:rPr>
                <w:rFonts w:hint="eastAsia" w:cs="宋体"/>
                <w:b/>
                <w:bCs/>
                <w:color w:val="36363D"/>
              </w:rPr>
              <w:t>序号</w:t>
            </w:r>
          </w:p>
        </w:tc>
        <w:tc>
          <w:tcPr>
            <w:tcW w:w="2025" w:type="dxa"/>
            <w:vAlign w:val="center"/>
          </w:tcPr>
          <w:p w14:paraId="5A857BA9">
            <w:pPr>
              <w:pageBreakBefore w:val="0"/>
              <w:kinsoku/>
              <w:overflowPunct/>
              <w:topLinePunct w:val="0"/>
              <w:bidi w:val="0"/>
              <w:spacing w:after="0"/>
              <w:ind w:firstLine="0" w:firstLineChars="0"/>
              <w:jc w:val="center"/>
              <w:rPr>
                <w:rFonts w:hint="eastAsia" w:cs="宋体"/>
                <w:b/>
                <w:bCs/>
                <w:color w:val="36363D"/>
              </w:rPr>
            </w:pPr>
            <w:r>
              <w:rPr>
                <w:rFonts w:hint="eastAsia" w:cs="宋体"/>
                <w:b/>
                <w:bCs/>
                <w:color w:val="36363D"/>
              </w:rPr>
              <w:t>事项</w:t>
            </w:r>
          </w:p>
        </w:tc>
        <w:tc>
          <w:tcPr>
            <w:tcW w:w="6930" w:type="dxa"/>
            <w:vAlign w:val="center"/>
          </w:tcPr>
          <w:p w14:paraId="06E3235B">
            <w:pPr>
              <w:pageBreakBefore w:val="0"/>
              <w:kinsoku/>
              <w:overflowPunct/>
              <w:topLinePunct w:val="0"/>
              <w:bidi w:val="0"/>
              <w:spacing w:after="0"/>
              <w:ind w:firstLine="0" w:firstLineChars="0"/>
              <w:jc w:val="center"/>
              <w:rPr>
                <w:rFonts w:hint="eastAsia" w:cs="宋体"/>
                <w:b/>
                <w:bCs/>
                <w:color w:val="36363D"/>
              </w:rPr>
            </w:pPr>
            <w:r>
              <w:rPr>
                <w:rFonts w:hint="eastAsia" w:cs="宋体"/>
                <w:b/>
                <w:bCs/>
                <w:color w:val="36363D"/>
              </w:rPr>
              <w:t>内容</w:t>
            </w:r>
          </w:p>
        </w:tc>
      </w:tr>
      <w:tr w14:paraId="75B2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7" w:type="dxa"/>
            <w:vAlign w:val="center"/>
          </w:tcPr>
          <w:p w14:paraId="7E838802">
            <w:pPr>
              <w:pageBreakBefore w:val="0"/>
              <w:kinsoku/>
              <w:overflowPunct/>
              <w:topLinePunct w:val="0"/>
              <w:bidi w:val="0"/>
              <w:spacing w:after="0"/>
              <w:ind w:firstLine="240" w:firstLineChars="100"/>
              <w:rPr>
                <w:rFonts w:hint="eastAsia" w:cs="宋体"/>
                <w:color w:val="36363D"/>
              </w:rPr>
            </w:pPr>
            <w:r>
              <w:rPr>
                <w:rFonts w:hint="eastAsia" w:cs="宋体"/>
                <w:color w:val="36363D"/>
              </w:rPr>
              <w:t>1</w:t>
            </w:r>
          </w:p>
        </w:tc>
        <w:tc>
          <w:tcPr>
            <w:tcW w:w="2025" w:type="dxa"/>
            <w:vAlign w:val="center"/>
          </w:tcPr>
          <w:p w14:paraId="ADFFBC4D">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项目概况</w:t>
            </w:r>
          </w:p>
        </w:tc>
        <w:tc>
          <w:tcPr>
            <w:tcW w:w="6930" w:type="dxa"/>
            <w:vAlign w:val="center"/>
          </w:tcPr>
          <w:p w14:paraId="938BBF3B">
            <w:pPr>
              <w:pageBreakBefore w:val="0"/>
              <w:kinsoku/>
              <w:overflowPunct/>
              <w:topLinePunct w:val="0"/>
              <w:bidi w:val="0"/>
              <w:spacing w:after="0"/>
              <w:ind w:firstLine="0" w:firstLineChars="0"/>
              <w:rPr>
                <w:rFonts w:hint="eastAsia"/>
                <w:color w:val="36363D"/>
              </w:rPr>
            </w:pPr>
            <w:r>
              <w:rPr>
                <w:rFonts w:hint="eastAsia" w:cs="宋体"/>
                <w:color w:val="36363D"/>
              </w:rPr>
              <w:t>采购人：浙江工商职业技术学院</w:t>
            </w:r>
          </w:p>
          <w:p w14:paraId="89D57C2E">
            <w:pPr>
              <w:pageBreakBefore w:val="0"/>
              <w:kinsoku/>
              <w:overflowPunct/>
              <w:topLinePunct w:val="0"/>
              <w:bidi w:val="0"/>
              <w:spacing w:after="0"/>
              <w:ind w:firstLine="0" w:firstLineChars="0"/>
              <w:rPr>
                <w:rFonts w:hint="eastAsia" w:cs="宋体"/>
                <w:color w:val="36363D"/>
              </w:rPr>
            </w:pPr>
            <w:r>
              <w:rPr>
                <w:rFonts w:hint="eastAsia" w:cs="宋体"/>
                <w:color w:val="36363D"/>
              </w:rPr>
              <w:t>项目名称：浙江工商职业技术学院海曙校区、宁海校区光伏发电合同能源管理项目</w:t>
            </w:r>
          </w:p>
          <w:p w14:paraId="2A0A13A1">
            <w:pPr>
              <w:pageBreakBefore w:val="0"/>
              <w:kinsoku/>
              <w:overflowPunct/>
              <w:topLinePunct w:val="0"/>
              <w:bidi w:val="0"/>
              <w:spacing w:after="0"/>
              <w:ind w:firstLine="0" w:firstLineChars="0"/>
              <w:rPr>
                <w:rFonts w:hint="eastAsia" w:cs="宋体"/>
                <w:color w:val="36363D"/>
              </w:rPr>
            </w:pPr>
            <w:r>
              <w:rPr>
                <w:rFonts w:hint="eastAsia" w:cs="宋体"/>
                <w:color w:val="36363D"/>
              </w:rPr>
              <w:t>项目编号：ZJZX-ZJGS202506G</w:t>
            </w:r>
          </w:p>
        </w:tc>
      </w:tr>
      <w:tr w14:paraId="F378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47" w:type="dxa"/>
            <w:vAlign w:val="center"/>
          </w:tcPr>
          <w:p w14:paraId="4D0FD3EC">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2</w:t>
            </w:r>
          </w:p>
        </w:tc>
        <w:tc>
          <w:tcPr>
            <w:tcW w:w="2025" w:type="dxa"/>
            <w:vAlign w:val="center"/>
          </w:tcPr>
          <w:p w14:paraId="4B246034">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采购内容</w:t>
            </w:r>
          </w:p>
        </w:tc>
        <w:tc>
          <w:tcPr>
            <w:tcW w:w="6930" w:type="dxa"/>
            <w:vAlign w:val="center"/>
          </w:tcPr>
          <w:p w14:paraId="D622F40D">
            <w:pPr>
              <w:pageBreakBefore w:val="0"/>
              <w:kinsoku/>
              <w:overflowPunct/>
              <w:topLinePunct w:val="0"/>
              <w:bidi w:val="0"/>
              <w:spacing w:after="0"/>
              <w:ind w:firstLine="0" w:firstLineChars="0"/>
              <w:rPr>
                <w:rFonts w:hint="eastAsia" w:cs="宋体"/>
                <w:color w:val="36363D"/>
              </w:rPr>
            </w:pPr>
            <w:r>
              <w:rPr>
                <w:rFonts w:hint="eastAsia" w:cs="宋体"/>
                <w:color w:val="36363D"/>
              </w:rPr>
              <w:t>详见第二章采购需求部分</w:t>
            </w:r>
          </w:p>
        </w:tc>
      </w:tr>
      <w:tr w14:paraId="C076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47" w:type="dxa"/>
            <w:vAlign w:val="center"/>
          </w:tcPr>
          <w:p w14:paraId="6B93C476">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3</w:t>
            </w:r>
          </w:p>
        </w:tc>
        <w:tc>
          <w:tcPr>
            <w:tcW w:w="2025" w:type="dxa"/>
            <w:vAlign w:val="center"/>
          </w:tcPr>
          <w:p w14:paraId="38227493">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采购方式及评审办法</w:t>
            </w:r>
          </w:p>
        </w:tc>
        <w:tc>
          <w:tcPr>
            <w:tcW w:w="6930" w:type="dxa"/>
            <w:vAlign w:val="center"/>
          </w:tcPr>
          <w:p w14:paraId="355B5F64">
            <w:pPr>
              <w:pageBreakBefore w:val="0"/>
              <w:kinsoku/>
              <w:overflowPunct/>
              <w:topLinePunct w:val="0"/>
              <w:bidi w:val="0"/>
              <w:spacing w:after="0"/>
              <w:ind w:firstLine="0" w:firstLineChars="0"/>
              <w:rPr>
                <w:rFonts w:hint="eastAsia" w:cs="宋体"/>
                <w:color w:val="36363D"/>
              </w:rPr>
            </w:pPr>
            <w:r>
              <w:rPr>
                <w:rFonts w:hint="eastAsia" w:cs="宋体"/>
                <w:color w:val="36363D"/>
              </w:rPr>
              <w:t>经批准或确认的本次采购方式：公开招标</w:t>
            </w:r>
          </w:p>
          <w:p w14:paraId="C0166D70">
            <w:pPr>
              <w:pageBreakBefore w:val="0"/>
              <w:kinsoku/>
              <w:overflowPunct/>
              <w:topLinePunct w:val="0"/>
              <w:bidi w:val="0"/>
              <w:spacing w:after="0"/>
              <w:ind w:firstLine="0" w:firstLineChars="0"/>
              <w:rPr>
                <w:rFonts w:hint="eastAsia" w:cs="宋体"/>
                <w:color w:val="36363D"/>
              </w:rPr>
            </w:pPr>
            <w:r>
              <w:rPr>
                <w:rFonts w:hint="eastAsia" w:cs="宋体"/>
                <w:color w:val="36363D"/>
              </w:rPr>
              <w:t>评审办法：综合评分法</w:t>
            </w:r>
          </w:p>
        </w:tc>
      </w:tr>
      <w:tr w14:paraId="23F1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1980DBF">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4</w:t>
            </w:r>
          </w:p>
        </w:tc>
        <w:tc>
          <w:tcPr>
            <w:tcW w:w="2025" w:type="dxa"/>
            <w:vAlign w:val="center"/>
          </w:tcPr>
          <w:p w14:paraId="914B8481">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报价要求</w:t>
            </w:r>
          </w:p>
        </w:tc>
        <w:tc>
          <w:tcPr>
            <w:tcW w:w="6930" w:type="dxa"/>
            <w:vAlign w:val="center"/>
          </w:tcPr>
          <w:p w14:paraId="3D5F5D42">
            <w:pPr>
              <w:pageBreakBefore w:val="0"/>
              <w:kinsoku/>
              <w:overflowPunct/>
              <w:topLinePunct w:val="0"/>
              <w:bidi w:val="0"/>
              <w:snapToGrid w:val="0"/>
              <w:spacing w:after="0"/>
              <w:ind w:firstLine="480"/>
              <w:jc w:val="left"/>
              <w:rPr>
                <w:rFonts w:hint="eastAsia" w:cs="宋体"/>
                <w:b/>
                <w:color w:val="36363D"/>
                <w:kern w:val="0"/>
                <w:lang w:val="zh-CN"/>
              </w:rPr>
            </w:pPr>
            <w:r>
              <w:rPr>
                <w:rFonts w:hint="eastAsia" w:cs="宋体"/>
                <w:color w:val="36363D"/>
                <w:kern w:val="0"/>
                <w:lang w:val="zh-CN"/>
              </w:rPr>
              <w:t>有关本项目实施所需的所有费用（含税费）均计入报价。</w:t>
            </w:r>
            <w:r>
              <w:rPr>
                <w:rFonts w:hint="eastAsia" w:cs="宋体"/>
                <w:b/>
                <w:bCs/>
                <w:color w:val="36363D"/>
                <w:kern w:val="0"/>
                <w:lang w:val="zh-CN"/>
              </w:rPr>
              <w:t>投标文件</w:t>
            </w:r>
            <w:r>
              <w:rPr>
                <w:rFonts w:hint="eastAsia" w:cs="宋体"/>
                <w:b/>
                <w:bCs/>
                <w:color w:val="36363D"/>
              </w:rPr>
              <w:t>开标一览表（报价表）是报价的唯一载体，以报价文件中开标一览表（报价表）为准。</w:t>
            </w:r>
            <w:r>
              <w:rPr>
                <w:rFonts w:hint="eastAsia" w:cs="宋体"/>
                <w:color w:val="36363D"/>
                <w:kern w:val="0"/>
                <w:lang w:val="zh-CN"/>
              </w:rPr>
              <w:t>投标文件中价格全部采用人民币报价。招标文件未列明，而投标人认为必需的费用也需列入报价。</w:t>
            </w:r>
          </w:p>
          <w:p w14:paraId="DEA8A14C">
            <w:pPr>
              <w:pageBreakBefore w:val="0"/>
              <w:kinsoku/>
              <w:overflowPunct/>
              <w:topLinePunct w:val="0"/>
              <w:bidi w:val="0"/>
              <w:snapToGrid w:val="0"/>
              <w:spacing w:after="0"/>
              <w:ind w:firstLine="482"/>
              <w:jc w:val="left"/>
              <w:rPr>
                <w:rFonts w:hint="eastAsia" w:cs="宋体"/>
                <w:b/>
                <w:color w:val="36363D"/>
                <w:kern w:val="0"/>
                <w:lang w:val="zh-CN"/>
              </w:rPr>
            </w:pPr>
            <w:r>
              <w:rPr>
                <w:rFonts w:hint="eastAsia" w:cs="宋体"/>
                <w:b/>
                <w:color w:val="36363D"/>
                <w:kern w:val="0"/>
                <w:lang w:val="zh-CN"/>
              </w:rPr>
              <w:t>投标报价出现下列情形的，投标无效：</w:t>
            </w:r>
          </w:p>
          <w:p w14:paraId="DB3DDA14">
            <w:pPr>
              <w:pageBreakBefore w:val="0"/>
              <w:kinsoku/>
              <w:overflowPunct/>
              <w:topLinePunct w:val="0"/>
              <w:bidi w:val="0"/>
              <w:snapToGrid w:val="0"/>
              <w:spacing w:after="0"/>
              <w:ind w:firstLine="241" w:firstLineChars="100"/>
              <w:jc w:val="left"/>
              <w:rPr>
                <w:rFonts w:hint="eastAsia" w:cs="宋体"/>
                <w:b/>
                <w:color w:val="36363D"/>
                <w:kern w:val="0"/>
                <w:lang w:val="zh-CN"/>
              </w:rPr>
            </w:pPr>
            <w:r>
              <w:rPr>
                <w:rFonts w:hint="eastAsia" w:cs="宋体"/>
                <w:b/>
                <w:color w:val="36363D"/>
                <w:kern w:val="0"/>
                <w:lang w:val="zh-CN"/>
              </w:rPr>
              <w:t>投标文件出现不是唯一的、有选择性投标报价的；</w:t>
            </w:r>
          </w:p>
          <w:p w14:paraId="BDA4A359">
            <w:pPr>
              <w:pageBreakBefore w:val="0"/>
              <w:kinsoku/>
              <w:overflowPunct/>
              <w:topLinePunct w:val="0"/>
              <w:bidi w:val="0"/>
              <w:snapToGrid w:val="0"/>
              <w:spacing w:after="0"/>
              <w:ind w:firstLine="241" w:firstLineChars="100"/>
              <w:jc w:val="left"/>
              <w:rPr>
                <w:rFonts w:hint="eastAsia" w:cs="宋体"/>
                <w:color w:val="36363D"/>
                <w:kern w:val="0"/>
                <w:lang w:val="zh-CN"/>
              </w:rPr>
            </w:pPr>
            <w:r>
              <w:rPr>
                <w:rFonts w:hint="eastAsia" w:cs="宋体"/>
                <w:b/>
                <w:color w:val="36363D"/>
                <w:kern w:val="0"/>
                <w:lang w:val="zh-CN"/>
              </w:rPr>
              <w:t>投标报价超过招标文件中规定的预算金额或者最高限价的；</w:t>
            </w:r>
          </w:p>
          <w:p w14:paraId="91F5F84F">
            <w:pPr>
              <w:pageBreakBefore w:val="0"/>
              <w:kinsoku/>
              <w:overflowPunct/>
              <w:topLinePunct w:val="0"/>
              <w:bidi w:val="0"/>
              <w:spacing w:after="0"/>
              <w:ind w:firstLine="241" w:firstLineChars="100"/>
              <w:rPr>
                <w:rFonts w:hint="eastAsia" w:cs="宋体"/>
                <w:b/>
                <w:color w:val="36363D"/>
              </w:rPr>
            </w:pPr>
            <w:r>
              <w:rPr>
                <w:rFonts w:hint="eastAsia" w:cs="宋体"/>
                <w:b/>
                <w:color w:val="36363D"/>
                <w:kern w:val="0"/>
              </w:rPr>
              <w:t>报价明显低于其他通过符合性审查投标人的报价，有可能影响产品质量或者不能诚信履约的，未能按要求提供书面说明或者提交相关证明材料证明其报价合理性的</w:t>
            </w:r>
            <w:r>
              <w:rPr>
                <w:rFonts w:hint="eastAsia" w:cs="宋体"/>
                <w:b/>
                <w:color w:val="36363D"/>
              </w:rPr>
              <w:t>;</w:t>
            </w:r>
          </w:p>
          <w:p w14:paraId="93ADC0E6">
            <w:pPr>
              <w:pageBreakBefore w:val="0"/>
              <w:kinsoku/>
              <w:overflowPunct/>
              <w:topLinePunct w:val="0"/>
              <w:bidi w:val="0"/>
              <w:spacing w:after="0"/>
              <w:ind w:firstLine="241" w:firstLineChars="100"/>
              <w:rPr>
                <w:rFonts w:hint="eastAsia" w:cs="宋体"/>
                <w:b/>
                <w:color w:val="36363D"/>
              </w:rPr>
            </w:pPr>
            <w:r>
              <w:rPr>
                <w:rFonts w:hint="eastAsia" w:cs="宋体"/>
                <w:b/>
                <w:color w:val="36363D"/>
                <w:kern w:val="0"/>
              </w:rPr>
              <w:t>投标人对根据修正原则修正后的报价不确认的</w:t>
            </w:r>
            <w:r>
              <w:rPr>
                <w:rFonts w:hint="eastAsia" w:cs="宋体"/>
                <w:b/>
                <w:color w:val="36363D"/>
              </w:rPr>
              <w:t>。</w:t>
            </w:r>
          </w:p>
        </w:tc>
      </w:tr>
      <w:tr w14:paraId="481C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7" w:type="dxa"/>
            <w:vAlign w:val="center"/>
          </w:tcPr>
          <w:p w14:paraId="76C0C836">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5</w:t>
            </w:r>
          </w:p>
        </w:tc>
        <w:tc>
          <w:tcPr>
            <w:tcW w:w="2025" w:type="dxa"/>
            <w:vAlign w:val="center"/>
          </w:tcPr>
          <w:p w14:paraId="E4247959">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信息公告及评标结果公告媒体</w:t>
            </w:r>
          </w:p>
        </w:tc>
        <w:tc>
          <w:tcPr>
            <w:tcW w:w="6930" w:type="dxa"/>
            <w:vAlign w:val="center"/>
          </w:tcPr>
          <w:p w14:paraId="383E2858">
            <w:pPr>
              <w:pageBreakBefore w:val="0"/>
              <w:kinsoku/>
              <w:overflowPunct/>
              <w:topLinePunct w:val="0"/>
              <w:bidi w:val="0"/>
              <w:adjustRightInd w:val="0"/>
              <w:snapToGrid w:val="0"/>
              <w:spacing w:after="0"/>
              <w:ind w:firstLine="0" w:firstLineChars="0"/>
              <w:rPr>
                <w:rFonts w:hint="eastAsia" w:cs="宋体"/>
                <w:color w:val="36363D"/>
              </w:rPr>
            </w:pPr>
            <w:r>
              <w:rPr>
                <w:rFonts w:hint="eastAsia" w:cs="宋体"/>
                <w:color w:val="36363D"/>
              </w:rPr>
              <w:t>浙江省政府采购网、宁波市政府采购网</w:t>
            </w:r>
          </w:p>
        </w:tc>
      </w:tr>
      <w:tr w14:paraId="0EFA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7" w:type="dxa"/>
            <w:vAlign w:val="center"/>
          </w:tcPr>
          <w:p w14:paraId="E453928A">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6</w:t>
            </w:r>
          </w:p>
        </w:tc>
        <w:tc>
          <w:tcPr>
            <w:tcW w:w="2025" w:type="dxa"/>
            <w:vAlign w:val="center"/>
          </w:tcPr>
          <w:p w14:paraId="81FB5C46">
            <w:pPr>
              <w:pageBreakBefore w:val="0"/>
              <w:kinsoku/>
              <w:overflowPunct/>
              <w:topLinePunct w:val="0"/>
              <w:bidi w:val="0"/>
              <w:spacing w:after="0"/>
              <w:ind w:firstLine="0" w:firstLineChars="0"/>
              <w:jc w:val="center"/>
              <w:rPr>
                <w:rFonts w:hint="eastAsia" w:cs="宋体"/>
                <w:b/>
                <w:color w:val="36363D"/>
              </w:rPr>
            </w:pPr>
            <w:r>
              <w:rPr>
                <w:rFonts w:hint="eastAsia" w:cs="宋体"/>
                <w:color w:val="36363D"/>
              </w:rPr>
              <w:t>转包或分包</w:t>
            </w:r>
          </w:p>
        </w:tc>
        <w:tc>
          <w:tcPr>
            <w:tcW w:w="6930" w:type="dxa"/>
            <w:vAlign w:val="center"/>
          </w:tcPr>
          <w:p w14:paraId="4A377A2A">
            <w:pPr>
              <w:pageBreakBefore w:val="0"/>
              <w:kinsoku/>
              <w:overflowPunct/>
              <w:topLinePunct w:val="0"/>
              <w:bidi w:val="0"/>
              <w:spacing w:after="0"/>
              <w:ind w:firstLine="0" w:firstLineChars="0"/>
              <w:rPr>
                <w:rFonts w:hint="eastAsia" w:cs="宋体"/>
                <w:b/>
                <w:color w:val="36363D"/>
              </w:rPr>
            </w:pPr>
            <w:r>
              <w:rPr>
                <w:rFonts w:hint="eastAsia" w:cs="宋体"/>
                <w:color w:val="36363D"/>
                <w:kern w:val="0"/>
                <w:szCs w:val="21"/>
              </w:rPr>
              <w:t>本项目不得分包或转包。</w:t>
            </w:r>
          </w:p>
        </w:tc>
      </w:tr>
      <w:tr w14:paraId="F5D5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AE346BD9">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7</w:t>
            </w:r>
          </w:p>
        </w:tc>
        <w:tc>
          <w:tcPr>
            <w:tcW w:w="2025" w:type="dxa"/>
            <w:vAlign w:val="center"/>
          </w:tcPr>
          <w:p w14:paraId="B1062B1B">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投标人应当提供的投标文件</w:t>
            </w:r>
          </w:p>
        </w:tc>
        <w:tc>
          <w:tcPr>
            <w:tcW w:w="6930" w:type="dxa"/>
            <w:vAlign w:val="center"/>
          </w:tcPr>
          <w:p w14:paraId="8E26F93C">
            <w:pPr>
              <w:pageBreakBefore w:val="0"/>
              <w:kinsoku/>
              <w:overflowPunct/>
              <w:topLinePunct w:val="0"/>
              <w:bidi w:val="0"/>
              <w:snapToGrid w:val="0"/>
              <w:spacing w:after="0"/>
              <w:ind w:firstLine="0" w:firstLineChars="0"/>
              <w:textAlignment w:val="baseline"/>
              <w:rPr>
                <w:rFonts w:hint="eastAsia" w:cs="宋体"/>
                <w:color w:val="36363D"/>
                <w:sz w:val="20"/>
              </w:rPr>
            </w:pPr>
            <w:r>
              <w:rPr>
                <w:rFonts w:hint="eastAsia" w:cs="宋体"/>
                <w:color w:val="36363D"/>
              </w:rPr>
              <w:t>报价文件和资格商务技术文件：见本章第三节。</w:t>
            </w:r>
          </w:p>
          <w:p w14:paraId="D13EAFE2">
            <w:pPr>
              <w:pageBreakBefore w:val="0"/>
              <w:kinsoku/>
              <w:overflowPunct/>
              <w:topLinePunct w:val="0"/>
              <w:bidi w:val="0"/>
              <w:snapToGrid w:val="0"/>
              <w:spacing w:after="0"/>
              <w:ind w:firstLine="0" w:firstLineChars="0"/>
              <w:textAlignment w:val="baseline"/>
              <w:rPr>
                <w:rFonts w:hint="eastAsia" w:cs="宋体"/>
                <w:color w:val="36363D"/>
              </w:rPr>
            </w:pPr>
            <w:r>
              <w:rPr>
                <w:rFonts w:hint="eastAsia" w:cs="宋体"/>
                <w:color w:val="36363D"/>
              </w:rPr>
              <w:t>▲投标人未提供有效的资格证明文件的，视为投标人不具备招标文件中规定的资格要求，投标无效。</w:t>
            </w:r>
          </w:p>
        </w:tc>
      </w:tr>
      <w:tr w14:paraId="61B4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B0D45CC7">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8</w:t>
            </w:r>
          </w:p>
        </w:tc>
        <w:tc>
          <w:tcPr>
            <w:tcW w:w="2025" w:type="dxa"/>
            <w:vAlign w:val="center"/>
          </w:tcPr>
          <w:p w14:paraId="33C99B1D">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投标文件份数</w:t>
            </w:r>
          </w:p>
        </w:tc>
        <w:tc>
          <w:tcPr>
            <w:tcW w:w="6930" w:type="dxa"/>
            <w:vAlign w:val="center"/>
          </w:tcPr>
          <w:p w14:paraId="04900674">
            <w:pPr>
              <w:pageBreakBefore w:val="0"/>
              <w:kinsoku/>
              <w:overflowPunct/>
              <w:topLinePunct w:val="0"/>
              <w:bidi w:val="0"/>
              <w:snapToGrid w:val="0"/>
              <w:spacing w:after="0"/>
              <w:ind w:firstLine="0" w:firstLineChars="0"/>
              <w:textAlignment w:val="baseline"/>
              <w:rPr>
                <w:rFonts w:hint="eastAsia" w:cs="宋体"/>
                <w:color w:val="36363D"/>
                <w:sz w:val="20"/>
              </w:rPr>
            </w:pPr>
            <w:r>
              <w:rPr>
                <w:rFonts w:hint="eastAsia" w:cs="宋体"/>
                <w:color w:val="36363D"/>
              </w:rPr>
              <w:t>（1）纸质版：报价文件正本一份，副本四份；资格商务技术文件正本一份，副本四份。</w:t>
            </w:r>
          </w:p>
          <w:p w14:paraId="15869F63">
            <w:pPr>
              <w:pageBreakBefore w:val="0"/>
              <w:kinsoku/>
              <w:overflowPunct/>
              <w:topLinePunct w:val="0"/>
              <w:bidi w:val="0"/>
              <w:snapToGrid w:val="0"/>
              <w:spacing w:after="0"/>
              <w:ind w:firstLine="0" w:firstLineChars="0"/>
              <w:textAlignment w:val="baseline"/>
              <w:rPr>
                <w:rFonts w:hint="eastAsia"/>
                <w:color w:val="36363D"/>
                <w:sz w:val="20"/>
              </w:rPr>
            </w:pPr>
            <w:r>
              <w:rPr>
                <w:rFonts w:hint="eastAsia" w:cs="宋体"/>
                <w:color w:val="36363D"/>
              </w:rPr>
              <w:t>（2）电子版（和报价文件一同密封包装，U盘存储）一份；内容要求：电子投标文件须为签字且加盖公章后的完整纸质投标文件正本的PDF彩色扫描件（文件扩展名为.pdf）。</w:t>
            </w:r>
          </w:p>
          <w:p w14:paraId="1ADF44E9">
            <w:pPr>
              <w:pageBreakBefore w:val="0"/>
              <w:kinsoku/>
              <w:overflowPunct/>
              <w:topLinePunct w:val="0"/>
              <w:bidi w:val="0"/>
              <w:snapToGrid w:val="0"/>
              <w:spacing w:after="0"/>
              <w:ind w:firstLine="0" w:firstLineChars="0"/>
              <w:textAlignment w:val="baseline"/>
              <w:rPr>
                <w:rFonts w:hint="eastAsia" w:cs="宋体"/>
                <w:color w:val="36363D"/>
              </w:rPr>
            </w:pPr>
            <w:r>
              <w:rPr>
                <w:rFonts w:hint="eastAsia" w:cs="宋体"/>
                <w:color w:val="36363D"/>
              </w:rPr>
              <w:t>▲</w:t>
            </w:r>
            <w:r>
              <w:rPr>
                <w:rFonts w:hint="eastAsia" w:cs="宋体"/>
                <w:b/>
                <w:bCs/>
                <w:color w:val="36363D"/>
              </w:rPr>
              <w:t>投标文件正、副本份数不足，投标无效。</w:t>
            </w:r>
          </w:p>
        </w:tc>
      </w:tr>
      <w:tr w14:paraId="C2C2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938EB1C4">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9</w:t>
            </w:r>
          </w:p>
        </w:tc>
        <w:tc>
          <w:tcPr>
            <w:tcW w:w="2025" w:type="dxa"/>
            <w:vAlign w:val="center"/>
          </w:tcPr>
          <w:p w14:paraId="75C5F81E">
            <w:pPr>
              <w:pageBreakBefore w:val="0"/>
              <w:kinsoku/>
              <w:overflowPunct/>
              <w:topLinePunct w:val="0"/>
              <w:bidi w:val="0"/>
              <w:spacing w:after="0"/>
              <w:ind w:firstLine="0" w:firstLineChars="0"/>
              <w:jc w:val="center"/>
              <w:rPr>
                <w:rFonts w:hint="eastAsia" w:cs="宋体"/>
                <w:b/>
                <w:bCs/>
                <w:color w:val="36363D"/>
              </w:rPr>
            </w:pPr>
            <w:r>
              <w:rPr>
                <w:rFonts w:hint="eastAsia" w:cs="宋体"/>
                <w:color w:val="36363D"/>
              </w:rPr>
              <w:t>投标文件装订及密封要求</w:t>
            </w:r>
          </w:p>
        </w:tc>
        <w:tc>
          <w:tcPr>
            <w:tcW w:w="6930" w:type="dxa"/>
            <w:vAlign w:val="center"/>
          </w:tcPr>
          <w:p w14:paraId="B3438C94">
            <w:pPr>
              <w:pageBreakBefore w:val="0"/>
              <w:kinsoku/>
              <w:overflowPunct/>
              <w:topLinePunct w:val="0"/>
              <w:bidi w:val="0"/>
              <w:spacing w:after="0"/>
              <w:ind w:firstLine="0" w:firstLineChars="0"/>
              <w:rPr>
                <w:rFonts w:hint="eastAsia" w:cs="宋体"/>
                <w:b/>
                <w:bCs/>
                <w:color w:val="36363D"/>
              </w:rPr>
            </w:pPr>
            <w:r>
              <w:rPr>
                <w:rFonts w:hint="eastAsia" w:cs="宋体"/>
                <w:color w:val="36363D"/>
              </w:rPr>
              <w:t>纸质投标文件须装订成册，采用胶装（粘贴方式装订），不得采用活页装订（活页装订是指用卡条、抽杆夹、订书机等形式装订，使投标文件可以拆卸或者在翻动过程中易脱落的一种装订方式）。</w:t>
            </w:r>
          </w:p>
        </w:tc>
      </w:tr>
      <w:tr w14:paraId="C682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125AE7F6">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10</w:t>
            </w:r>
          </w:p>
        </w:tc>
        <w:tc>
          <w:tcPr>
            <w:tcW w:w="2025" w:type="dxa"/>
            <w:vAlign w:val="center"/>
          </w:tcPr>
          <w:p w14:paraId="EB30E294">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投标文件有效期</w:t>
            </w:r>
          </w:p>
        </w:tc>
        <w:tc>
          <w:tcPr>
            <w:tcW w:w="6930" w:type="dxa"/>
            <w:vAlign w:val="center"/>
          </w:tcPr>
          <w:p w14:paraId="987F8575">
            <w:pPr>
              <w:pageBreakBefore w:val="0"/>
              <w:kinsoku/>
              <w:overflowPunct/>
              <w:topLinePunct w:val="0"/>
              <w:bidi w:val="0"/>
              <w:spacing w:after="0"/>
              <w:ind w:firstLine="0" w:firstLineChars="0"/>
              <w:rPr>
                <w:rFonts w:hint="eastAsia" w:cs="宋体"/>
                <w:color w:val="36363D"/>
              </w:rPr>
            </w:pPr>
            <w:r>
              <w:rPr>
                <w:rFonts w:hint="eastAsia" w:cs="宋体"/>
                <w:color w:val="36363D"/>
              </w:rPr>
              <w:t>自提交投标文件的截止之日起90天。</w:t>
            </w:r>
          </w:p>
        </w:tc>
      </w:tr>
      <w:tr w14:paraId="1CF8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47" w:type="dxa"/>
            <w:vAlign w:val="center"/>
          </w:tcPr>
          <w:p w14:paraId="276ED5AD">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11</w:t>
            </w:r>
          </w:p>
        </w:tc>
        <w:tc>
          <w:tcPr>
            <w:tcW w:w="2025" w:type="dxa"/>
            <w:vAlign w:val="center"/>
          </w:tcPr>
          <w:p w14:paraId="18069E9F">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现场踏勘/样品/演示</w:t>
            </w:r>
          </w:p>
        </w:tc>
        <w:tc>
          <w:tcPr>
            <w:tcW w:w="6930" w:type="dxa"/>
            <w:vAlign w:val="center"/>
          </w:tcPr>
          <w:p w14:paraId="C6472BCD">
            <w:pPr>
              <w:pageBreakBefore w:val="0"/>
              <w:kinsoku/>
              <w:overflowPunct/>
              <w:topLinePunct w:val="0"/>
              <w:bidi w:val="0"/>
              <w:spacing w:after="0"/>
              <w:ind w:firstLine="0" w:firstLineChars="0"/>
              <w:jc w:val="left"/>
              <w:rPr>
                <w:rFonts w:hint="eastAsia" w:cs="宋体"/>
                <w:color w:val="36363D"/>
              </w:rPr>
            </w:pPr>
            <w:r>
              <w:rPr>
                <w:rFonts w:hint="eastAsia" w:cs="宋体"/>
                <w:color w:val="36363D"/>
              </w:rPr>
              <w:t>现场踏勘：□ 组织；</w:t>
            </w:r>
            <w:r>
              <w:rPr>
                <w:rFonts w:hint="eastAsia" w:cs="宋体"/>
                <w:color w:val="36363D"/>
              </w:rPr>
              <w:sym w:font="Wingdings" w:char="00FE"/>
            </w:r>
            <w:r>
              <w:rPr>
                <w:rFonts w:hint="eastAsia" w:cs="宋体"/>
                <w:color w:val="36363D"/>
              </w:rPr>
              <w:t xml:space="preserve"> 不组织</w:t>
            </w:r>
          </w:p>
          <w:p w14:paraId="D7838E3F">
            <w:pPr>
              <w:pageBreakBefore w:val="0"/>
              <w:kinsoku/>
              <w:overflowPunct/>
              <w:topLinePunct w:val="0"/>
              <w:bidi w:val="0"/>
              <w:spacing w:after="0"/>
              <w:ind w:firstLine="0" w:firstLineChars="0"/>
              <w:jc w:val="left"/>
              <w:rPr>
                <w:rFonts w:hint="eastAsia" w:cs="宋体"/>
                <w:color w:val="36363D"/>
              </w:rPr>
            </w:pPr>
            <w:r>
              <w:rPr>
                <w:rFonts w:hint="eastAsia" w:cs="宋体"/>
                <w:color w:val="36363D"/>
              </w:rPr>
              <w:t>样品：</w:t>
            </w:r>
            <w:r>
              <w:rPr>
                <w:rFonts w:hint="eastAsia" w:cs="宋体"/>
                <w:color w:val="36363D"/>
              </w:rPr>
              <w:sym w:font="Wingdings" w:char="00A8"/>
            </w:r>
            <w:r>
              <w:rPr>
                <w:rFonts w:hint="eastAsia" w:cs="宋体"/>
                <w:color w:val="36363D"/>
              </w:rPr>
              <w:t xml:space="preserve"> 提供；</w:t>
            </w:r>
            <w:r>
              <w:rPr>
                <w:rFonts w:hint="eastAsia" w:cs="宋体"/>
                <w:color w:val="36363D"/>
              </w:rPr>
              <w:sym w:font="Wingdings" w:char="00FE"/>
            </w:r>
            <w:r>
              <w:rPr>
                <w:rFonts w:hint="eastAsia" w:cs="宋体"/>
                <w:color w:val="36363D"/>
              </w:rPr>
              <w:t xml:space="preserve"> 不提供</w:t>
            </w:r>
          </w:p>
          <w:p w14:paraId="2C9A8685">
            <w:pPr>
              <w:pageBreakBefore w:val="0"/>
              <w:kinsoku/>
              <w:overflowPunct/>
              <w:topLinePunct w:val="0"/>
              <w:bidi w:val="0"/>
              <w:spacing w:after="0"/>
              <w:ind w:firstLine="0" w:firstLineChars="0"/>
              <w:rPr>
                <w:rFonts w:hint="eastAsia" w:cs="宋体"/>
                <w:color w:val="36363D"/>
              </w:rPr>
            </w:pPr>
            <w:r>
              <w:rPr>
                <w:rFonts w:hint="eastAsia" w:cs="宋体"/>
                <w:color w:val="36363D"/>
              </w:rPr>
              <w:t>演示：</w:t>
            </w:r>
            <w:r>
              <w:rPr>
                <w:rFonts w:hint="eastAsia" w:cs="宋体"/>
                <w:color w:val="36363D"/>
              </w:rPr>
              <w:sym w:font="Wingdings" w:char="00A8"/>
            </w:r>
            <w:r>
              <w:rPr>
                <w:rFonts w:hint="eastAsia" w:cs="宋体"/>
                <w:color w:val="36363D"/>
              </w:rPr>
              <w:t xml:space="preserve"> 提供；</w:t>
            </w:r>
            <w:r>
              <w:rPr>
                <w:rFonts w:hint="eastAsia" w:cs="宋体"/>
                <w:color w:val="36363D"/>
              </w:rPr>
              <w:sym w:font="Wingdings" w:char="00FE"/>
            </w:r>
            <w:r>
              <w:rPr>
                <w:rFonts w:hint="eastAsia" w:cs="宋体"/>
                <w:color w:val="36363D"/>
              </w:rPr>
              <w:t xml:space="preserve"> 不提供</w:t>
            </w:r>
          </w:p>
        </w:tc>
      </w:tr>
      <w:tr w14:paraId="4983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47" w:type="dxa"/>
            <w:vAlign w:val="center"/>
          </w:tcPr>
          <w:p w14:paraId="849D4A96">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12</w:t>
            </w:r>
          </w:p>
        </w:tc>
        <w:tc>
          <w:tcPr>
            <w:tcW w:w="2025" w:type="dxa"/>
            <w:vAlign w:val="center"/>
          </w:tcPr>
          <w:p w14:paraId="A6AE3266">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开标前答疑会或现场考察</w:t>
            </w:r>
          </w:p>
        </w:tc>
        <w:tc>
          <w:tcPr>
            <w:tcW w:w="6930" w:type="dxa"/>
            <w:vAlign w:val="center"/>
          </w:tcPr>
          <w:p w14:paraId="F7529CD2">
            <w:pPr>
              <w:pageBreakBefore w:val="0"/>
              <w:kinsoku/>
              <w:overflowPunct/>
              <w:topLinePunct w:val="0"/>
              <w:bidi w:val="0"/>
              <w:spacing w:after="0"/>
              <w:ind w:firstLine="0" w:firstLineChars="0"/>
              <w:jc w:val="left"/>
              <w:rPr>
                <w:rFonts w:hint="eastAsia" w:cs="宋体"/>
                <w:color w:val="36363D"/>
              </w:rPr>
            </w:pPr>
            <w:r>
              <w:rPr>
                <w:rFonts w:hint="eastAsia" w:cs="宋体"/>
                <w:color w:val="36363D"/>
              </w:rPr>
              <w:t>不组织</w:t>
            </w:r>
          </w:p>
        </w:tc>
      </w:tr>
      <w:tr w14:paraId="C48B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E7BB8E1A">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13</w:t>
            </w:r>
          </w:p>
        </w:tc>
        <w:tc>
          <w:tcPr>
            <w:tcW w:w="2025" w:type="dxa"/>
            <w:vAlign w:val="center"/>
          </w:tcPr>
          <w:p w14:paraId="BBD82C37">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投标保证金</w:t>
            </w:r>
          </w:p>
        </w:tc>
        <w:tc>
          <w:tcPr>
            <w:tcW w:w="6930" w:type="dxa"/>
            <w:vAlign w:val="center"/>
          </w:tcPr>
          <w:p w14:paraId="21F30B5D">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投标保证金50000元。缴纳时间应于投标截止时间前到帐，交付方式：网银转账/银行转帐。</w:t>
            </w:r>
          </w:p>
          <w:p w14:paraId="D42F2A77">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户名：浙江致信招标代理有限公司宁波分公司</w:t>
            </w:r>
          </w:p>
          <w:p w14:paraId="28F7AB54">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开户行：浙江泰隆商业银行宁波路林小微企业专营</w:t>
            </w:r>
          </w:p>
          <w:p w14:paraId="DB31893D">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支行账号：33030100201000007592</w:t>
            </w:r>
          </w:p>
          <w:p w14:paraId="FF19D6B7">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行号：313332070157</w:t>
            </w:r>
          </w:p>
          <w:p w14:paraId="AC27AB5E">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开票及相关问题联系人：0574-87645885</w:t>
            </w:r>
          </w:p>
          <w:p w14:paraId="2C6A848F">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备注信息：ZJZX-ZJGS202506G</w:t>
            </w:r>
          </w:p>
          <w:p w14:paraId="13F968C7">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发生下列情况之一，保证金将作为违约金全部不予退还。</w:t>
            </w:r>
          </w:p>
          <w:p w14:paraId="C4813AE9">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（1）开标后在投标有效期间，投标供应商撤回其投标文件。</w:t>
            </w:r>
          </w:p>
          <w:p w14:paraId="B6FF3DA6">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（2）中标通知书发出后，中标人擅自修改或拒绝接受已经承诺的条款的。</w:t>
            </w:r>
          </w:p>
          <w:p w14:paraId="B435C38F">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（3）中标人未按期与招标人签订中标合同。</w:t>
            </w:r>
          </w:p>
        </w:tc>
      </w:tr>
      <w:tr w14:paraId="FCA3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7" w:type="dxa"/>
            <w:vAlign w:val="center"/>
          </w:tcPr>
          <w:p w14:paraId="915BB86B">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14</w:t>
            </w:r>
          </w:p>
        </w:tc>
        <w:tc>
          <w:tcPr>
            <w:tcW w:w="2025" w:type="dxa"/>
            <w:vAlign w:val="center"/>
          </w:tcPr>
          <w:p w14:paraId="71418199">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招标代理服务费</w:t>
            </w:r>
          </w:p>
        </w:tc>
        <w:tc>
          <w:tcPr>
            <w:tcW w:w="6930" w:type="dxa"/>
            <w:vAlign w:val="center"/>
          </w:tcPr>
          <w:p w14:paraId="4C53CBD0">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1、采购代理服务以服务期总发电量*电价按《国家发展改革委办公厅关于招标代理服务收费有关问题的通知》（发改价格[2011]534号）规定的收费标准的50%向中标（成交）供应商收取。若采购项目的采购代理服务费不足3500元的，统一按3500元计。</w:t>
            </w:r>
          </w:p>
          <w:p w14:paraId="AC26AA7A">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2、中标人在领取中标通知书后应向招标代理机构交纳招标代理服务费,若未按上述规定办理，需承担招标代理机构为实现债权的所有费用（包括但不限于律师费、催讨车旅费、保全担保费等）。</w:t>
            </w:r>
          </w:p>
          <w:p w14:paraId="4667128A">
            <w:pPr>
              <w:pageBreakBefore w:val="0"/>
              <w:kinsoku/>
              <w:overflowPunct/>
              <w:topLinePunct w:val="0"/>
              <w:bidi w:val="0"/>
              <w:spacing w:after="0"/>
              <w:ind w:firstLine="0" w:firstLineChars="0"/>
              <w:rPr>
                <w:rFonts w:hint="eastAsia" w:cs="宋体"/>
                <w:color w:val="36363D"/>
                <w:kern w:val="28"/>
              </w:rPr>
            </w:pPr>
            <w:r>
              <w:rPr>
                <w:rFonts w:hint="eastAsia" w:cs="宋体"/>
                <w:color w:val="36363D"/>
                <w:kern w:val="28"/>
              </w:rPr>
              <w:t>3、招标代理服务费以现金或电汇方式支付。</w:t>
            </w:r>
          </w:p>
          <w:p w14:paraId="E3C092CC">
            <w:pPr>
              <w:pageBreakBefore w:val="0"/>
              <w:kinsoku/>
              <w:overflowPunct/>
              <w:topLinePunct w:val="0"/>
              <w:bidi w:val="0"/>
              <w:spacing w:after="0"/>
              <w:ind w:firstLine="0" w:firstLineChars="0"/>
              <w:rPr>
                <w:rFonts w:hint="eastAsia" w:cs="宋体"/>
                <w:color w:val="36363D"/>
                <w:kern w:val="28"/>
              </w:rPr>
            </w:pPr>
            <w:r>
              <w:rPr>
                <w:rFonts w:cs="宋体"/>
                <w:color w:val="36363D"/>
                <w:kern w:val="28"/>
              </w:rPr>
              <w:t>户名：浙江致信招标代理有限公司宁波分公司</w:t>
            </w:r>
          </w:p>
          <w:p w14:paraId="2741E8F0">
            <w:pPr>
              <w:pageBreakBefore w:val="0"/>
              <w:kinsoku/>
              <w:overflowPunct/>
              <w:topLinePunct w:val="0"/>
              <w:bidi w:val="0"/>
              <w:spacing w:after="0"/>
              <w:ind w:firstLine="0" w:firstLineChars="0"/>
              <w:rPr>
                <w:rFonts w:hint="eastAsia" w:cs="宋体"/>
                <w:color w:val="36363D"/>
                <w:kern w:val="28"/>
              </w:rPr>
            </w:pPr>
            <w:r>
              <w:rPr>
                <w:rFonts w:cs="宋体"/>
                <w:color w:val="36363D"/>
                <w:kern w:val="28"/>
              </w:rPr>
              <w:t>开户行：浙江泰隆商业银行宁波路林小微企业专营</w:t>
            </w:r>
          </w:p>
          <w:p w14:paraId="0DADFB4B">
            <w:pPr>
              <w:pageBreakBefore w:val="0"/>
              <w:kinsoku/>
              <w:overflowPunct/>
              <w:topLinePunct w:val="0"/>
              <w:bidi w:val="0"/>
              <w:spacing w:after="0"/>
              <w:ind w:firstLine="0" w:firstLineChars="0"/>
              <w:rPr>
                <w:rFonts w:hint="eastAsia" w:cs="宋体"/>
                <w:color w:val="36363D"/>
                <w:kern w:val="28"/>
              </w:rPr>
            </w:pPr>
            <w:r>
              <w:rPr>
                <w:rFonts w:cs="宋体"/>
                <w:color w:val="36363D"/>
                <w:kern w:val="28"/>
              </w:rPr>
              <w:t>支行账号：33030100201000007592</w:t>
            </w:r>
          </w:p>
          <w:p w14:paraId="7CE00EA1">
            <w:pPr>
              <w:pageBreakBefore w:val="0"/>
              <w:kinsoku/>
              <w:overflowPunct/>
              <w:topLinePunct w:val="0"/>
              <w:bidi w:val="0"/>
              <w:spacing w:after="0"/>
              <w:ind w:firstLine="0" w:firstLineChars="0"/>
              <w:rPr>
                <w:rFonts w:hint="eastAsia" w:cs="宋体"/>
                <w:color w:val="36363D"/>
                <w:kern w:val="28"/>
              </w:rPr>
            </w:pPr>
            <w:r>
              <w:rPr>
                <w:rFonts w:cs="宋体"/>
                <w:color w:val="36363D"/>
                <w:kern w:val="28"/>
              </w:rPr>
              <w:t>行号：313332070157</w:t>
            </w:r>
          </w:p>
        </w:tc>
      </w:tr>
      <w:tr w14:paraId="B0A9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47" w:type="dxa"/>
            <w:vAlign w:val="center"/>
          </w:tcPr>
          <w:p w14:paraId="5C76541A">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16</w:t>
            </w:r>
          </w:p>
        </w:tc>
        <w:tc>
          <w:tcPr>
            <w:tcW w:w="2025" w:type="dxa"/>
            <w:vAlign w:val="center"/>
          </w:tcPr>
          <w:p w14:paraId="1207225F">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中标后注意事项</w:t>
            </w:r>
          </w:p>
        </w:tc>
        <w:tc>
          <w:tcPr>
            <w:tcW w:w="6930" w:type="dxa"/>
            <w:vAlign w:val="center"/>
          </w:tcPr>
          <w:p w14:paraId="FB9B4977">
            <w:pPr>
              <w:pageBreakBefore w:val="0"/>
              <w:tabs>
                <w:tab w:val="left" w:pos="312"/>
              </w:tabs>
              <w:kinsoku/>
              <w:overflowPunct/>
              <w:topLinePunct w:val="0"/>
              <w:bidi w:val="0"/>
              <w:spacing w:after="0"/>
              <w:ind w:firstLine="0" w:firstLineChars="0"/>
              <w:rPr>
                <w:rFonts w:hint="eastAsia" w:cs="宋体"/>
                <w:color w:val="36363D"/>
              </w:rPr>
            </w:pPr>
            <w:r>
              <w:rPr>
                <w:rFonts w:hint="eastAsia" w:cs="宋体"/>
                <w:color w:val="36363D"/>
              </w:rPr>
              <w:t>（1）中标人在中标之后领取通知书时，应向招标代理机构交纳招标代理服务费。</w:t>
            </w:r>
          </w:p>
          <w:p w14:paraId="776747B0">
            <w:pPr>
              <w:pageBreakBefore w:val="0"/>
              <w:tabs>
                <w:tab w:val="left" w:pos="312"/>
              </w:tabs>
              <w:kinsoku/>
              <w:overflowPunct/>
              <w:topLinePunct w:val="0"/>
              <w:bidi w:val="0"/>
              <w:spacing w:after="0"/>
              <w:ind w:firstLine="0" w:firstLineChars="0"/>
              <w:rPr>
                <w:rFonts w:hint="eastAsia" w:cs="宋体"/>
                <w:color w:val="36363D"/>
              </w:rPr>
            </w:pPr>
            <w:r>
              <w:rPr>
                <w:rFonts w:hint="eastAsia" w:cs="宋体"/>
                <w:color w:val="36363D"/>
              </w:rPr>
              <w:t>（2）若中标人未在约定时间内支付招标代理服务费，从逾期之日起按日利率千分之一承担违约金。</w:t>
            </w:r>
          </w:p>
          <w:p w14:paraId="6B594D00">
            <w:pPr>
              <w:pageBreakBefore w:val="0"/>
              <w:tabs>
                <w:tab w:val="left" w:pos="312"/>
              </w:tabs>
              <w:kinsoku/>
              <w:overflowPunct/>
              <w:topLinePunct w:val="0"/>
              <w:bidi w:val="0"/>
              <w:spacing w:after="0"/>
              <w:ind w:firstLine="0" w:firstLineChars="0"/>
              <w:rPr>
                <w:rFonts w:hint="eastAsia" w:cs="宋体"/>
                <w:color w:val="36363D"/>
              </w:rPr>
            </w:pPr>
            <w:r>
              <w:rPr>
                <w:rFonts w:hint="eastAsia" w:cs="宋体"/>
                <w:color w:val="36363D"/>
              </w:rPr>
              <w:t>（3）若中标人未按上述规定办理，需承担招标代理机构为实现债权的所有费用（包括但不限于律师费、催讨车旅费、保全担保费等）。</w:t>
            </w:r>
          </w:p>
        </w:tc>
      </w:tr>
      <w:tr w14:paraId="D36E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47" w:type="dxa"/>
            <w:vAlign w:val="center"/>
          </w:tcPr>
          <w:p w14:paraId="75D6AF9D">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17</w:t>
            </w:r>
          </w:p>
        </w:tc>
        <w:tc>
          <w:tcPr>
            <w:tcW w:w="2025" w:type="dxa"/>
            <w:vAlign w:val="center"/>
          </w:tcPr>
          <w:p w14:paraId="C28500C0">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实质性条款</w:t>
            </w:r>
          </w:p>
        </w:tc>
        <w:tc>
          <w:tcPr>
            <w:tcW w:w="6930" w:type="dxa"/>
            <w:vAlign w:val="center"/>
          </w:tcPr>
          <w:p w14:paraId="0465FED3">
            <w:pPr>
              <w:pageBreakBefore w:val="0"/>
              <w:kinsoku/>
              <w:overflowPunct/>
              <w:topLinePunct w:val="0"/>
              <w:bidi w:val="0"/>
              <w:spacing w:after="0"/>
              <w:ind w:firstLine="0" w:firstLineChars="0"/>
              <w:rPr>
                <w:rFonts w:hint="eastAsia" w:cs="宋体"/>
                <w:color w:val="36363D"/>
              </w:rPr>
            </w:pPr>
            <w:r>
              <w:rPr>
                <w:rFonts w:hint="eastAsia"/>
                <w:color w:val="36363D"/>
                <w:lang w:val="zh-CN"/>
              </w:rPr>
              <w:t>带“</w:t>
            </w:r>
            <w:r>
              <w:rPr>
                <w:rFonts w:hint="eastAsia"/>
                <w:color w:val="36363D"/>
              </w:rPr>
              <w:t>▲”的条款是实质性条款，投标文件须作出实质性响应，否则作无效投标处理。</w:t>
            </w:r>
          </w:p>
        </w:tc>
      </w:tr>
      <w:tr w14:paraId="D04C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47" w:type="dxa"/>
            <w:vAlign w:val="center"/>
          </w:tcPr>
          <w:p w14:paraId="494E6C1A">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18</w:t>
            </w:r>
          </w:p>
        </w:tc>
        <w:tc>
          <w:tcPr>
            <w:tcW w:w="2025" w:type="dxa"/>
            <w:vAlign w:val="center"/>
          </w:tcPr>
          <w:p w14:paraId="78EDBA09">
            <w:pPr>
              <w:pageBreakBefore w:val="0"/>
              <w:kinsoku/>
              <w:overflowPunct/>
              <w:topLinePunct w:val="0"/>
              <w:bidi w:val="0"/>
              <w:spacing w:after="0"/>
              <w:ind w:firstLine="480"/>
              <w:rPr>
                <w:rFonts w:hint="eastAsia" w:cs="宋体"/>
                <w:color w:val="36363D"/>
              </w:rPr>
            </w:pPr>
            <w:r>
              <w:rPr>
                <w:rFonts w:hint="eastAsia" w:cs="宋体"/>
                <w:color w:val="36363D"/>
              </w:rPr>
              <w:t>解释权</w:t>
            </w:r>
          </w:p>
        </w:tc>
        <w:tc>
          <w:tcPr>
            <w:tcW w:w="6930" w:type="dxa"/>
            <w:vAlign w:val="center"/>
          </w:tcPr>
          <w:p w14:paraId="72A54ED2">
            <w:pPr>
              <w:pageBreakBefore w:val="0"/>
              <w:kinsoku/>
              <w:overflowPunct/>
              <w:topLinePunct w:val="0"/>
              <w:bidi w:val="0"/>
              <w:spacing w:after="0"/>
              <w:ind w:firstLine="0" w:firstLineChars="0"/>
              <w:rPr>
                <w:rFonts w:hint="eastAsia" w:cs="宋体"/>
                <w:color w:val="36363D"/>
              </w:rPr>
            </w:pPr>
            <w:r>
              <w:rPr>
                <w:rFonts w:hint="eastAsia"/>
                <w:color w:val="36363D"/>
              </w:rPr>
              <w:t>本招标文件解释权属于采购人和招标代理机构。</w:t>
            </w:r>
          </w:p>
        </w:tc>
      </w:tr>
    </w:tbl>
    <w:p w14:paraId="CB53C8D2">
      <w:pPr>
        <w:pStyle w:val="4"/>
        <w:pageBreakBefore w:val="0"/>
        <w:kinsoku/>
        <w:overflowPunct/>
        <w:topLinePunct w:val="0"/>
        <w:bidi w:val="0"/>
        <w:spacing w:after="0"/>
        <w:jc w:val="center"/>
        <w:rPr>
          <w:rFonts w:hint="eastAsia" w:ascii="宋体" w:hAnsi="宋体" w:cs="宋体"/>
          <w:color w:val="36363D"/>
          <w:sz w:val="24"/>
          <w:szCs w:val="24"/>
        </w:rPr>
      </w:pPr>
      <w:r>
        <w:rPr>
          <w:rFonts w:hint="eastAsia" w:ascii="宋体" w:hAnsi="宋体" w:cs="宋体"/>
          <w:color w:val="36363D"/>
          <w:sz w:val="24"/>
          <w:szCs w:val="24"/>
        </w:rPr>
        <w:br w:type="page"/>
      </w:r>
      <w:bookmarkEnd w:id="42"/>
      <w:bookmarkEnd w:id="43"/>
      <w:bookmarkEnd w:id="44"/>
      <w:bookmarkEnd w:id="45"/>
      <w:bookmarkEnd w:id="46"/>
      <w:bookmarkEnd w:id="47"/>
      <w:bookmarkEnd w:id="48"/>
      <w:bookmarkEnd w:id="49"/>
      <w:bookmarkEnd w:id="50"/>
      <w:bookmarkStart w:id="51" w:name="_Toc22147"/>
      <w:bookmarkStart w:id="52" w:name="_Toc31192"/>
      <w:bookmarkStart w:id="53" w:name="_Toc17688"/>
      <w:bookmarkStart w:id="54" w:name="_Toc13887"/>
      <w:bookmarkStart w:id="55" w:name="_Toc2440"/>
      <w:bookmarkStart w:id="56" w:name="_Toc23603"/>
      <w:bookmarkStart w:id="57" w:name="_Toc13207"/>
      <w:bookmarkStart w:id="58" w:name="_Toc18755"/>
      <w:bookmarkStart w:id="59" w:name="_Toc10055"/>
      <w:bookmarkStart w:id="60" w:name="_Toc152042306"/>
      <w:bookmarkStart w:id="61" w:name="_Toc246996919"/>
      <w:bookmarkStart w:id="62" w:name="_Toc152045530"/>
      <w:bookmarkStart w:id="63" w:name="_Toc179632547"/>
      <w:bookmarkStart w:id="64" w:name="_Toc247085690"/>
      <w:bookmarkStart w:id="65" w:name="_Toc246996176"/>
      <w:bookmarkStart w:id="66" w:name="_Toc296602421"/>
      <w:bookmarkStart w:id="67" w:name="_Toc144974498"/>
      <w:r>
        <w:rPr>
          <w:rFonts w:hint="eastAsia" w:ascii="宋体" w:hAnsi="宋体" w:cs="宋体"/>
          <w:color w:val="36363D"/>
          <w:sz w:val="24"/>
          <w:szCs w:val="24"/>
        </w:rPr>
        <w:t>第一节 总 则</w:t>
      </w:r>
      <w:bookmarkEnd w:id="51"/>
      <w:bookmarkEnd w:id="52"/>
      <w:bookmarkEnd w:id="53"/>
      <w:bookmarkEnd w:id="54"/>
      <w:bookmarkEnd w:id="55"/>
      <w:bookmarkEnd w:id="56"/>
      <w:bookmarkEnd w:id="57"/>
      <w:bookmarkEnd w:id="58"/>
      <w:bookmarkEnd w:id="59"/>
    </w:p>
    <w:p w14:paraId="951045DB">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一、适用范围</w:t>
      </w:r>
    </w:p>
    <w:p w14:paraId="D9D35123">
      <w:pPr>
        <w:pageBreakBefore w:val="0"/>
        <w:kinsoku/>
        <w:overflowPunct/>
        <w:topLinePunct w:val="0"/>
        <w:bidi w:val="0"/>
        <w:spacing w:after="0"/>
        <w:ind w:firstLine="480"/>
        <w:rPr>
          <w:rFonts w:hint="eastAsia" w:cs="宋体"/>
          <w:color w:val="36363D"/>
        </w:rPr>
      </w:pPr>
      <w:r>
        <w:rPr>
          <w:rFonts w:hint="eastAsia" w:cs="宋体"/>
          <w:color w:val="36363D"/>
        </w:rPr>
        <w:t>本招标文件适用于该项目的招标、投标、开标、资格审查及信用信息查询、评标、定标、合同、验收等行为（法律、法规另有规定的，从其规定）。</w:t>
      </w:r>
    </w:p>
    <w:p w14:paraId="23DA6F77">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二、定义</w:t>
      </w:r>
    </w:p>
    <w:p w14:paraId="3DF24BCD">
      <w:pPr>
        <w:pageBreakBefore w:val="0"/>
        <w:kinsoku/>
        <w:overflowPunct/>
        <w:topLinePunct w:val="0"/>
        <w:bidi w:val="0"/>
        <w:spacing w:after="0"/>
        <w:ind w:firstLine="480"/>
        <w:rPr>
          <w:rFonts w:hint="eastAsia" w:cs="宋体"/>
          <w:color w:val="36363D"/>
        </w:rPr>
      </w:pPr>
      <w:r>
        <w:rPr>
          <w:rFonts w:hint="eastAsia" w:cs="宋体"/>
          <w:color w:val="36363D"/>
        </w:rPr>
        <w:t>1.“采购人”系指浙江工商职业技术学院。</w:t>
      </w:r>
    </w:p>
    <w:p w14:paraId="53971F1D">
      <w:pPr>
        <w:pageBreakBefore w:val="0"/>
        <w:kinsoku/>
        <w:overflowPunct/>
        <w:topLinePunct w:val="0"/>
        <w:bidi w:val="0"/>
        <w:spacing w:after="0"/>
        <w:ind w:firstLine="480"/>
        <w:rPr>
          <w:rFonts w:hint="eastAsia" w:cs="宋体"/>
          <w:color w:val="36363D"/>
        </w:rPr>
      </w:pPr>
      <w:r>
        <w:rPr>
          <w:rFonts w:hint="eastAsia" w:cs="宋体"/>
          <w:color w:val="36363D"/>
        </w:rPr>
        <w:t>2.“招标代理机构”系指组织本次招标的浙江致信招标代理有限公司。</w:t>
      </w:r>
    </w:p>
    <w:p w14:paraId="AC769F47">
      <w:pPr>
        <w:pageBreakBefore w:val="0"/>
        <w:kinsoku/>
        <w:overflowPunct/>
        <w:topLinePunct w:val="0"/>
        <w:bidi w:val="0"/>
        <w:spacing w:after="0"/>
        <w:ind w:firstLine="480"/>
        <w:rPr>
          <w:rFonts w:hint="eastAsia" w:cs="宋体"/>
          <w:color w:val="36363D"/>
        </w:rPr>
      </w:pPr>
      <w:r>
        <w:rPr>
          <w:rFonts w:hint="eastAsia" w:cs="宋体"/>
          <w:color w:val="36363D"/>
        </w:rPr>
        <w:t>3.“投标人”和“投标方”系指参加本次招标活动符合资格条件的供应商。</w:t>
      </w:r>
    </w:p>
    <w:p w14:paraId="9CB5C214">
      <w:pPr>
        <w:pageBreakBefore w:val="0"/>
        <w:kinsoku/>
        <w:overflowPunct/>
        <w:topLinePunct w:val="0"/>
        <w:bidi w:val="0"/>
        <w:spacing w:after="0"/>
        <w:ind w:firstLine="480"/>
        <w:rPr>
          <w:rFonts w:hint="eastAsia" w:cs="宋体"/>
          <w:color w:val="36363D"/>
        </w:rPr>
      </w:pPr>
      <w:r>
        <w:rPr>
          <w:rFonts w:hint="eastAsia" w:cs="宋体"/>
          <w:color w:val="36363D"/>
        </w:rPr>
        <w:t>4.“全权代表”系指参加本次招标活动的授权代表。</w:t>
      </w:r>
    </w:p>
    <w:p w14:paraId="37168C99">
      <w:pPr>
        <w:pageBreakBefore w:val="0"/>
        <w:kinsoku/>
        <w:overflowPunct/>
        <w:topLinePunct w:val="0"/>
        <w:bidi w:val="0"/>
        <w:spacing w:after="0"/>
        <w:ind w:firstLine="480"/>
        <w:rPr>
          <w:rFonts w:hint="eastAsia"/>
          <w:color w:val="36363D"/>
        </w:rPr>
      </w:pPr>
      <w:r>
        <w:rPr>
          <w:rFonts w:hint="eastAsia"/>
          <w:color w:val="36363D"/>
        </w:rPr>
        <w:t>5.</w:t>
      </w:r>
      <w:r>
        <w:rPr>
          <w:rFonts w:hint="eastAsia" w:cs="宋体"/>
          <w:color w:val="36363D"/>
        </w:rPr>
        <w:t>“书面形式”包括信函、传真、电子文档等。</w:t>
      </w:r>
    </w:p>
    <w:p w14:paraId="4758F11A">
      <w:pPr>
        <w:pageBreakBefore w:val="0"/>
        <w:kinsoku/>
        <w:overflowPunct/>
        <w:topLinePunct w:val="0"/>
        <w:bidi w:val="0"/>
        <w:spacing w:after="0"/>
        <w:ind w:firstLine="480"/>
        <w:rPr>
          <w:rFonts w:hint="eastAsia" w:cs="宋体"/>
          <w:color w:val="36363D"/>
        </w:rPr>
      </w:pPr>
      <w:r>
        <w:rPr>
          <w:rFonts w:hint="eastAsia" w:cs="宋体"/>
          <w:color w:val="36363D"/>
        </w:rPr>
        <w:t>6.“▲”系指实质性要求条款，投标人应做出实质性响应；“★”系指重要要求条款。</w:t>
      </w:r>
    </w:p>
    <w:p w14:paraId="893CFD93">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三、合格的投标人</w:t>
      </w:r>
    </w:p>
    <w:p w14:paraId="D68AAF21">
      <w:pPr>
        <w:pageBreakBefore w:val="0"/>
        <w:kinsoku/>
        <w:overflowPunct/>
        <w:topLinePunct w:val="0"/>
        <w:bidi w:val="0"/>
        <w:spacing w:after="0"/>
        <w:ind w:firstLine="480"/>
        <w:rPr>
          <w:rFonts w:hint="eastAsia" w:cs="宋体"/>
          <w:color w:val="36363D"/>
        </w:rPr>
      </w:pPr>
      <w:r>
        <w:rPr>
          <w:rFonts w:hint="eastAsia" w:cs="宋体"/>
          <w:color w:val="36363D"/>
        </w:rPr>
        <w:t>详见招标公告“投标人资格要求”。</w:t>
      </w:r>
    </w:p>
    <w:p w14:paraId="6AB80228">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四、投标费用</w:t>
      </w:r>
    </w:p>
    <w:p w14:paraId="3ACD0C48">
      <w:pPr>
        <w:pageBreakBefore w:val="0"/>
        <w:kinsoku/>
        <w:overflowPunct/>
        <w:topLinePunct w:val="0"/>
        <w:bidi w:val="0"/>
        <w:spacing w:after="0"/>
        <w:ind w:firstLine="480"/>
        <w:rPr>
          <w:rFonts w:hint="eastAsia" w:cs="宋体"/>
          <w:color w:val="36363D"/>
        </w:rPr>
      </w:pPr>
      <w:r>
        <w:rPr>
          <w:rFonts w:hint="eastAsia" w:cs="宋体"/>
          <w:color w:val="36363D"/>
        </w:rPr>
        <w:t>1.无论投标结果如何，投标人自行承担所有与参加投标有关的全部费用。</w:t>
      </w:r>
    </w:p>
    <w:p w14:paraId="75C24971">
      <w:pPr>
        <w:pageBreakBefore w:val="0"/>
        <w:kinsoku/>
        <w:overflowPunct/>
        <w:topLinePunct w:val="0"/>
        <w:bidi w:val="0"/>
        <w:spacing w:after="0"/>
        <w:ind w:firstLine="480"/>
        <w:rPr>
          <w:rFonts w:hint="eastAsia" w:cs="宋体"/>
          <w:color w:val="36363D"/>
        </w:rPr>
      </w:pPr>
      <w:r>
        <w:rPr>
          <w:rFonts w:hint="eastAsia" w:cs="宋体"/>
          <w:color w:val="36363D"/>
        </w:rPr>
        <w:t>2.中标人在领取中标通知书前，应向招标代理机构交纳代理服务费，收费标准见“第三章投标人须知-前附表-15”。</w:t>
      </w:r>
    </w:p>
    <w:p w14:paraId="AEDE0749">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五、询问、质疑、投诉</w:t>
      </w:r>
    </w:p>
    <w:p w14:paraId="F2845872">
      <w:pPr>
        <w:pageBreakBefore w:val="0"/>
        <w:kinsoku/>
        <w:overflowPunct/>
        <w:topLinePunct w:val="0"/>
        <w:autoSpaceDE w:val="0"/>
        <w:autoSpaceDN w:val="0"/>
        <w:bidi w:val="0"/>
        <w:spacing w:after="0"/>
        <w:ind w:firstLine="480"/>
        <w:jc w:val="left"/>
        <w:rPr>
          <w:rFonts w:hint="eastAsia" w:cs="宋体"/>
          <w:color w:val="36363D"/>
          <w:kern w:val="0"/>
          <w:lang w:val="zh-CN"/>
        </w:rPr>
      </w:pPr>
      <w:r>
        <w:rPr>
          <w:rFonts w:hint="eastAsia" w:cs="宋体"/>
          <w:color w:val="36363D"/>
          <w:kern w:val="0"/>
          <w:lang w:val="zh-CN"/>
        </w:rPr>
        <w:t>1</w:t>
      </w:r>
      <w:r>
        <w:rPr>
          <w:rFonts w:hint="eastAsia" w:cs="宋体"/>
          <w:color w:val="36363D"/>
          <w:kern w:val="0"/>
        </w:rPr>
        <w:t>.</w:t>
      </w:r>
      <w:r>
        <w:rPr>
          <w:rFonts w:hint="eastAsia" w:cs="宋体"/>
          <w:color w:val="36363D"/>
          <w:kern w:val="0"/>
          <w:lang w:val="zh-CN"/>
        </w:rPr>
        <w:t>投标人询问</w:t>
      </w:r>
    </w:p>
    <w:p w14:paraId="C0790166">
      <w:pPr>
        <w:pageBreakBefore w:val="0"/>
        <w:kinsoku/>
        <w:overflowPunct/>
        <w:topLinePunct w:val="0"/>
        <w:autoSpaceDE w:val="0"/>
        <w:autoSpaceDN w:val="0"/>
        <w:bidi w:val="0"/>
        <w:spacing w:after="0"/>
        <w:ind w:firstLine="480"/>
        <w:jc w:val="left"/>
        <w:rPr>
          <w:rFonts w:hint="eastAsia" w:cs="宋体"/>
          <w:color w:val="36363D"/>
          <w:kern w:val="0"/>
          <w:lang w:val="zh-CN"/>
        </w:rPr>
      </w:pPr>
      <w:r>
        <w:rPr>
          <w:rFonts w:hint="eastAsia" w:cs="宋体"/>
          <w:color w:val="36363D"/>
          <w:kern w:val="0"/>
          <w:lang w:val="zh-CN"/>
        </w:rPr>
        <w:t>投标人对采购活动事项有疑问的，可以提出询问，采购人或者招标代理机构应当在3个工作日内对投标人依法提出的询问作出答复，但答复的内容不得涉及商业秘密。投标人提出的询问超出采购人对招标代理机构委托授权范围的，招标代理机构应当告知投标人向采购人提出。</w:t>
      </w:r>
    </w:p>
    <w:p w14:paraId="838241F9">
      <w:pPr>
        <w:pageBreakBefore w:val="0"/>
        <w:kinsoku/>
        <w:overflowPunct/>
        <w:topLinePunct w:val="0"/>
        <w:autoSpaceDE w:val="0"/>
        <w:autoSpaceDN w:val="0"/>
        <w:bidi w:val="0"/>
        <w:spacing w:after="0"/>
        <w:ind w:firstLine="480"/>
        <w:jc w:val="left"/>
        <w:rPr>
          <w:rFonts w:hint="eastAsia" w:cs="宋体"/>
          <w:color w:val="36363D"/>
          <w:kern w:val="0"/>
          <w:lang w:val="zh-CN"/>
        </w:rPr>
      </w:pPr>
      <w:r>
        <w:rPr>
          <w:rFonts w:hint="eastAsia" w:cs="宋体"/>
          <w:color w:val="36363D"/>
          <w:kern w:val="0"/>
          <w:lang w:val="zh-CN"/>
        </w:rPr>
        <w:t>2</w:t>
      </w:r>
      <w:r>
        <w:rPr>
          <w:rFonts w:hint="eastAsia" w:cs="宋体"/>
          <w:color w:val="36363D"/>
          <w:kern w:val="0"/>
        </w:rPr>
        <w:t>.</w:t>
      </w:r>
      <w:r>
        <w:rPr>
          <w:rFonts w:hint="eastAsia" w:cs="宋体"/>
          <w:color w:val="36363D"/>
          <w:kern w:val="0"/>
          <w:lang w:val="zh-CN"/>
        </w:rPr>
        <w:t>投标人质疑</w:t>
      </w:r>
    </w:p>
    <w:p w14:paraId="12FC6B22">
      <w:pPr>
        <w:pStyle w:val="22"/>
        <w:pageBreakBefore w:val="0"/>
        <w:kinsoku/>
        <w:overflowPunct/>
        <w:topLinePunct w:val="0"/>
        <w:bidi w:val="0"/>
        <w:spacing w:after="0" w:line="360" w:lineRule="auto"/>
        <w:ind w:firstLine="480" w:firstLineChars="200"/>
        <w:rPr>
          <w:rFonts w:hint="eastAsia" w:hAnsi="宋体" w:cs="宋体"/>
          <w:color w:val="36363D"/>
          <w:sz w:val="24"/>
          <w:szCs w:val="24"/>
        </w:rPr>
      </w:pPr>
      <w:r>
        <w:rPr>
          <w:rFonts w:hint="eastAsia" w:hAnsi="宋体" w:cs="宋体"/>
          <w:color w:val="36363D"/>
          <w:sz w:val="24"/>
          <w:szCs w:val="24"/>
        </w:rPr>
        <w:t>（1）提出质疑的投标人应当是参与所质疑项目招标活动的投标人。潜在投标人已依法获取其可质疑的招标文件的，可以对该文件提出质疑。</w:t>
      </w:r>
    </w:p>
    <w:p w14:paraId="752E92B2">
      <w:pPr>
        <w:pStyle w:val="22"/>
        <w:pageBreakBefore w:val="0"/>
        <w:kinsoku/>
        <w:overflowPunct/>
        <w:topLinePunct w:val="0"/>
        <w:bidi w:val="0"/>
        <w:spacing w:after="0" w:line="360" w:lineRule="auto"/>
        <w:ind w:firstLine="480" w:firstLineChars="200"/>
        <w:rPr>
          <w:rFonts w:hint="eastAsia" w:hAnsi="宋体" w:cs="宋体"/>
          <w:color w:val="36363D"/>
          <w:sz w:val="24"/>
          <w:szCs w:val="24"/>
        </w:rPr>
      </w:pPr>
      <w:r>
        <w:rPr>
          <w:rFonts w:hint="eastAsia" w:hAnsi="宋体" w:cs="宋体"/>
          <w:color w:val="36363D"/>
          <w:kern w:val="0"/>
          <w:sz w:val="24"/>
          <w:szCs w:val="24"/>
          <w:lang w:val="zh-CN"/>
        </w:rPr>
        <w:t>（</w:t>
      </w:r>
      <w:r>
        <w:rPr>
          <w:rFonts w:hint="eastAsia" w:hAnsi="宋体" w:cs="宋体"/>
          <w:color w:val="36363D"/>
          <w:sz w:val="24"/>
          <w:szCs w:val="24"/>
        </w:rPr>
        <w:t>2）投标人认为招标文件、招标过程和中标结果使自己的权益受到损害的，可以在知道或者应知其权益受到损害之日起七个工作日内，以书面形式向采购人或者招标机构提出质疑，否则，采购人或者招标机构不予受理：</w:t>
      </w:r>
    </w:p>
    <w:p w14:paraId="7B0DA8B8">
      <w:pPr>
        <w:pStyle w:val="9"/>
        <w:pageBreakBefore w:val="0"/>
        <w:kinsoku/>
        <w:overflowPunct/>
        <w:topLinePunct w:val="0"/>
        <w:bidi w:val="0"/>
        <w:spacing w:after="0" w:line="360" w:lineRule="auto"/>
        <w:ind w:firstLine="720" w:firstLineChars="300"/>
        <w:rPr>
          <w:rFonts w:hint="eastAsia" w:ascii="宋体" w:hAnsi="宋体" w:cs="宋体"/>
          <w:color w:val="36363D"/>
          <w:sz w:val="24"/>
        </w:rPr>
      </w:pPr>
      <w:r>
        <w:rPr>
          <w:rFonts w:hint="eastAsia" w:ascii="宋体" w:hAnsi="宋体" w:cs="宋体"/>
          <w:color w:val="36363D"/>
          <w:sz w:val="24"/>
        </w:rPr>
        <w:t>1）对招标文件提出质疑的，质疑期限为投标人获得招标文件之日或者招标文件公告期限届满之日起计算。</w:t>
      </w:r>
    </w:p>
    <w:p w14:paraId="16A7FA6C">
      <w:pPr>
        <w:pStyle w:val="22"/>
        <w:pageBreakBefore w:val="0"/>
        <w:kinsoku/>
        <w:overflowPunct/>
        <w:topLinePunct w:val="0"/>
        <w:bidi w:val="0"/>
        <w:spacing w:after="0" w:line="360" w:lineRule="auto"/>
        <w:ind w:firstLine="720" w:firstLineChars="300"/>
        <w:rPr>
          <w:rFonts w:hint="eastAsia" w:hAnsi="宋体" w:cs="宋体"/>
          <w:color w:val="36363D"/>
          <w:sz w:val="24"/>
          <w:szCs w:val="24"/>
        </w:rPr>
      </w:pPr>
      <w:r>
        <w:rPr>
          <w:rFonts w:hint="eastAsia" w:hAnsi="宋体" w:cs="宋体"/>
          <w:color w:val="36363D"/>
          <w:sz w:val="24"/>
          <w:szCs w:val="24"/>
        </w:rPr>
        <w:t>2）对招标过程提出质疑的，质疑期限为各招标程序环节结束之日起计算。对同一招标程序环节的质疑，投标人须一次性提出。</w:t>
      </w:r>
    </w:p>
    <w:p w14:paraId="801B8A47">
      <w:pPr>
        <w:pStyle w:val="22"/>
        <w:pageBreakBefore w:val="0"/>
        <w:kinsoku/>
        <w:overflowPunct/>
        <w:topLinePunct w:val="0"/>
        <w:bidi w:val="0"/>
        <w:spacing w:after="0" w:line="360" w:lineRule="auto"/>
        <w:ind w:firstLine="720" w:firstLineChars="300"/>
        <w:rPr>
          <w:rFonts w:hint="eastAsia" w:hAnsi="宋体" w:cs="宋体"/>
          <w:color w:val="36363D"/>
          <w:sz w:val="24"/>
          <w:szCs w:val="24"/>
        </w:rPr>
      </w:pPr>
      <w:r>
        <w:rPr>
          <w:rFonts w:hint="eastAsia" w:hAnsi="宋体" w:cs="宋体"/>
          <w:color w:val="36363D"/>
          <w:sz w:val="24"/>
          <w:szCs w:val="24"/>
        </w:rPr>
        <w:t>3）对招标结果提出质疑的，质疑期限自招标结果公告期限届满之日起计算。</w:t>
      </w:r>
    </w:p>
    <w:p w14:paraId="1C984E0D">
      <w:pPr>
        <w:pStyle w:val="22"/>
        <w:pageBreakBefore w:val="0"/>
        <w:kinsoku/>
        <w:overflowPunct/>
        <w:topLinePunct w:val="0"/>
        <w:bidi w:val="0"/>
        <w:spacing w:after="0" w:line="360" w:lineRule="auto"/>
        <w:ind w:firstLine="480" w:firstLineChars="200"/>
        <w:rPr>
          <w:rFonts w:hint="eastAsia" w:hAnsi="宋体" w:cs="宋体"/>
          <w:color w:val="36363D"/>
          <w:kern w:val="0"/>
          <w:sz w:val="24"/>
          <w:szCs w:val="24"/>
          <w:lang w:val="zh-CN"/>
        </w:rPr>
      </w:pPr>
      <w:r>
        <w:rPr>
          <w:rFonts w:hint="eastAsia" w:hAnsi="宋体" w:cs="宋体"/>
          <w:color w:val="36363D"/>
          <w:kern w:val="0"/>
          <w:sz w:val="24"/>
          <w:szCs w:val="24"/>
          <w:lang w:val="zh-CN"/>
        </w:rPr>
        <w:t>（</w:t>
      </w:r>
      <w:r>
        <w:rPr>
          <w:rFonts w:hint="eastAsia" w:hAnsi="宋体" w:cs="宋体"/>
          <w:color w:val="36363D"/>
          <w:kern w:val="0"/>
          <w:sz w:val="24"/>
          <w:szCs w:val="24"/>
        </w:rPr>
        <w:t>3）</w:t>
      </w:r>
      <w:r>
        <w:rPr>
          <w:rFonts w:hint="eastAsia" w:hAnsi="宋体" w:cs="宋体"/>
          <w:color w:val="36363D"/>
          <w:sz w:val="24"/>
          <w:szCs w:val="24"/>
        </w:rPr>
        <w:t>投标人提出质疑应当提交质疑函和必要的证明材料。质疑函应当包括下列内容：</w:t>
      </w:r>
    </w:p>
    <w:p w14:paraId="7C571832">
      <w:pPr>
        <w:pStyle w:val="22"/>
        <w:pageBreakBefore w:val="0"/>
        <w:kinsoku/>
        <w:overflowPunct/>
        <w:topLinePunct w:val="0"/>
        <w:bidi w:val="0"/>
        <w:spacing w:after="0" w:line="360" w:lineRule="auto"/>
        <w:ind w:firstLine="720" w:firstLineChars="300"/>
        <w:rPr>
          <w:rFonts w:hint="eastAsia" w:hAnsi="宋体" w:cs="宋体"/>
          <w:color w:val="36363D"/>
          <w:kern w:val="0"/>
          <w:sz w:val="24"/>
          <w:szCs w:val="24"/>
          <w:lang w:val="zh-CN"/>
        </w:rPr>
      </w:pPr>
      <w:r>
        <w:rPr>
          <w:rFonts w:hint="eastAsia" w:hAnsi="宋体" w:cs="宋体"/>
          <w:color w:val="36363D"/>
          <w:sz w:val="24"/>
          <w:szCs w:val="24"/>
        </w:rPr>
        <w:t>1）</w:t>
      </w:r>
      <w:r>
        <w:rPr>
          <w:rFonts w:hint="eastAsia" w:hAnsi="宋体" w:cs="宋体"/>
          <w:color w:val="36363D"/>
          <w:kern w:val="0"/>
          <w:sz w:val="24"/>
          <w:szCs w:val="24"/>
          <w:lang w:val="zh-CN"/>
        </w:rPr>
        <w:t>投标人的姓名或者名称、地址、邮编、联系人及联系电话；</w:t>
      </w:r>
    </w:p>
    <w:p w14:paraId="D354316A">
      <w:pPr>
        <w:pStyle w:val="22"/>
        <w:pageBreakBefore w:val="0"/>
        <w:kinsoku/>
        <w:overflowPunct/>
        <w:topLinePunct w:val="0"/>
        <w:bidi w:val="0"/>
        <w:spacing w:after="0" w:line="360" w:lineRule="auto"/>
        <w:ind w:firstLine="720" w:firstLineChars="300"/>
        <w:rPr>
          <w:rFonts w:hint="eastAsia" w:hAnsi="宋体" w:cs="宋体"/>
          <w:color w:val="36363D"/>
          <w:kern w:val="0"/>
          <w:sz w:val="24"/>
          <w:szCs w:val="24"/>
          <w:lang w:val="zh-CN"/>
        </w:rPr>
      </w:pPr>
      <w:r>
        <w:rPr>
          <w:rFonts w:hint="eastAsia" w:hAnsi="宋体" w:cs="宋体"/>
          <w:color w:val="36363D"/>
          <w:sz w:val="24"/>
          <w:szCs w:val="24"/>
        </w:rPr>
        <w:t>2）</w:t>
      </w:r>
      <w:r>
        <w:rPr>
          <w:rFonts w:hint="eastAsia" w:hAnsi="宋体" w:cs="宋体"/>
          <w:color w:val="36363D"/>
          <w:kern w:val="0"/>
          <w:sz w:val="24"/>
          <w:szCs w:val="24"/>
          <w:lang w:val="zh-CN"/>
        </w:rPr>
        <w:t>质疑项目的名称、编号；</w:t>
      </w:r>
    </w:p>
    <w:p w14:paraId="FA809452">
      <w:pPr>
        <w:pStyle w:val="22"/>
        <w:pageBreakBefore w:val="0"/>
        <w:kinsoku/>
        <w:overflowPunct/>
        <w:topLinePunct w:val="0"/>
        <w:bidi w:val="0"/>
        <w:spacing w:after="0" w:line="360" w:lineRule="auto"/>
        <w:ind w:firstLine="720" w:firstLineChars="300"/>
        <w:rPr>
          <w:rFonts w:hint="eastAsia" w:hAnsi="宋体" w:cs="宋体"/>
          <w:color w:val="36363D"/>
          <w:kern w:val="0"/>
          <w:sz w:val="24"/>
          <w:szCs w:val="24"/>
          <w:lang w:val="zh-CN"/>
        </w:rPr>
      </w:pPr>
      <w:r>
        <w:rPr>
          <w:rFonts w:hint="eastAsia" w:hAnsi="宋体" w:cs="宋体"/>
          <w:color w:val="36363D"/>
          <w:sz w:val="24"/>
          <w:szCs w:val="24"/>
        </w:rPr>
        <w:t>3）</w:t>
      </w:r>
      <w:r>
        <w:rPr>
          <w:rFonts w:hint="eastAsia" w:hAnsi="宋体" w:cs="宋体"/>
          <w:color w:val="36363D"/>
          <w:kern w:val="0"/>
          <w:sz w:val="24"/>
          <w:szCs w:val="24"/>
          <w:lang w:val="zh-CN"/>
        </w:rPr>
        <w:t>具体、明确的质疑事项和与质疑事项相关的请求；</w:t>
      </w:r>
    </w:p>
    <w:p w14:paraId="727E8D52">
      <w:pPr>
        <w:pStyle w:val="22"/>
        <w:pageBreakBefore w:val="0"/>
        <w:kinsoku/>
        <w:overflowPunct/>
        <w:topLinePunct w:val="0"/>
        <w:bidi w:val="0"/>
        <w:spacing w:after="0" w:line="360" w:lineRule="auto"/>
        <w:ind w:firstLine="720" w:firstLineChars="300"/>
        <w:rPr>
          <w:rFonts w:hint="eastAsia" w:hAnsi="宋体" w:cs="宋体"/>
          <w:color w:val="36363D"/>
          <w:kern w:val="0"/>
          <w:sz w:val="24"/>
          <w:szCs w:val="24"/>
          <w:lang w:val="zh-CN"/>
        </w:rPr>
      </w:pPr>
      <w:r>
        <w:rPr>
          <w:rFonts w:hint="eastAsia" w:hAnsi="宋体" w:cs="宋体"/>
          <w:color w:val="36363D"/>
          <w:sz w:val="24"/>
          <w:szCs w:val="24"/>
        </w:rPr>
        <w:t>4）</w:t>
      </w:r>
      <w:r>
        <w:rPr>
          <w:rFonts w:hint="eastAsia" w:hAnsi="宋体" w:cs="宋体"/>
          <w:color w:val="36363D"/>
          <w:kern w:val="0"/>
          <w:sz w:val="24"/>
          <w:szCs w:val="24"/>
          <w:lang w:val="zh-CN"/>
        </w:rPr>
        <w:t>事实依据；</w:t>
      </w:r>
    </w:p>
    <w:p w14:paraId="35F0D508">
      <w:pPr>
        <w:pStyle w:val="22"/>
        <w:pageBreakBefore w:val="0"/>
        <w:kinsoku/>
        <w:overflowPunct/>
        <w:topLinePunct w:val="0"/>
        <w:bidi w:val="0"/>
        <w:spacing w:after="0" w:line="360" w:lineRule="auto"/>
        <w:ind w:firstLine="720" w:firstLineChars="300"/>
        <w:rPr>
          <w:rFonts w:hint="eastAsia" w:hAnsi="宋体" w:cs="宋体"/>
          <w:color w:val="36363D"/>
          <w:kern w:val="0"/>
          <w:sz w:val="24"/>
          <w:szCs w:val="24"/>
          <w:lang w:val="zh-CN"/>
        </w:rPr>
      </w:pPr>
      <w:r>
        <w:rPr>
          <w:rFonts w:hint="eastAsia" w:hAnsi="宋体" w:cs="宋体"/>
          <w:color w:val="36363D"/>
          <w:sz w:val="24"/>
          <w:szCs w:val="24"/>
        </w:rPr>
        <w:t>5）</w:t>
      </w:r>
      <w:r>
        <w:rPr>
          <w:rFonts w:hint="eastAsia" w:hAnsi="宋体" w:cs="宋体"/>
          <w:color w:val="36363D"/>
          <w:kern w:val="0"/>
          <w:sz w:val="24"/>
          <w:szCs w:val="24"/>
          <w:lang w:val="zh-CN"/>
        </w:rPr>
        <w:t>必要的法律依据；</w:t>
      </w:r>
    </w:p>
    <w:p w14:paraId="672F7DD7">
      <w:pPr>
        <w:pStyle w:val="22"/>
        <w:pageBreakBefore w:val="0"/>
        <w:kinsoku/>
        <w:overflowPunct/>
        <w:topLinePunct w:val="0"/>
        <w:bidi w:val="0"/>
        <w:spacing w:after="0" w:line="360" w:lineRule="auto"/>
        <w:ind w:firstLine="720" w:firstLineChars="300"/>
        <w:rPr>
          <w:rFonts w:hint="eastAsia" w:hAnsi="宋体" w:cs="宋体"/>
          <w:color w:val="36363D"/>
          <w:kern w:val="0"/>
          <w:sz w:val="24"/>
          <w:szCs w:val="24"/>
          <w:lang w:val="zh-CN"/>
        </w:rPr>
      </w:pPr>
      <w:r>
        <w:rPr>
          <w:rFonts w:hint="eastAsia" w:hAnsi="宋体" w:cs="宋体"/>
          <w:color w:val="36363D"/>
          <w:sz w:val="24"/>
          <w:szCs w:val="24"/>
        </w:rPr>
        <w:t>6）</w:t>
      </w:r>
      <w:r>
        <w:rPr>
          <w:rFonts w:hint="eastAsia" w:hAnsi="宋体" w:cs="宋体"/>
          <w:color w:val="36363D"/>
          <w:kern w:val="0"/>
          <w:sz w:val="24"/>
          <w:szCs w:val="24"/>
          <w:lang w:val="zh-CN"/>
        </w:rPr>
        <w:t>提出质疑的日期。</w:t>
      </w:r>
    </w:p>
    <w:p w14:paraId="5AF43874">
      <w:pPr>
        <w:pageBreakBefore w:val="0"/>
        <w:kinsoku/>
        <w:overflowPunct/>
        <w:topLinePunct w:val="0"/>
        <w:bidi w:val="0"/>
        <w:spacing w:after="0"/>
        <w:ind w:firstLine="480"/>
        <w:rPr>
          <w:rFonts w:hint="eastAsia"/>
          <w:color w:val="36363D"/>
        </w:rPr>
      </w:pPr>
      <w:r>
        <w:rPr>
          <w:rFonts w:hint="eastAsia"/>
          <w:color w:val="36363D"/>
        </w:rPr>
        <w:t>投标人提交的质疑函需一式三份。投标人为自然人的，应当由本人签字；投标人为法人或者其他组织的，应当由法定代表人、主要负责人，或者其全权代表签字或者盖章，并加盖公章。</w:t>
      </w:r>
    </w:p>
    <w:p w14:paraId="E6A3C852">
      <w:pPr>
        <w:pageBreakBefore w:val="0"/>
        <w:kinsoku/>
        <w:overflowPunct/>
        <w:topLinePunct w:val="0"/>
        <w:bidi w:val="0"/>
        <w:spacing w:after="0"/>
        <w:ind w:firstLine="480"/>
        <w:rPr>
          <w:rFonts w:hint="eastAsia"/>
          <w:color w:val="36363D"/>
        </w:rPr>
      </w:pPr>
      <w:r>
        <w:rPr>
          <w:rFonts w:hint="eastAsia"/>
          <w:color w:val="36363D"/>
          <w:lang w:val="zh-CN"/>
        </w:rPr>
        <w:t>（</w:t>
      </w:r>
      <w:r>
        <w:rPr>
          <w:rFonts w:hint="eastAsia"/>
          <w:color w:val="36363D"/>
        </w:rPr>
        <w:t>4）采购人或者招标机构应当在收到投标人的书面质疑后七个工作日内作出答复，并以书面形式通知质疑投标人和其他与质疑处理结果有利害关系的采购当事人，但答复的内容不得涉及商业秘密。</w:t>
      </w:r>
    </w:p>
    <w:p w14:paraId="7933CF59">
      <w:pPr>
        <w:pageBreakBefore w:val="0"/>
        <w:kinsoku/>
        <w:overflowPunct/>
        <w:topLinePunct w:val="0"/>
        <w:bidi w:val="0"/>
        <w:spacing w:after="0"/>
        <w:ind w:firstLine="480"/>
        <w:rPr>
          <w:rFonts w:hint="eastAsia"/>
          <w:color w:val="36363D"/>
        </w:rPr>
      </w:pPr>
      <w:r>
        <w:rPr>
          <w:rFonts w:hint="eastAsia"/>
          <w:color w:val="36363D"/>
          <w:lang w:val="zh-CN"/>
        </w:rPr>
        <w:t>（</w:t>
      </w:r>
      <w:r>
        <w:rPr>
          <w:rFonts w:hint="eastAsia"/>
          <w:color w:val="36363D"/>
        </w:rPr>
        <w:t>5）询问或者质疑事项可能影响采购结果的，采购人应当暂停签订合同，已经签订合同的，应当中止履行合同。</w:t>
      </w:r>
    </w:p>
    <w:p w14:paraId="5EF9A091">
      <w:pPr>
        <w:pStyle w:val="5"/>
        <w:pageBreakBefore w:val="0"/>
        <w:kinsoku/>
        <w:overflowPunct/>
        <w:topLinePunct w:val="0"/>
        <w:bidi w:val="0"/>
        <w:spacing w:after="0"/>
        <w:rPr>
          <w:rFonts w:hint="eastAsia" w:cs="宋体"/>
          <w:color w:val="36363D"/>
          <w:sz w:val="24"/>
          <w:szCs w:val="24"/>
        </w:rPr>
      </w:pPr>
      <w:r>
        <w:rPr>
          <w:rFonts w:hint="eastAsia"/>
          <w:color w:val="36363D"/>
          <w:sz w:val="24"/>
          <w:szCs w:val="24"/>
        </w:rPr>
        <w:t>六、</w:t>
      </w:r>
      <w:r>
        <w:rPr>
          <w:rFonts w:hint="eastAsia" w:cs="宋体"/>
          <w:color w:val="36363D"/>
          <w:sz w:val="24"/>
          <w:szCs w:val="24"/>
        </w:rPr>
        <w:t>特别说明</w:t>
      </w:r>
    </w:p>
    <w:p w14:paraId="E848F543">
      <w:pPr>
        <w:pageBreakBefore w:val="0"/>
        <w:kinsoku/>
        <w:overflowPunct/>
        <w:topLinePunct w:val="0"/>
        <w:bidi w:val="0"/>
        <w:spacing w:after="0"/>
        <w:ind w:firstLine="480"/>
        <w:rPr>
          <w:rFonts w:hint="eastAsia" w:cs="宋体"/>
          <w:color w:val="36363D"/>
        </w:rPr>
      </w:pPr>
      <w:r>
        <w:rPr>
          <w:rFonts w:hint="eastAsia" w:cs="宋体"/>
          <w:color w:val="36363D"/>
        </w:rPr>
        <w:t>投标人在投标活动中提供任何虚假材料，其投标无效。</w:t>
      </w:r>
    </w:p>
    <w:p w14:paraId="7D360EF1">
      <w:pPr>
        <w:pStyle w:val="55"/>
        <w:pageBreakBefore w:val="0"/>
        <w:kinsoku/>
        <w:overflowPunct/>
        <w:topLinePunct w:val="0"/>
        <w:bidi w:val="0"/>
        <w:spacing w:after="0" w:line="360" w:lineRule="auto"/>
        <w:rPr>
          <w:rFonts w:hint="eastAsia" w:ascii="宋体" w:hAnsi="宋体" w:eastAsia="宋体" w:cs="宋体"/>
          <w:b/>
          <w:bCs/>
          <w:color w:val="36363D"/>
          <w:kern w:val="2"/>
        </w:rPr>
      </w:pPr>
    </w:p>
    <w:p w14:paraId="8F7859B6">
      <w:pPr>
        <w:pStyle w:val="4"/>
        <w:pageBreakBefore w:val="0"/>
        <w:kinsoku/>
        <w:overflowPunct/>
        <w:topLinePunct w:val="0"/>
        <w:bidi w:val="0"/>
        <w:spacing w:after="0"/>
        <w:jc w:val="center"/>
        <w:rPr>
          <w:rFonts w:hint="eastAsia" w:ascii="宋体" w:hAnsi="宋体" w:cs="宋体"/>
          <w:color w:val="36363D"/>
          <w:sz w:val="24"/>
          <w:szCs w:val="24"/>
        </w:rPr>
      </w:pPr>
      <w:bookmarkStart w:id="68" w:name="_Toc91899879"/>
      <w:bookmarkStart w:id="69" w:name="_Toc1847"/>
      <w:bookmarkStart w:id="70" w:name="_Toc14828"/>
      <w:bookmarkStart w:id="71" w:name="_Toc16985"/>
      <w:bookmarkStart w:id="72" w:name="_Toc19706"/>
      <w:bookmarkStart w:id="73" w:name="_Toc5528"/>
      <w:bookmarkStart w:id="74" w:name="_Toc12075"/>
      <w:bookmarkStart w:id="75" w:name="_Toc25431"/>
      <w:bookmarkStart w:id="76" w:name="_Toc10148"/>
      <w:r>
        <w:rPr>
          <w:rFonts w:hint="eastAsia" w:ascii="宋体" w:hAnsi="宋体" w:cs="宋体"/>
          <w:color w:val="36363D"/>
          <w:sz w:val="24"/>
          <w:szCs w:val="24"/>
        </w:rPr>
        <w:t>第二节 招标文件</w:t>
      </w:r>
      <w:bookmarkEnd w:id="68"/>
      <w:r>
        <w:rPr>
          <w:rFonts w:hint="eastAsia" w:ascii="宋体" w:hAnsi="宋体" w:cs="宋体"/>
          <w:color w:val="36363D"/>
          <w:sz w:val="24"/>
          <w:szCs w:val="24"/>
        </w:rPr>
        <w:t>的构成、澄清、修改</w:t>
      </w:r>
      <w:bookmarkEnd w:id="69"/>
      <w:bookmarkEnd w:id="70"/>
      <w:bookmarkEnd w:id="71"/>
      <w:bookmarkEnd w:id="72"/>
      <w:bookmarkEnd w:id="73"/>
      <w:bookmarkEnd w:id="74"/>
      <w:bookmarkEnd w:id="75"/>
      <w:bookmarkEnd w:id="76"/>
    </w:p>
    <w:p w14:paraId="ED09D4BF">
      <w:pPr>
        <w:pStyle w:val="5"/>
        <w:pageBreakBefore w:val="0"/>
        <w:kinsoku/>
        <w:overflowPunct/>
        <w:topLinePunct w:val="0"/>
        <w:bidi w:val="0"/>
        <w:spacing w:after="0"/>
        <w:rPr>
          <w:rFonts w:hint="eastAsia" w:cs="宋体"/>
          <w:color w:val="36363D"/>
          <w:sz w:val="24"/>
          <w:szCs w:val="24"/>
        </w:rPr>
      </w:pPr>
      <w:bookmarkStart w:id="77" w:name="_Toc91899880"/>
      <w:bookmarkStart w:id="78" w:name="_Hlt74730307"/>
      <w:r>
        <w:rPr>
          <w:rFonts w:hint="eastAsia" w:cs="宋体"/>
          <w:color w:val="36363D"/>
          <w:sz w:val="24"/>
          <w:szCs w:val="24"/>
        </w:rPr>
        <w:t>一、招标文件的构成</w:t>
      </w:r>
      <w:bookmarkEnd w:id="77"/>
    </w:p>
    <w:bookmarkEnd w:id="78"/>
    <w:p w14:paraId="CF48473A">
      <w:pPr>
        <w:pStyle w:val="22"/>
        <w:pageBreakBefore w:val="0"/>
        <w:kinsoku/>
        <w:overflowPunct/>
        <w:topLinePunct w:val="0"/>
        <w:bidi w:val="0"/>
        <w:spacing w:after="0" w:line="360" w:lineRule="auto"/>
        <w:ind w:firstLine="480" w:firstLineChars="200"/>
        <w:rPr>
          <w:rFonts w:hint="eastAsia" w:hAnsi="宋体" w:cs="宋体"/>
          <w:color w:val="36363D"/>
          <w:sz w:val="24"/>
          <w:szCs w:val="24"/>
        </w:rPr>
      </w:pPr>
      <w:r>
        <w:rPr>
          <w:rFonts w:hint="eastAsia" w:hAnsi="宋体" w:cs="宋体"/>
          <w:color w:val="36363D"/>
          <w:sz w:val="24"/>
          <w:szCs w:val="24"/>
        </w:rPr>
        <w:t>1.招标文件包括下列文件及附件：</w:t>
      </w:r>
    </w:p>
    <w:p w14:paraId="8379666C">
      <w:pPr>
        <w:pStyle w:val="22"/>
        <w:pageBreakBefore w:val="0"/>
        <w:numPr>
          <w:ilvl w:val="0"/>
          <w:numId w:val="8"/>
        </w:numPr>
        <w:kinsoku/>
        <w:overflowPunct/>
        <w:topLinePunct w:val="0"/>
        <w:bidi w:val="0"/>
        <w:adjustRightInd w:val="0"/>
        <w:spacing w:after="0" w:line="360" w:lineRule="auto"/>
        <w:ind w:left="839" w:firstLine="105" w:firstLineChars="50"/>
        <w:rPr>
          <w:rFonts w:hint="eastAsia" w:hAnsi="宋体" w:cs="宋体"/>
          <w:color w:val="36363D"/>
          <w:sz w:val="24"/>
          <w:szCs w:val="24"/>
        </w:rPr>
      </w:pPr>
      <w:r>
        <w:rPr>
          <w:color w:val="36363D"/>
        </w:rPr>
        <w:fldChar w:fldCharType="begin"/>
      </w:r>
      <w:r>
        <w:rPr>
          <w:color w:val="36363D"/>
        </w:rPr>
        <w:instrText xml:space="preserve"> HYPERLINK \l "_Toc32332" </w:instrText>
      </w:r>
      <w:r>
        <w:rPr>
          <w:color w:val="36363D"/>
        </w:rPr>
        <w:fldChar w:fldCharType="separate"/>
      </w:r>
      <w:r>
        <w:rPr>
          <w:rFonts w:hint="eastAsia" w:hAnsi="宋体" w:cs="宋体"/>
          <w:color w:val="36363D"/>
          <w:sz w:val="24"/>
          <w:szCs w:val="24"/>
        </w:rPr>
        <w:t>第一章 招标公告</w:t>
      </w:r>
      <w:r>
        <w:rPr>
          <w:rFonts w:hint="eastAsia" w:hAnsi="宋体" w:cs="宋体"/>
          <w:color w:val="36363D"/>
          <w:sz w:val="24"/>
          <w:szCs w:val="24"/>
        </w:rPr>
        <w:fldChar w:fldCharType="end"/>
      </w:r>
      <w:r>
        <w:rPr>
          <w:rFonts w:hint="eastAsia" w:hAnsi="宋体" w:cs="宋体"/>
          <w:color w:val="36363D"/>
          <w:sz w:val="24"/>
          <w:szCs w:val="24"/>
        </w:rPr>
        <w:t>；</w:t>
      </w:r>
    </w:p>
    <w:p w14:paraId="83E0608B">
      <w:pPr>
        <w:pStyle w:val="22"/>
        <w:pageBreakBefore w:val="0"/>
        <w:numPr>
          <w:ilvl w:val="0"/>
          <w:numId w:val="8"/>
        </w:numPr>
        <w:kinsoku/>
        <w:overflowPunct/>
        <w:topLinePunct w:val="0"/>
        <w:bidi w:val="0"/>
        <w:adjustRightInd w:val="0"/>
        <w:spacing w:after="0" w:line="360" w:lineRule="auto"/>
        <w:ind w:left="839" w:firstLine="105" w:firstLineChars="50"/>
        <w:rPr>
          <w:rFonts w:hint="eastAsia" w:hAnsi="宋体" w:cs="宋体"/>
          <w:color w:val="36363D"/>
          <w:sz w:val="24"/>
          <w:szCs w:val="24"/>
        </w:rPr>
      </w:pPr>
      <w:r>
        <w:rPr>
          <w:color w:val="36363D"/>
        </w:rPr>
        <w:fldChar w:fldCharType="begin"/>
      </w:r>
      <w:r>
        <w:rPr>
          <w:color w:val="36363D"/>
        </w:rPr>
        <w:instrText xml:space="preserve"> HYPERLINK \l "_Toc24282" </w:instrText>
      </w:r>
      <w:r>
        <w:rPr>
          <w:color w:val="36363D"/>
        </w:rPr>
        <w:fldChar w:fldCharType="separate"/>
      </w:r>
      <w:r>
        <w:rPr>
          <w:rFonts w:hint="eastAsia" w:hAnsi="宋体" w:cs="宋体"/>
          <w:color w:val="36363D"/>
          <w:sz w:val="24"/>
          <w:szCs w:val="24"/>
        </w:rPr>
        <w:t>第二章 项目需求说明</w:t>
      </w:r>
      <w:r>
        <w:rPr>
          <w:rFonts w:hint="eastAsia" w:hAnsi="宋体" w:cs="宋体"/>
          <w:color w:val="36363D"/>
          <w:sz w:val="24"/>
          <w:szCs w:val="24"/>
        </w:rPr>
        <w:fldChar w:fldCharType="end"/>
      </w:r>
      <w:r>
        <w:rPr>
          <w:rFonts w:hint="eastAsia" w:hAnsi="宋体" w:cs="宋体"/>
          <w:color w:val="36363D"/>
          <w:sz w:val="24"/>
          <w:szCs w:val="24"/>
        </w:rPr>
        <w:t>；</w:t>
      </w:r>
    </w:p>
    <w:p w14:paraId="1036B49C">
      <w:pPr>
        <w:pStyle w:val="22"/>
        <w:pageBreakBefore w:val="0"/>
        <w:numPr>
          <w:ilvl w:val="0"/>
          <w:numId w:val="8"/>
        </w:numPr>
        <w:kinsoku/>
        <w:overflowPunct/>
        <w:topLinePunct w:val="0"/>
        <w:bidi w:val="0"/>
        <w:adjustRightInd w:val="0"/>
        <w:spacing w:after="0" w:line="360" w:lineRule="auto"/>
        <w:ind w:left="839" w:firstLine="105" w:firstLineChars="50"/>
        <w:rPr>
          <w:rFonts w:hint="eastAsia" w:hAnsi="宋体" w:cs="宋体"/>
          <w:color w:val="36363D"/>
          <w:sz w:val="24"/>
          <w:szCs w:val="24"/>
        </w:rPr>
      </w:pPr>
      <w:r>
        <w:rPr>
          <w:color w:val="36363D"/>
        </w:rPr>
        <w:fldChar w:fldCharType="begin"/>
      </w:r>
      <w:r>
        <w:rPr>
          <w:color w:val="36363D"/>
        </w:rPr>
        <w:instrText xml:space="preserve"> HYPERLINK \l "_Toc7338" </w:instrText>
      </w:r>
      <w:r>
        <w:rPr>
          <w:color w:val="36363D"/>
        </w:rPr>
        <w:fldChar w:fldCharType="separate"/>
      </w:r>
      <w:r>
        <w:rPr>
          <w:rFonts w:hint="eastAsia" w:hAnsi="宋体" w:cs="宋体"/>
          <w:color w:val="36363D"/>
          <w:sz w:val="24"/>
          <w:szCs w:val="24"/>
        </w:rPr>
        <w:t>第三章 投标人须知</w:t>
      </w:r>
      <w:r>
        <w:rPr>
          <w:rFonts w:hint="eastAsia" w:hAnsi="宋体" w:cs="宋体"/>
          <w:color w:val="36363D"/>
          <w:sz w:val="24"/>
          <w:szCs w:val="24"/>
        </w:rPr>
        <w:fldChar w:fldCharType="end"/>
      </w:r>
      <w:r>
        <w:rPr>
          <w:rFonts w:hint="eastAsia" w:hAnsi="宋体" w:cs="宋体"/>
          <w:color w:val="36363D"/>
          <w:sz w:val="24"/>
          <w:szCs w:val="24"/>
        </w:rPr>
        <w:t>；</w:t>
      </w:r>
    </w:p>
    <w:p w14:paraId="851B6814">
      <w:pPr>
        <w:pStyle w:val="22"/>
        <w:pageBreakBefore w:val="0"/>
        <w:numPr>
          <w:ilvl w:val="0"/>
          <w:numId w:val="8"/>
        </w:numPr>
        <w:kinsoku/>
        <w:overflowPunct/>
        <w:topLinePunct w:val="0"/>
        <w:bidi w:val="0"/>
        <w:adjustRightInd w:val="0"/>
        <w:spacing w:after="0" w:line="360" w:lineRule="auto"/>
        <w:ind w:left="839" w:firstLine="105" w:firstLineChars="50"/>
        <w:rPr>
          <w:rFonts w:hint="eastAsia" w:hAnsi="宋体" w:cs="宋体"/>
          <w:color w:val="36363D"/>
          <w:sz w:val="24"/>
          <w:szCs w:val="24"/>
        </w:rPr>
      </w:pPr>
      <w:r>
        <w:rPr>
          <w:color w:val="36363D"/>
        </w:rPr>
        <w:fldChar w:fldCharType="begin"/>
      </w:r>
      <w:r>
        <w:rPr>
          <w:color w:val="36363D"/>
        </w:rPr>
        <w:instrText xml:space="preserve"> HYPERLINK \l "_Toc22869" </w:instrText>
      </w:r>
      <w:r>
        <w:rPr>
          <w:color w:val="36363D"/>
        </w:rPr>
        <w:fldChar w:fldCharType="separate"/>
      </w:r>
      <w:r>
        <w:rPr>
          <w:rFonts w:hint="eastAsia" w:hAnsi="宋体" w:cs="宋体"/>
          <w:color w:val="36363D"/>
          <w:sz w:val="24"/>
          <w:szCs w:val="24"/>
        </w:rPr>
        <w:t>第四章 评标办法及评分标准</w:t>
      </w:r>
      <w:r>
        <w:rPr>
          <w:rFonts w:hint="eastAsia" w:hAnsi="宋体" w:cs="宋体"/>
          <w:color w:val="36363D"/>
          <w:sz w:val="24"/>
          <w:szCs w:val="24"/>
        </w:rPr>
        <w:fldChar w:fldCharType="end"/>
      </w:r>
      <w:r>
        <w:rPr>
          <w:rFonts w:hint="eastAsia" w:hAnsi="宋体" w:cs="宋体"/>
          <w:color w:val="36363D"/>
          <w:sz w:val="24"/>
          <w:szCs w:val="24"/>
        </w:rPr>
        <w:t>；</w:t>
      </w:r>
    </w:p>
    <w:p w14:paraId="6D888CFF">
      <w:pPr>
        <w:pStyle w:val="22"/>
        <w:pageBreakBefore w:val="0"/>
        <w:numPr>
          <w:ilvl w:val="0"/>
          <w:numId w:val="8"/>
        </w:numPr>
        <w:kinsoku/>
        <w:overflowPunct/>
        <w:topLinePunct w:val="0"/>
        <w:bidi w:val="0"/>
        <w:adjustRightInd w:val="0"/>
        <w:spacing w:after="0" w:line="360" w:lineRule="auto"/>
        <w:ind w:left="839" w:firstLine="105" w:firstLineChars="50"/>
        <w:rPr>
          <w:rFonts w:hint="eastAsia" w:hAnsi="宋体" w:cs="宋体"/>
          <w:color w:val="36363D"/>
          <w:sz w:val="24"/>
          <w:szCs w:val="24"/>
        </w:rPr>
      </w:pPr>
      <w:r>
        <w:rPr>
          <w:color w:val="36363D"/>
        </w:rPr>
        <w:fldChar w:fldCharType="begin"/>
      </w:r>
      <w:r>
        <w:rPr>
          <w:color w:val="36363D"/>
        </w:rPr>
        <w:instrText xml:space="preserve"> HYPERLINK \l "_Toc7087" </w:instrText>
      </w:r>
      <w:r>
        <w:rPr>
          <w:color w:val="36363D"/>
        </w:rPr>
        <w:fldChar w:fldCharType="separate"/>
      </w:r>
      <w:r>
        <w:rPr>
          <w:rFonts w:hint="eastAsia" w:hAnsi="宋体" w:cs="宋体"/>
          <w:color w:val="36363D"/>
          <w:sz w:val="24"/>
          <w:szCs w:val="24"/>
        </w:rPr>
        <w:t>第五章 合同格式</w:t>
      </w:r>
      <w:r>
        <w:rPr>
          <w:rFonts w:hint="eastAsia" w:hAnsi="宋体" w:cs="宋体"/>
          <w:color w:val="36363D"/>
          <w:sz w:val="24"/>
          <w:szCs w:val="24"/>
        </w:rPr>
        <w:fldChar w:fldCharType="end"/>
      </w:r>
      <w:r>
        <w:rPr>
          <w:rFonts w:hint="eastAsia" w:hAnsi="宋体" w:cs="宋体"/>
          <w:color w:val="36363D"/>
          <w:sz w:val="24"/>
          <w:szCs w:val="24"/>
        </w:rPr>
        <w:t>；</w:t>
      </w:r>
    </w:p>
    <w:p w14:paraId="4C9541F4">
      <w:pPr>
        <w:pStyle w:val="22"/>
        <w:pageBreakBefore w:val="0"/>
        <w:numPr>
          <w:ilvl w:val="0"/>
          <w:numId w:val="8"/>
        </w:numPr>
        <w:kinsoku/>
        <w:overflowPunct/>
        <w:topLinePunct w:val="0"/>
        <w:bidi w:val="0"/>
        <w:adjustRightInd w:val="0"/>
        <w:spacing w:after="0" w:line="360" w:lineRule="auto"/>
        <w:ind w:left="839" w:firstLine="105" w:firstLineChars="50"/>
        <w:rPr>
          <w:rFonts w:hint="eastAsia" w:hAnsi="宋体" w:cs="宋体"/>
          <w:color w:val="36363D"/>
          <w:sz w:val="24"/>
          <w:szCs w:val="24"/>
        </w:rPr>
      </w:pPr>
      <w:r>
        <w:rPr>
          <w:color w:val="36363D"/>
        </w:rPr>
        <w:fldChar w:fldCharType="begin"/>
      </w:r>
      <w:r>
        <w:rPr>
          <w:color w:val="36363D"/>
        </w:rPr>
        <w:instrText xml:space="preserve"> HYPERLINK \l "_Toc29638" </w:instrText>
      </w:r>
      <w:r>
        <w:rPr>
          <w:color w:val="36363D"/>
        </w:rPr>
        <w:fldChar w:fldCharType="separate"/>
      </w:r>
      <w:r>
        <w:rPr>
          <w:rFonts w:hint="eastAsia" w:hAnsi="宋体" w:cs="宋体"/>
          <w:color w:val="36363D"/>
          <w:sz w:val="24"/>
          <w:szCs w:val="24"/>
        </w:rPr>
        <w:t>第六章 投标文件格式/</w:t>
      </w:r>
      <w:r>
        <w:rPr>
          <w:rFonts w:hint="eastAsia" w:hAnsi="宋体" w:cs="宋体"/>
          <w:color w:val="36363D"/>
          <w:sz w:val="24"/>
          <w:szCs w:val="24"/>
        </w:rPr>
        <w:fldChar w:fldCharType="end"/>
      </w:r>
      <w:r>
        <w:rPr>
          <w:rFonts w:hint="eastAsia" w:hAnsi="宋体" w:cs="宋体"/>
          <w:color w:val="36363D"/>
          <w:sz w:val="24"/>
          <w:szCs w:val="24"/>
        </w:rPr>
        <w:t>应提交的有关格式范例。</w:t>
      </w:r>
    </w:p>
    <w:p w14:paraId="39EEBA0C">
      <w:pPr>
        <w:pageBreakBefore w:val="0"/>
        <w:kinsoku/>
        <w:overflowPunct/>
        <w:topLinePunct w:val="0"/>
        <w:bidi w:val="0"/>
        <w:spacing w:after="0"/>
        <w:ind w:firstLine="480"/>
        <w:rPr>
          <w:rFonts w:hint="eastAsia" w:cs="宋体"/>
          <w:color w:val="36363D"/>
        </w:rPr>
      </w:pPr>
      <w:r>
        <w:rPr>
          <w:rFonts w:hint="eastAsia" w:cs="宋体"/>
          <w:color w:val="36363D"/>
        </w:rPr>
        <w:t>2.与本项目有关的</w:t>
      </w:r>
      <w:r>
        <w:rPr>
          <w:rFonts w:hint="eastAsia" w:cs="宋体"/>
          <w:bCs/>
          <w:color w:val="36363D"/>
        </w:rPr>
        <w:t>澄清或者修改的内容为招标文件的组成部分</w:t>
      </w:r>
      <w:r>
        <w:rPr>
          <w:rFonts w:hint="eastAsia" w:cs="宋体"/>
          <w:color w:val="36363D"/>
        </w:rPr>
        <w:t>。</w:t>
      </w:r>
    </w:p>
    <w:p w14:paraId="24E785AA">
      <w:pPr>
        <w:pStyle w:val="22"/>
        <w:pageBreakBefore w:val="0"/>
        <w:kinsoku/>
        <w:overflowPunct/>
        <w:topLinePunct w:val="0"/>
        <w:bidi w:val="0"/>
        <w:spacing w:after="0" w:line="360" w:lineRule="auto"/>
        <w:rPr>
          <w:rFonts w:hint="eastAsia" w:hAnsi="宋体" w:cs="宋体"/>
          <w:b/>
          <w:color w:val="36363D"/>
          <w:sz w:val="24"/>
          <w:szCs w:val="24"/>
        </w:rPr>
      </w:pPr>
      <w:r>
        <w:rPr>
          <w:rFonts w:hint="eastAsia" w:hAnsi="宋体" w:cs="宋体"/>
          <w:b/>
          <w:color w:val="36363D"/>
          <w:sz w:val="24"/>
          <w:szCs w:val="24"/>
        </w:rPr>
        <w:t>二、招标文件的澄清、修改</w:t>
      </w:r>
    </w:p>
    <w:p w14:paraId="966BC4D0">
      <w:pPr>
        <w:pStyle w:val="143"/>
        <w:pageBreakBefore w:val="0"/>
        <w:kinsoku/>
        <w:overflowPunct/>
        <w:topLinePunct w:val="0"/>
        <w:bidi w:val="0"/>
        <w:snapToGrid w:val="0"/>
        <w:spacing w:before="0" w:after="0"/>
        <w:ind w:firstLine="480"/>
        <w:rPr>
          <w:rFonts w:hint="eastAsia" w:ascii="宋体" w:hAnsi="宋体" w:cs="宋体"/>
          <w:color w:val="36363D"/>
        </w:rPr>
      </w:pPr>
      <w:r>
        <w:rPr>
          <w:rFonts w:hint="eastAsia" w:ascii="宋体" w:hAnsi="宋体" w:cs="宋体"/>
          <w:color w:val="36363D"/>
        </w:rPr>
        <w:t>1.已获取招标文件的潜在投标人，若有问题需要澄清，应于投标截止时间前，以书面形式向招标代理机构提出，招标代理机构与采购人研究后，对认为有必要回答的问题，将以书面解答形式通知所有招标文件收受人。</w:t>
      </w:r>
    </w:p>
    <w:p w14:paraId="3E85B94F">
      <w:pPr>
        <w:pStyle w:val="143"/>
        <w:pageBreakBefore w:val="0"/>
        <w:kinsoku/>
        <w:overflowPunct/>
        <w:topLinePunct w:val="0"/>
        <w:bidi w:val="0"/>
        <w:snapToGrid w:val="0"/>
        <w:spacing w:before="0" w:after="0"/>
        <w:ind w:firstLine="480"/>
        <w:rPr>
          <w:rFonts w:hint="eastAsia" w:ascii="宋体" w:hAnsi="宋体" w:cs="宋体"/>
          <w:color w:val="36363D"/>
        </w:rPr>
      </w:pPr>
      <w:r>
        <w:rPr>
          <w:rFonts w:hint="eastAsia" w:ascii="宋体" w:hAnsi="宋体" w:cs="宋体"/>
          <w:color w:val="36363D"/>
        </w:rPr>
        <w:t>2.采购人或者招标代理机构可以对已发出的招标文件进行必要的澄清或者修改，澄清或者修改应在原公告发布媒体上发布澄清公告，澄清、修改的内容为招标文件的组成部分。</w:t>
      </w:r>
    </w:p>
    <w:p w14:paraId="22991289">
      <w:pPr>
        <w:pStyle w:val="143"/>
        <w:pageBreakBefore w:val="0"/>
        <w:kinsoku/>
        <w:overflowPunct/>
        <w:topLinePunct w:val="0"/>
        <w:bidi w:val="0"/>
        <w:snapToGrid w:val="0"/>
        <w:spacing w:before="0" w:after="0"/>
        <w:ind w:firstLine="480"/>
        <w:rPr>
          <w:rFonts w:hint="eastAsia" w:ascii="宋体" w:hAnsi="宋体" w:cs="宋体"/>
          <w:color w:val="36363D"/>
        </w:rPr>
      </w:pPr>
      <w:r>
        <w:rPr>
          <w:rFonts w:hint="eastAsia" w:ascii="宋体" w:hAnsi="宋体" w:cs="宋体"/>
          <w:color w:val="36363D"/>
        </w:rPr>
        <w:t>澄清或者修改的内容可能影响投标文件编制的，采购人或者招标代理机构应在投标截止时间至少15日前，以书面形式通知所有已获取招标文件的潜在投标人；不足15日的，采购人或者招标代理机构应顺延提交投标文件的截止时间。</w:t>
      </w:r>
    </w:p>
    <w:p w14:paraId="5F60AA4D">
      <w:pPr>
        <w:pStyle w:val="143"/>
        <w:pageBreakBefore w:val="0"/>
        <w:kinsoku/>
        <w:overflowPunct/>
        <w:topLinePunct w:val="0"/>
        <w:bidi w:val="0"/>
        <w:snapToGrid w:val="0"/>
        <w:spacing w:before="0" w:after="0"/>
        <w:ind w:firstLine="480"/>
        <w:rPr>
          <w:rFonts w:hint="eastAsia" w:ascii="宋体" w:hAnsi="宋体" w:cs="宋体"/>
          <w:color w:val="36363D"/>
        </w:rPr>
      </w:pPr>
      <w:r>
        <w:rPr>
          <w:rFonts w:hint="eastAsia" w:ascii="宋体" w:hAnsi="宋体" w:cs="宋体"/>
          <w:color w:val="36363D"/>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14:paraId="5F092C2D">
      <w:pPr>
        <w:pageBreakBefore w:val="0"/>
        <w:kinsoku/>
        <w:overflowPunct/>
        <w:topLinePunct w:val="0"/>
        <w:bidi w:val="0"/>
        <w:spacing w:after="0"/>
        <w:ind w:firstLine="480"/>
        <w:rPr>
          <w:rFonts w:hint="eastAsia" w:cs="宋体"/>
          <w:b/>
          <w:color w:val="36363D"/>
        </w:rPr>
      </w:pPr>
      <w:r>
        <w:rPr>
          <w:rFonts w:hint="eastAsia" w:cs="宋体"/>
          <w:color w:val="36363D"/>
        </w:rPr>
        <w:t>▲</w:t>
      </w:r>
      <w:r>
        <w:rPr>
          <w:rFonts w:hint="eastAsia" w:cs="宋体"/>
          <w:b/>
          <w:color w:val="36363D"/>
        </w:rPr>
        <w:t>投标文件未按招标文件澄清、修改的内容编制，又不符合实质性要求的，投标无效。</w:t>
      </w:r>
    </w:p>
    <w:p w14:paraId="C9DE91D4">
      <w:pPr>
        <w:pStyle w:val="55"/>
        <w:pageBreakBefore w:val="0"/>
        <w:kinsoku/>
        <w:overflowPunct/>
        <w:topLinePunct w:val="0"/>
        <w:bidi w:val="0"/>
        <w:spacing w:after="0" w:line="360" w:lineRule="auto"/>
        <w:rPr>
          <w:rFonts w:hint="eastAsia" w:ascii="宋体" w:hAnsi="宋体" w:eastAsia="宋体" w:cs="宋体"/>
          <w:color w:val="36363D"/>
        </w:rPr>
      </w:pPr>
    </w:p>
    <w:p w14:paraId="69C67722">
      <w:pPr>
        <w:pStyle w:val="4"/>
        <w:pageBreakBefore w:val="0"/>
        <w:kinsoku/>
        <w:overflowPunct/>
        <w:topLinePunct w:val="0"/>
        <w:bidi w:val="0"/>
        <w:spacing w:after="0"/>
        <w:jc w:val="center"/>
        <w:rPr>
          <w:rFonts w:hint="eastAsia" w:ascii="宋体" w:hAnsi="宋体" w:cs="宋体"/>
          <w:color w:val="36363D"/>
          <w:sz w:val="24"/>
          <w:szCs w:val="24"/>
        </w:rPr>
      </w:pPr>
      <w:bookmarkStart w:id="79" w:name="_Toc1096"/>
      <w:bookmarkStart w:id="80" w:name="_Toc82873324"/>
      <w:bookmarkStart w:id="81" w:name="_Toc82338241"/>
      <w:bookmarkStart w:id="82" w:name="_Toc450840075"/>
      <w:bookmarkStart w:id="83" w:name="_Toc204"/>
      <w:bookmarkStart w:id="84" w:name="_Toc488"/>
      <w:bookmarkStart w:id="85" w:name="_Toc4998"/>
      <w:bookmarkStart w:id="86" w:name="_Toc1783"/>
      <w:bookmarkStart w:id="87" w:name="_Toc4173"/>
      <w:bookmarkStart w:id="88" w:name="_Toc9918"/>
      <w:bookmarkStart w:id="89" w:name="_Toc7020"/>
      <w:bookmarkStart w:id="90" w:name="_Toc201"/>
      <w:r>
        <w:rPr>
          <w:rFonts w:hint="eastAsia" w:ascii="宋体" w:hAnsi="宋体" w:cs="宋体"/>
          <w:color w:val="36363D"/>
          <w:sz w:val="24"/>
          <w:szCs w:val="24"/>
        </w:rPr>
        <w:t>第三节 投标文件</w:t>
      </w:r>
      <w:bookmarkEnd w:id="79"/>
      <w:bookmarkEnd w:id="80"/>
      <w:bookmarkEnd w:id="81"/>
      <w:bookmarkEnd w:id="82"/>
      <w:bookmarkEnd w:id="83"/>
      <w:r>
        <w:rPr>
          <w:rFonts w:hint="eastAsia" w:ascii="宋体" w:hAnsi="宋体" w:cs="宋体"/>
          <w:color w:val="36363D"/>
          <w:sz w:val="24"/>
          <w:szCs w:val="24"/>
        </w:rPr>
        <w:t>的编制</w:t>
      </w:r>
      <w:bookmarkEnd w:id="84"/>
      <w:bookmarkEnd w:id="85"/>
      <w:bookmarkEnd w:id="86"/>
      <w:bookmarkEnd w:id="87"/>
      <w:bookmarkEnd w:id="88"/>
      <w:bookmarkEnd w:id="89"/>
      <w:bookmarkEnd w:id="90"/>
    </w:p>
    <w:p w14:paraId="34DB0B3B">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一、投标文件语言和计量单位</w:t>
      </w:r>
    </w:p>
    <w:p w14:paraId="5C93F6D5">
      <w:pPr>
        <w:pageBreakBefore w:val="0"/>
        <w:kinsoku/>
        <w:overflowPunct/>
        <w:topLinePunct w:val="0"/>
        <w:bidi w:val="0"/>
        <w:spacing w:after="0"/>
        <w:ind w:firstLine="480"/>
        <w:rPr>
          <w:rFonts w:hint="eastAsia" w:cs="宋体"/>
          <w:color w:val="36363D"/>
        </w:rPr>
      </w:pPr>
      <w:r>
        <w:rPr>
          <w:rFonts w:hint="eastAsia" w:cs="宋体"/>
          <w:color w:val="36363D"/>
        </w:rPr>
        <w:t>1.投标文件以及供应商与采购人就有关投标事宜的来往函电，均应以中文书写。投标文件中所附或所引用的原件不是中文时，应附中文译本。</w:t>
      </w:r>
    </w:p>
    <w:p w14:paraId="DF8A5B9D">
      <w:pPr>
        <w:pageBreakBefore w:val="0"/>
        <w:kinsoku/>
        <w:overflowPunct/>
        <w:topLinePunct w:val="0"/>
        <w:bidi w:val="0"/>
        <w:spacing w:after="0"/>
        <w:ind w:firstLine="480"/>
        <w:rPr>
          <w:rFonts w:hint="eastAsia" w:cs="宋体"/>
          <w:color w:val="36363D"/>
        </w:rPr>
      </w:pPr>
      <w:r>
        <w:rPr>
          <w:rFonts w:hint="eastAsia" w:cs="宋体"/>
          <w:color w:val="36363D"/>
        </w:rPr>
        <w:t>2.投标文件中所使用的计量单位，除招标文件中有特殊要求外，均应采用国家法定计量单位。</w:t>
      </w:r>
    </w:p>
    <w:p w14:paraId="A08B6AE2">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二、投标文件的组成（报价文件、资格商务技术文件两部分组成）：</w:t>
      </w:r>
    </w:p>
    <w:p w14:paraId="44ABABB9">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（一）报价文件部分,包含但不限于以下内容：</w:t>
      </w:r>
    </w:p>
    <w:p w14:paraId="543475D0">
      <w:pPr>
        <w:pStyle w:val="136"/>
        <w:pageBreakBefore w:val="0"/>
        <w:numPr>
          <w:ilvl w:val="0"/>
          <w:numId w:val="9"/>
        </w:numPr>
        <w:kinsoku/>
        <w:overflowPunct/>
        <w:topLinePunct w:val="0"/>
        <w:bidi w:val="0"/>
        <w:snapToGrid w:val="0"/>
        <w:spacing w:after="0" w:line="360" w:lineRule="auto"/>
        <w:ind w:firstLine="480"/>
        <w:textAlignment w:val="baseline"/>
        <w:rPr>
          <w:rFonts w:hint="eastAsia" w:ascii="宋体" w:hAnsi="宋体" w:cs="宋体"/>
          <w:color w:val="36363D"/>
          <w:sz w:val="24"/>
        </w:rPr>
      </w:pPr>
      <w:bookmarkStart w:id="91" w:name="_Toc22348"/>
      <w:bookmarkStart w:id="92" w:name="_Toc2057"/>
      <w:r>
        <w:rPr>
          <w:rFonts w:hint="eastAsia" w:ascii="宋体" w:hAnsi="宋体" w:cs="宋体"/>
          <w:color w:val="36363D"/>
          <w:sz w:val="24"/>
        </w:rPr>
        <w:t>开标一览表（格式附后）；</w:t>
      </w:r>
      <w:bookmarkEnd w:id="91"/>
      <w:bookmarkEnd w:id="92"/>
    </w:p>
    <w:p w14:paraId="C0B73F13">
      <w:pPr>
        <w:pStyle w:val="136"/>
        <w:pageBreakBefore w:val="0"/>
        <w:numPr>
          <w:ilvl w:val="0"/>
          <w:numId w:val="9"/>
        </w:numPr>
        <w:kinsoku/>
        <w:overflowPunct/>
        <w:topLinePunct w:val="0"/>
        <w:bidi w:val="0"/>
        <w:snapToGrid w:val="0"/>
        <w:spacing w:after="0" w:line="360" w:lineRule="auto"/>
        <w:ind w:firstLine="480"/>
        <w:textAlignment w:val="baseline"/>
        <w:rPr>
          <w:rFonts w:hint="eastAsia" w:ascii="宋体" w:hAnsi="宋体" w:cs="宋体"/>
          <w:color w:val="36363D"/>
          <w:sz w:val="24"/>
        </w:rPr>
      </w:pPr>
      <w:bookmarkStart w:id="93" w:name="_Toc6461"/>
      <w:bookmarkStart w:id="94" w:name="_Toc5746"/>
      <w:r>
        <w:rPr>
          <w:rFonts w:hint="eastAsia" w:ascii="宋体" w:hAnsi="宋体" w:cs="宋体"/>
          <w:color w:val="36363D"/>
          <w:sz w:val="24"/>
        </w:rPr>
        <w:t>投标人针对报价需要说明的其他文件和说明。</w:t>
      </w:r>
      <w:bookmarkEnd w:id="93"/>
      <w:bookmarkEnd w:id="94"/>
    </w:p>
    <w:p w14:paraId="2B1D5697">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（二）资格商务技术文件部分，包含但不限于以下内容：</w:t>
      </w:r>
    </w:p>
    <w:p w14:paraId="FBD6F22C">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bookmarkStart w:id="95" w:name="_Toc19462"/>
      <w:bookmarkStart w:id="96" w:name="_Toc7931"/>
      <w:r>
        <w:rPr>
          <w:rFonts w:hint="eastAsia" w:ascii="宋体" w:hAnsi="宋体" w:cs="宋体"/>
          <w:color w:val="36363D"/>
          <w:sz w:val="24"/>
        </w:rPr>
        <w:t>投标函（格式附后）；</w:t>
      </w:r>
      <w:bookmarkEnd w:id="95"/>
      <w:bookmarkEnd w:id="96"/>
    </w:p>
    <w:p w14:paraId="91CE9014">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营业执照副本复印件（加盖投标人公章）；</w:t>
      </w:r>
    </w:p>
    <w:p w14:paraId="60BF18F2">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符合参加采购活动应当具备的一般条件的承诺函（格式附后）；</w:t>
      </w:r>
    </w:p>
    <w:p w14:paraId="21322DA3">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lang w:eastAsia="zh-CN"/>
        </w:rPr>
      </w:pPr>
      <w:r>
        <w:rPr>
          <w:rFonts w:hint="eastAsia" w:ascii="宋体" w:hAnsi="宋体" w:cs="宋体"/>
          <w:color w:val="36363D"/>
          <w:sz w:val="24"/>
          <w:lang w:eastAsia="zh-CN"/>
        </w:rPr>
        <w:t>提供电力工程施工总承包三级及以上且承装修试五级及以上资质，并具有有效的安全生产许可证复印件（加盖投标人公章）；</w:t>
      </w:r>
    </w:p>
    <w:p w14:paraId="2E666797">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lang w:eastAsia="zh-CN"/>
        </w:rPr>
      </w:pPr>
      <w:r>
        <w:rPr>
          <w:rFonts w:hint="eastAsia" w:ascii="宋体" w:hAnsi="宋体" w:cs="宋体"/>
          <w:color w:val="36363D"/>
          <w:sz w:val="24"/>
          <w:lang w:eastAsia="zh-CN"/>
        </w:rPr>
        <w:t>2021年1月1日以来投标人（包括子公司）承接过单体装机容量达到5兆瓦以上分布式光伏EPC总承包项目2个；</w:t>
      </w:r>
    </w:p>
    <w:p w14:paraId="7B5E2E52">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lang w:eastAsia="zh-CN"/>
        </w:rPr>
      </w:pPr>
      <w:r>
        <w:rPr>
          <w:rFonts w:hint="eastAsia" w:ascii="宋体" w:hAnsi="宋体" w:cs="宋体"/>
          <w:color w:val="36363D"/>
          <w:sz w:val="24"/>
          <w:lang w:eastAsia="zh-CN"/>
        </w:rPr>
        <w:t>项目经理要求:提供二级及以上建造师执业资格注册证书(机电工程专业)、有效的安全生产考核合格证(B类)、至少具有1个4MWp及以上光伏EPC总承包项目经理的经验。</w:t>
      </w:r>
    </w:p>
    <w:p w14:paraId="4EE97DAD">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lang w:eastAsia="zh-CN"/>
        </w:rPr>
      </w:pPr>
      <w:r>
        <w:rPr>
          <w:rFonts w:hint="eastAsia" w:ascii="宋体" w:hAnsi="宋体" w:cs="宋体"/>
          <w:color w:val="36363D"/>
          <w:sz w:val="24"/>
          <w:lang w:eastAsia="zh-CN"/>
        </w:rPr>
        <w:t>安全负责人要求：提供有效的安全生产考核合格证(C 类)。</w:t>
      </w:r>
    </w:p>
    <w:p w14:paraId="BD3C6FC9">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法定代表人身份证明（格式附后）及法定代表人身份证正反面复印件（加盖投标人公章）；</w:t>
      </w:r>
    </w:p>
    <w:p w14:paraId="D57F61E0">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法定代表人授权委托书（格式附后）、其授权代表身份证正反面复印件及</w:t>
      </w:r>
      <w:r>
        <w:rPr>
          <w:rFonts w:hint="eastAsia" w:cs="宋体"/>
          <w:color w:val="36363D"/>
          <w:sz w:val="24"/>
        </w:rPr>
        <w:t>近一年任意一个月</w:t>
      </w:r>
      <w:r>
        <w:rPr>
          <w:rFonts w:hint="eastAsia" w:ascii="宋体" w:hAnsi="宋体" w:cs="宋体"/>
          <w:color w:val="36363D"/>
          <w:sz w:val="24"/>
        </w:rPr>
        <w:t>缴纳社保证明（均加盖投标人公章）；</w:t>
      </w:r>
    </w:p>
    <w:p w14:paraId="7A0190BA">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技术条款偏离表（格式附后）；</w:t>
      </w:r>
    </w:p>
    <w:p w14:paraId="E9468AC4">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设计方案；</w:t>
      </w:r>
    </w:p>
    <w:p w14:paraId="40678199">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施工方案；</w:t>
      </w:r>
    </w:p>
    <w:p w14:paraId="66277476">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保证施工质量的技术方案和措施；</w:t>
      </w:r>
    </w:p>
    <w:p w14:paraId="E5418D9B">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保证项目实施的技术力量和人力资源安排；</w:t>
      </w:r>
    </w:p>
    <w:p w14:paraId="570748D4">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保证施工安全、文明的技术方案和措施；</w:t>
      </w:r>
    </w:p>
    <w:p w14:paraId="868855AE">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验收及维保服务方案；</w:t>
      </w:r>
    </w:p>
    <w:p w14:paraId="16356D83">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系统运维；</w:t>
      </w:r>
    </w:p>
    <w:p w14:paraId="59A2690F">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投标人一般情况（格式附后）；</w:t>
      </w:r>
    </w:p>
    <w:p w14:paraId="A73D73EA">
      <w:pPr>
        <w:pStyle w:val="136"/>
        <w:pageBreakBefore w:val="0"/>
        <w:numPr>
          <w:ilvl w:val="0"/>
          <w:numId w:val="10"/>
        </w:numPr>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第四部分“评分标准（兼评委打分表）”中要求提供的资料。</w:t>
      </w:r>
    </w:p>
    <w:p w14:paraId="643F2D60">
      <w:pPr>
        <w:pStyle w:val="136"/>
        <w:pageBreakBefore w:val="0"/>
        <w:kinsoku/>
        <w:overflowPunct/>
        <w:topLinePunct w:val="0"/>
        <w:bidi w:val="0"/>
        <w:snapToGrid w:val="0"/>
        <w:spacing w:after="0" w:line="360" w:lineRule="auto"/>
        <w:ind w:firstLine="480"/>
        <w:textAlignment w:val="baseline"/>
        <w:rPr>
          <w:rFonts w:hint="eastAsia" w:ascii="宋体" w:hAnsi="宋体" w:cs="宋体"/>
          <w:color w:val="36363D"/>
          <w:sz w:val="24"/>
        </w:rPr>
      </w:pPr>
      <w:r>
        <w:rPr>
          <w:rFonts w:hint="eastAsia" w:ascii="宋体" w:hAnsi="宋体" w:cs="宋体"/>
          <w:color w:val="36363D"/>
          <w:sz w:val="24"/>
        </w:rPr>
        <w:t>注：上述组成投标文件的各项资料中本招标文件的有规定格式的，应统一按本招标文件的规定格式填写。未有规定格式的资料，投标人应自行编制，但至少要包含以上要求的内容。</w:t>
      </w:r>
    </w:p>
    <w:p w14:paraId="BBA32DDC">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三、投标报价</w:t>
      </w:r>
    </w:p>
    <w:p w14:paraId="EB48D00B">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1.投标报价是指一次性报出不得更改的价格。</w:t>
      </w:r>
    </w:p>
    <w:p w14:paraId="2A4C9B56">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四、投标文件的签署及规定</w:t>
      </w:r>
    </w:p>
    <w:p w14:paraId="651F91FD">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1.投标人应按本招标文件规定的格式和顺序编制、装订投标文件，投标文件内容不完整、编排混乱导致投标文件被误读、漏读或者查找不到相关内容的，是投标人的责任。</w:t>
      </w:r>
    </w:p>
    <w:p w14:paraId="FC19009B">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2.投标人应资格、商务技术文件和报价文件分开单独装订成册，正本一份、副本四份，投标文件的封面应注明“正本“、“副本”字样，以及采购人名称、招标编号、招标项目名称、投标文件名称</w:t>
      </w:r>
      <w:r>
        <w:rPr>
          <w:rFonts w:hint="eastAsia" w:cs="宋体"/>
          <w:color w:val="36363D"/>
          <w:spacing w:val="-6"/>
        </w:rPr>
        <w:t>（报价文件、资格商务</w:t>
      </w:r>
      <w:r>
        <w:rPr>
          <w:rFonts w:hint="eastAsia" w:cs="宋体"/>
          <w:color w:val="36363D"/>
        </w:rPr>
        <w:t>技术</w:t>
      </w:r>
      <w:r>
        <w:rPr>
          <w:rFonts w:hint="eastAsia" w:cs="宋体"/>
          <w:color w:val="36363D"/>
          <w:spacing w:val="-6"/>
        </w:rPr>
        <w:t>文件）</w:t>
      </w:r>
      <w:r>
        <w:rPr>
          <w:rFonts w:hint="eastAsia" w:cs="宋体"/>
          <w:color w:val="36363D"/>
        </w:rPr>
        <w:t>、投标人名称、投标人地址、投标人全权代表签字及日期。</w:t>
      </w:r>
    </w:p>
    <w:p w14:paraId="EEA71AAF">
      <w:pPr>
        <w:pageBreakBefore w:val="0"/>
        <w:kinsoku/>
        <w:overflowPunct/>
        <w:topLinePunct w:val="0"/>
        <w:bidi w:val="0"/>
        <w:snapToGrid w:val="0"/>
        <w:spacing w:after="0"/>
        <w:ind w:firstLine="240" w:firstLineChars="100"/>
        <w:textAlignment w:val="baseline"/>
        <w:rPr>
          <w:rFonts w:hint="eastAsia" w:cs="宋体"/>
          <w:color w:val="36363D"/>
        </w:rPr>
      </w:pPr>
      <w:r>
        <w:rPr>
          <w:rFonts w:hint="eastAsia" w:cs="宋体"/>
          <w:color w:val="36363D"/>
        </w:rPr>
        <w:t>★</w:t>
      </w:r>
      <w:r>
        <w:rPr>
          <w:rFonts w:hint="eastAsia" w:cs="宋体"/>
          <w:bCs/>
          <w:color w:val="36363D"/>
          <w:kern w:val="0"/>
        </w:rPr>
        <w:t>3.</w:t>
      </w:r>
      <w:r>
        <w:rPr>
          <w:rFonts w:hint="eastAsia" w:cs="宋体"/>
          <w:color w:val="36363D"/>
        </w:rPr>
        <w:t>活页装订（卡条、抽杆夹、订书机、散装）的投标文件无效。</w:t>
      </w:r>
    </w:p>
    <w:p w14:paraId="A32C0B36">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4.投标文件的正本必须以不褪色的墨水填写或打印（原件和复印件须加盖公章），注明“正本”字样，副本可以是正本加盖公章后的复印件。</w:t>
      </w:r>
    </w:p>
    <w:p w14:paraId="DD966122">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5.投标文件须由投标人在规定位置盖章并由投标人代表签署，投标人应写全称。</w:t>
      </w:r>
    </w:p>
    <w:p w14:paraId="B02A29C7">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6.投标文件不得涂改，若有修改错漏处，须由投标人代表签字并加盖公章。投标文件因字迹潦草或表达不清所引起的后果由投标人负责。</w:t>
      </w:r>
    </w:p>
    <w:p w14:paraId="36271A82">
      <w:pPr>
        <w:pageBreakBefore w:val="0"/>
        <w:kinsoku/>
        <w:overflowPunct/>
        <w:topLinePunct w:val="0"/>
        <w:bidi w:val="0"/>
        <w:snapToGrid w:val="0"/>
        <w:spacing w:after="0"/>
        <w:ind w:firstLine="480"/>
        <w:textAlignment w:val="baseline"/>
        <w:rPr>
          <w:rFonts w:hint="eastAsia" w:cs="宋体"/>
          <w:color w:val="36363D"/>
        </w:rPr>
      </w:pPr>
      <w:bookmarkStart w:id="97" w:name="_Toc12521"/>
      <w:bookmarkStart w:id="98" w:name="_Toc1"/>
    </w:p>
    <w:p w14:paraId="8C01C4AC">
      <w:pPr>
        <w:pStyle w:val="4"/>
        <w:pageBreakBefore w:val="0"/>
        <w:kinsoku/>
        <w:overflowPunct/>
        <w:topLinePunct w:val="0"/>
        <w:bidi w:val="0"/>
        <w:snapToGrid w:val="0"/>
        <w:spacing w:after="0"/>
        <w:jc w:val="center"/>
        <w:textAlignment w:val="baseline"/>
        <w:rPr>
          <w:rFonts w:hint="eastAsia" w:ascii="宋体" w:hAnsi="宋体" w:cs="宋体"/>
          <w:color w:val="36363D"/>
          <w:sz w:val="24"/>
          <w:szCs w:val="24"/>
        </w:rPr>
      </w:pPr>
      <w:bookmarkStart w:id="99" w:name="_Toc10059"/>
      <w:bookmarkStart w:id="100" w:name="_Toc24758"/>
      <w:bookmarkStart w:id="101" w:name="_Toc15919"/>
      <w:bookmarkStart w:id="102" w:name="_Toc22208"/>
      <w:bookmarkStart w:id="103" w:name="_Toc11342"/>
      <w:bookmarkStart w:id="104" w:name="_Toc29411"/>
      <w:bookmarkStart w:id="105" w:name="_Toc16205"/>
      <w:r>
        <w:rPr>
          <w:rFonts w:hint="eastAsia" w:ascii="宋体" w:hAnsi="宋体" w:cs="宋体"/>
          <w:color w:val="36363D"/>
          <w:sz w:val="24"/>
          <w:szCs w:val="24"/>
        </w:rPr>
        <w:t>第四节 投标文件的递交</w:t>
      </w:r>
      <w:bookmarkEnd w:id="97"/>
      <w:bookmarkEnd w:id="98"/>
      <w:bookmarkEnd w:id="99"/>
      <w:bookmarkEnd w:id="100"/>
      <w:bookmarkEnd w:id="101"/>
      <w:bookmarkEnd w:id="102"/>
      <w:bookmarkEnd w:id="103"/>
      <w:bookmarkEnd w:id="104"/>
      <w:bookmarkEnd w:id="105"/>
    </w:p>
    <w:p w14:paraId="337A7004">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一、投标文件的密封及标记</w:t>
      </w:r>
    </w:p>
    <w:p w14:paraId="A4AA35CC">
      <w:pPr>
        <w:pageBreakBefore w:val="0"/>
        <w:kinsoku/>
        <w:overflowPunct/>
        <w:topLinePunct w:val="0"/>
        <w:bidi w:val="0"/>
        <w:snapToGrid w:val="0"/>
        <w:spacing w:after="0"/>
        <w:ind w:firstLine="480"/>
        <w:textAlignment w:val="baseline"/>
        <w:rPr>
          <w:rFonts w:hint="eastAsia" w:cs="宋体"/>
          <w:color w:val="36363D"/>
          <w:spacing w:val="-6"/>
        </w:rPr>
      </w:pPr>
      <w:r>
        <w:rPr>
          <w:rFonts w:hint="eastAsia" w:cs="宋体"/>
          <w:color w:val="36363D"/>
        </w:rPr>
        <w:t>1.将全部投标文件（资格、商务技术文件，报价文件两部分文件）分别包装。</w:t>
      </w:r>
    </w:p>
    <w:p w14:paraId="469DEB43">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2.投标文件（资格、商务技术文件、报价文件）应按以下办法分别装袋密封：</w:t>
      </w:r>
    </w:p>
    <w:p w14:paraId="0899D048">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相同部分的投标文件密封袋内装投标文件正副本。外层封皮上写明采购人名称、招标编号、招标项目名称、投标文件名称</w:t>
      </w:r>
      <w:r>
        <w:rPr>
          <w:rFonts w:hint="eastAsia" w:cs="宋体"/>
          <w:color w:val="36363D"/>
          <w:spacing w:val="-6"/>
        </w:rPr>
        <w:t>（报价文件、</w:t>
      </w:r>
      <w:r>
        <w:rPr>
          <w:rFonts w:hint="eastAsia" w:cs="宋体"/>
          <w:color w:val="36363D"/>
        </w:rPr>
        <w:t>资格、商务技术</w:t>
      </w:r>
      <w:r>
        <w:rPr>
          <w:rFonts w:hint="eastAsia" w:cs="宋体"/>
          <w:color w:val="36363D"/>
          <w:spacing w:val="-6"/>
        </w:rPr>
        <w:t>文件）</w:t>
      </w:r>
      <w:r>
        <w:rPr>
          <w:rFonts w:hint="eastAsia" w:cs="宋体"/>
          <w:color w:val="36363D"/>
        </w:rPr>
        <w:t>、投标人名称、投标人地址、投标人全权代表签字及日期并注明“</w:t>
      </w:r>
      <w:r>
        <w:rPr>
          <w:rFonts w:hint="eastAsia" w:cs="宋体"/>
          <w:bCs/>
          <w:color w:val="36363D"/>
          <w:spacing w:val="-6"/>
        </w:rPr>
        <w:t>在    年  月  日  时  分之前不得启封</w:t>
      </w:r>
      <w:r>
        <w:rPr>
          <w:rFonts w:hint="eastAsia" w:cs="宋体"/>
          <w:color w:val="36363D"/>
        </w:rPr>
        <w:t>”字样。电子文件与报价文件一同密封包装。</w:t>
      </w:r>
    </w:p>
    <w:p w14:paraId="A00B1A6B">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3.如果投标人未按上述要求密封及加写标记，采购人对投标文件的误投和提前启封概不负责。</w:t>
      </w:r>
    </w:p>
    <w:p w14:paraId="3C4C40ED">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4.投标文件必须在投标截止时间前邮寄到达或派人送达到指定的投标地点，在投标截止时间以后送达的投标文件或者未按照招标文件要求密封的投标文件，采购人拒绝接收。</w:t>
      </w:r>
    </w:p>
    <w:p w14:paraId="5A4EE44E">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5.采购人对投标文件在邮寄过程中的遗失或损坏不负责任。</w:t>
      </w:r>
    </w:p>
    <w:p w14:paraId="39BF4FF4">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二、投标文件的补充、修改或撤回</w:t>
      </w:r>
    </w:p>
    <w:p w14:paraId="5A11CC39">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1.投标以后，如果投标人在投标截止时间前提出补充、修改或撤回要求，必须提供有法人代表或全权代表签署的要求撤回投标的正式文件，本招标代理公司将予以接受。</w:t>
      </w:r>
    </w:p>
    <w:p w14:paraId="79EB0D25">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2.投标人修改投标文件的书面村料，须密封送达采购人，同时应在封套上标明“修改投标文件（并注明招标编号）”和“</w:t>
      </w:r>
      <w:r>
        <w:rPr>
          <w:rFonts w:hint="eastAsia" w:cs="宋体"/>
          <w:bCs/>
          <w:color w:val="36363D"/>
          <w:spacing w:val="-6"/>
        </w:rPr>
        <w:t>在    年  月  日  时  分之前不得启封</w:t>
      </w:r>
      <w:r>
        <w:rPr>
          <w:rFonts w:hint="eastAsia" w:cs="宋体"/>
          <w:color w:val="36363D"/>
        </w:rPr>
        <w:t>”字样。</w:t>
      </w:r>
    </w:p>
    <w:p w14:paraId="8E07CD2D">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3.开标后投标人不得撤回投标，投标文件不予退还。</w:t>
      </w:r>
    </w:p>
    <w:p w14:paraId="D637722C">
      <w:pPr>
        <w:pageBreakBefore w:val="0"/>
        <w:kinsoku/>
        <w:overflowPunct/>
        <w:topLinePunct w:val="0"/>
        <w:bidi w:val="0"/>
        <w:snapToGrid w:val="0"/>
        <w:spacing w:after="0"/>
        <w:ind w:firstLine="480"/>
        <w:textAlignment w:val="baseline"/>
        <w:rPr>
          <w:rFonts w:hint="eastAsia" w:cs="宋体"/>
          <w:color w:val="36363D"/>
        </w:rPr>
      </w:pPr>
      <w:bookmarkStart w:id="106" w:name="_Toc27893"/>
      <w:bookmarkStart w:id="107" w:name="_Toc20835"/>
    </w:p>
    <w:p w14:paraId="59D84415">
      <w:pPr>
        <w:pStyle w:val="4"/>
        <w:pageBreakBefore w:val="0"/>
        <w:kinsoku/>
        <w:overflowPunct/>
        <w:topLinePunct w:val="0"/>
        <w:bidi w:val="0"/>
        <w:snapToGrid w:val="0"/>
        <w:spacing w:after="0"/>
        <w:jc w:val="center"/>
        <w:textAlignment w:val="baseline"/>
        <w:rPr>
          <w:rFonts w:hint="eastAsia" w:ascii="宋体" w:hAnsi="宋体" w:cs="宋体"/>
          <w:color w:val="36363D"/>
          <w:sz w:val="24"/>
          <w:szCs w:val="24"/>
        </w:rPr>
      </w:pPr>
      <w:bookmarkStart w:id="108" w:name="_Toc589"/>
      <w:bookmarkStart w:id="109" w:name="_Toc25809"/>
      <w:bookmarkStart w:id="110" w:name="_Toc23725"/>
      <w:bookmarkStart w:id="111" w:name="_Toc6315"/>
      <w:bookmarkStart w:id="112" w:name="_Toc4859"/>
      <w:bookmarkStart w:id="113" w:name="_Toc2552"/>
      <w:bookmarkStart w:id="114" w:name="_Toc26739"/>
      <w:r>
        <w:rPr>
          <w:rFonts w:hint="eastAsia" w:ascii="宋体" w:hAnsi="宋体" w:cs="宋体"/>
          <w:color w:val="36363D"/>
          <w:sz w:val="24"/>
          <w:szCs w:val="24"/>
        </w:rPr>
        <w:t>第五节 开标</w:t>
      </w:r>
      <w:bookmarkEnd w:id="106"/>
      <w:bookmarkEnd w:id="107"/>
      <w:bookmarkEnd w:id="108"/>
      <w:bookmarkEnd w:id="109"/>
      <w:bookmarkEnd w:id="110"/>
      <w:bookmarkEnd w:id="111"/>
      <w:bookmarkEnd w:id="112"/>
      <w:bookmarkEnd w:id="113"/>
      <w:bookmarkEnd w:id="114"/>
    </w:p>
    <w:p w14:paraId="0F21AA99">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一、开标流程</w:t>
      </w:r>
    </w:p>
    <w:p w14:paraId="46E4FEB8">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1.招标代理机构将按照招标公告规定的时间、地点组织开标，开标原则上采取按资格、商务技术文件、报价文件的顺序进行。具体按以下程序进行：</w:t>
      </w:r>
    </w:p>
    <w:p w14:paraId="A71DED37">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招标代理机构开启开标场地的录音录像采集设备，并确保其正常运行。接着将核验出席开标活动现场的各投标人法定代表人或其全权代表及相关单位人员身份，并组织其分别登记、签到，无关人员不得进入现场。各投标人法定代表人或其全权代表应准时参加，携带本人身份证原件，投标文件中按要求提供法定代表人授权书。投标人如不派代表参加开标大会的，事后不得对招标相关人员、开标过程和开标结果提出异议；</w:t>
      </w:r>
    </w:p>
    <w:p w14:paraId="4705A709">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（2）招标代理机构接收投标文件并登记。未按要求密封包装的投标文件，将被当场拒绝；</w:t>
      </w:r>
    </w:p>
    <w:p w14:paraId="4E39114F">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招标代理机构宣布开标，介绍开标现场的人员情况，宣读递交投标文件的投标人名单、开标纪律、应当回避的情形等注意事项。组织各投标单位法定代表人或其全权代表签署不存在影响公平竞争的《招标活动现场确认声明书》；</w:t>
      </w:r>
    </w:p>
    <w:p w14:paraId="2A42F14E">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（4）请投标人或者其推选的代表查验投标文件密封情况，签署《开标情况见证》；</w:t>
      </w:r>
    </w:p>
    <w:p w14:paraId="6185F918">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5）开标时，按登记顺序当众拆封、清点投标文件（包括正本、副本）数量，将其中密封的报价文件集中等候拆封。招标代理机构对投标人资格证明文件进行查验、核实。资格证明审查不通过的，不再进行商务技术文件、报价文件的评审。</w:t>
      </w:r>
    </w:p>
    <w:p w14:paraId="D778496F">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（6）对资格审查通过的资格、商务技术文件进行拆封，对不符合装订要求的投标文件，作无效投标处理；</w:t>
      </w:r>
    </w:p>
    <w:p w14:paraId="6DF9B6CD">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（7）商务技术评审结束后，招标代理机构宣布商务技术评审无效投标人名单及理由；公布经商务技术评审符合招标需求的投标人名单，采用综合评分法的，公布其商务技术得分之和的情况；</w:t>
      </w:r>
    </w:p>
    <w:p w14:paraId="7FAAF45B">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8）招标代理机构拆封投标人报价文件，宣读《开标一览表》有关内容，同时当场制作并打印开标记录表，由各投标人法定代表人或其全权代表在开标记录表上签字确认（不予确认的应说明理由，否则视为无异议）。唱标结束后，招标代理机构将报价文件及开标记录表送至评审地点，由评标委员会对报价的合理性、准确性、有效性等进行审查核实；</w:t>
      </w:r>
    </w:p>
    <w:p w14:paraId="758E044A">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（9）评审结束后，招标代理机构公布中标候选人名单，及采购人最终确定中标人名单的时间和公告方式等。</w:t>
      </w:r>
    </w:p>
    <w:p w14:paraId="53D23F86">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二、投标文件鉴定</w:t>
      </w:r>
    </w:p>
    <w:p w14:paraId="9B0AD262">
      <w:pPr>
        <w:pageBreakBefore w:val="0"/>
        <w:kinsoku/>
        <w:overflowPunct/>
        <w:topLinePunct w:val="0"/>
        <w:bidi w:val="0"/>
        <w:snapToGrid w:val="0"/>
        <w:spacing w:after="0"/>
        <w:ind w:firstLine="480"/>
        <w:textAlignment w:val="baseline"/>
        <w:rPr>
          <w:rFonts w:hint="eastAsia" w:cs="宋体"/>
          <w:color w:val="36363D"/>
        </w:rPr>
      </w:pPr>
      <w:bookmarkStart w:id="115" w:name="_Toc13357"/>
      <w:bookmarkStart w:id="116" w:name="_Toc13687"/>
      <w:r>
        <w:rPr>
          <w:rFonts w:hint="eastAsia" w:cs="宋体"/>
          <w:color w:val="36363D"/>
        </w:rPr>
        <w:t>1.开标时，招标代理机构将对投标文件进行初步审查，检查投标书内容是否完整、编排是否有序、文件签署是否规范以及投标人资格是否符合要求等。如投标文件被确认为无效，招标代理机构将及时通知该投标人。</w:t>
      </w:r>
    </w:p>
    <w:p w14:paraId="C617743E">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2.如果投标文件实质上不响应招标文件的要求，招标代理机构及评标委员会将予以拒绝，并且不允许通过修正或撤消不符合要求的差异或保留，使之成为具有响应性的投标。</w:t>
      </w:r>
    </w:p>
    <w:p w14:paraId="01DA9600">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3.经开标后递交至评标委员会的投标文件，仍需接受相关符合性的检查，并有可能在评标过程中被判断为无效。</w:t>
      </w:r>
    </w:p>
    <w:p w14:paraId="7D0BFF07">
      <w:pPr>
        <w:pStyle w:val="4"/>
        <w:pageBreakBefore w:val="0"/>
        <w:kinsoku/>
        <w:overflowPunct/>
        <w:topLinePunct w:val="0"/>
        <w:bidi w:val="0"/>
        <w:snapToGrid w:val="0"/>
        <w:spacing w:after="0"/>
        <w:jc w:val="center"/>
        <w:textAlignment w:val="baseline"/>
        <w:rPr>
          <w:rFonts w:hint="eastAsia" w:ascii="宋体" w:hAnsi="宋体" w:cs="宋体"/>
          <w:color w:val="36363D"/>
          <w:sz w:val="24"/>
          <w:szCs w:val="24"/>
        </w:rPr>
      </w:pPr>
      <w:bookmarkStart w:id="117" w:name="_Toc22650"/>
      <w:bookmarkStart w:id="118" w:name="_Toc3838"/>
      <w:bookmarkStart w:id="119" w:name="_Toc3668"/>
      <w:bookmarkStart w:id="120" w:name="_Toc20550"/>
      <w:bookmarkStart w:id="121" w:name="_Toc36"/>
      <w:bookmarkStart w:id="122" w:name="_Toc10895"/>
      <w:bookmarkStart w:id="123" w:name="_Toc32733"/>
      <w:r>
        <w:rPr>
          <w:rFonts w:hint="eastAsia" w:ascii="宋体" w:hAnsi="宋体" w:cs="宋体"/>
          <w:color w:val="36363D"/>
          <w:sz w:val="24"/>
          <w:szCs w:val="24"/>
        </w:rPr>
        <w:t>第六节 评标</w:t>
      </w:r>
      <w:bookmarkEnd w:id="115"/>
      <w:bookmarkEnd w:id="116"/>
      <w:bookmarkEnd w:id="117"/>
      <w:bookmarkEnd w:id="118"/>
      <w:bookmarkEnd w:id="119"/>
      <w:bookmarkEnd w:id="120"/>
      <w:bookmarkEnd w:id="121"/>
      <w:bookmarkEnd w:id="122"/>
      <w:bookmarkEnd w:id="123"/>
    </w:p>
    <w:p w14:paraId="5FAC8F25">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一、组建评标委员会</w:t>
      </w:r>
    </w:p>
    <w:p w14:paraId="2F407017">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招标代理机构依法组建由5人及以上奇数的人员组成的评标委员会，负责对投标文件进行审查、质询、评审和比较等。评标委员会由采购人代表和招标咨询专家组成，其中招标咨询专家人数不少于成员总数的三分之二。评标委员会成员名单在招标结果确定之前依法保密。</w:t>
      </w:r>
    </w:p>
    <w:p w14:paraId="29B8619D">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二、评标的方式</w:t>
      </w:r>
    </w:p>
    <w:p w14:paraId="167E5769">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本项目采用不公开方式评标，评标的依据为招标文件和投标文件。不考虑投标人在开标后提交的任何的补充声明、修正方案。</w:t>
      </w:r>
    </w:p>
    <w:p w14:paraId="4F6D3A27">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三、评标原则</w:t>
      </w:r>
    </w:p>
    <w:p w14:paraId="723D678F">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评标严格按照招标文件的要求和条件，只依据投标内容本身，不依靠开标后的任何外来证明。以公开、公正、公平、效益的原则进行；比较报价，同时考虑以下因素：</w:t>
      </w:r>
    </w:p>
    <w:p w14:paraId="DD112BE2">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1.价格合理，方案、产品先进、可靠；</w:t>
      </w:r>
    </w:p>
    <w:p w14:paraId="26509E97">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2.经营信誉；</w:t>
      </w:r>
    </w:p>
    <w:p w14:paraId="36FF823A">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3.反对不正当竞争。</w:t>
      </w:r>
    </w:p>
    <w:p w14:paraId="6A670F6B">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四、评标程序</w:t>
      </w:r>
    </w:p>
    <w:p w14:paraId="0F36C804">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1.招标代理机构按照招标文件规定的时间、地点及程序组织评审。评审活动一般应按以下程序组织开展：</w:t>
      </w:r>
    </w:p>
    <w:p w14:paraId="E0F5FF02">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（1）开启评审场地的录音录像采集设备，并确保其正常运行；</w:t>
      </w:r>
    </w:p>
    <w:p w14:paraId="278A151C">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（2）核验出席评审活动现场的评标委员会各成员身份，并要求其分别登记、签到，按规定统一收缴、保存其通讯工具，无关人员一律拒绝其进入评审现场；</w:t>
      </w:r>
    </w:p>
    <w:p w14:paraId="9D51230D">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（3）介绍评审现场的人员情况，宣布评审工作纪律，告知评标委员会应当回避情形；组织推选评标委员会组长；</w:t>
      </w:r>
    </w:p>
    <w:p w14:paraId="C49A1F8C">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（4）通报报名参加本项目的投标人名单及资格预审情况（如有），宣读最终提交投标文件且通过资格审查的投标人名单，组织评标委员会各位成员签订《招标评审人员廉洁自律承诺书》；</w:t>
      </w:r>
    </w:p>
    <w:p w14:paraId="3A82A067">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14:paraId="6B9E45C1">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E3CEA712">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（7）做好评审现场相关记录，协助评标委员会组长做好评审报告起草、有关内容电脑文字录入等工作，并要求评标委员会各成员签字确认；</w:t>
      </w:r>
    </w:p>
    <w:p w14:paraId="B11FCDF2">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（8）评审结束后，招标代理机构交还评审人员及其他现场相关人员的通讯工具。</w:t>
      </w:r>
    </w:p>
    <w:p w14:paraId="BE2CA2E1">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五、修正原则</w:t>
      </w:r>
    </w:p>
    <w:p w14:paraId="25B2C82A">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评标委员会对投标文件的报价文件进行审核，对发现计算、书写等错误的，按以下原则进行修正：</w:t>
      </w:r>
    </w:p>
    <w:p w14:paraId="58277816">
      <w:pPr>
        <w:pStyle w:val="143"/>
        <w:pageBreakBefore w:val="0"/>
        <w:kinsoku/>
        <w:overflowPunct/>
        <w:topLinePunct w:val="0"/>
        <w:bidi w:val="0"/>
        <w:snapToGrid w:val="0"/>
        <w:spacing w:before="0" w:after="0"/>
        <w:ind w:firstLine="480"/>
        <w:textAlignment w:val="baseline"/>
        <w:rPr>
          <w:rFonts w:hint="eastAsia" w:ascii="宋体" w:hAnsi="宋体" w:cs="宋体"/>
          <w:color w:val="36363D"/>
          <w:kern w:val="0"/>
        </w:rPr>
      </w:pPr>
      <w:r>
        <w:rPr>
          <w:rFonts w:hint="eastAsia" w:ascii="宋体" w:hAnsi="宋体" w:cs="宋体"/>
          <w:color w:val="36363D"/>
          <w:kern w:val="0"/>
        </w:rPr>
        <w:t>1.投标文件中开标一览表(报价表)内容与投标文件中相应内容不一致的，以开标一览表(报价表)为准；</w:t>
      </w:r>
    </w:p>
    <w:p w14:paraId="C55D482F">
      <w:pPr>
        <w:pStyle w:val="143"/>
        <w:pageBreakBefore w:val="0"/>
        <w:kinsoku/>
        <w:overflowPunct/>
        <w:topLinePunct w:val="0"/>
        <w:bidi w:val="0"/>
        <w:snapToGrid w:val="0"/>
        <w:spacing w:before="0" w:after="0"/>
        <w:ind w:firstLine="480"/>
        <w:textAlignment w:val="baseline"/>
        <w:rPr>
          <w:rFonts w:hint="eastAsia" w:ascii="宋体" w:hAnsi="宋体" w:cs="宋体"/>
          <w:color w:val="36363D"/>
          <w:kern w:val="0"/>
        </w:rPr>
      </w:pPr>
      <w:r>
        <w:rPr>
          <w:rFonts w:hint="eastAsia" w:ascii="宋体" w:hAnsi="宋体" w:cs="宋体"/>
          <w:color w:val="36363D"/>
          <w:kern w:val="0"/>
        </w:rPr>
        <w:t>2.大写金额和小写金额不一致的，以大写金额为准；</w:t>
      </w:r>
    </w:p>
    <w:p w14:paraId="0D2A141C">
      <w:pPr>
        <w:pStyle w:val="143"/>
        <w:pageBreakBefore w:val="0"/>
        <w:kinsoku/>
        <w:overflowPunct/>
        <w:topLinePunct w:val="0"/>
        <w:bidi w:val="0"/>
        <w:snapToGrid w:val="0"/>
        <w:spacing w:before="0" w:after="0"/>
        <w:ind w:firstLine="480"/>
        <w:textAlignment w:val="baseline"/>
        <w:rPr>
          <w:rFonts w:hint="eastAsia" w:ascii="宋体" w:hAnsi="宋体" w:cs="宋体"/>
          <w:color w:val="36363D"/>
          <w:kern w:val="0"/>
        </w:rPr>
      </w:pPr>
      <w:r>
        <w:rPr>
          <w:rFonts w:hint="eastAsia" w:ascii="宋体" w:hAnsi="宋体" w:cs="宋体"/>
          <w:color w:val="36363D"/>
          <w:kern w:val="0"/>
        </w:rPr>
        <w:t>3.单价金额小数点或者百分比有明显错位的，以开标一览表的总价为准，并修改单价；</w:t>
      </w:r>
    </w:p>
    <w:p w14:paraId="C56C6E90">
      <w:pPr>
        <w:pStyle w:val="143"/>
        <w:pageBreakBefore w:val="0"/>
        <w:kinsoku/>
        <w:overflowPunct/>
        <w:topLinePunct w:val="0"/>
        <w:bidi w:val="0"/>
        <w:snapToGrid w:val="0"/>
        <w:spacing w:before="0" w:after="0"/>
        <w:ind w:firstLine="480"/>
        <w:textAlignment w:val="baseline"/>
        <w:rPr>
          <w:rFonts w:hint="eastAsia" w:ascii="宋体" w:hAnsi="宋体" w:cs="宋体"/>
          <w:color w:val="36363D"/>
          <w:kern w:val="0"/>
        </w:rPr>
      </w:pPr>
      <w:r>
        <w:rPr>
          <w:rFonts w:hint="eastAsia" w:ascii="宋体" w:hAnsi="宋体" w:cs="宋体"/>
          <w:color w:val="36363D"/>
          <w:kern w:val="0"/>
        </w:rPr>
        <w:t>4.总价金额与按单价汇总金额不一致的，以单价金额计算结果为准；</w:t>
      </w:r>
    </w:p>
    <w:p w14:paraId="AD90DAD8">
      <w:pPr>
        <w:pStyle w:val="143"/>
        <w:pageBreakBefore w:val="0"/>
        <w:kinsoku/>
        <w:overflowPunct/>
        <w:topLinePunct w:val="0"/>
        <w:bidi w:val="0"/>
        <w:snapToGrid w:val="0"/>
        <w:spacing w:before="0" w:after="0"/>
        <w:ind w:firstLine="480"/>
        <w:textAlignment w:val="baseline"/>
        <w:rPr>
          <w:rFonts w:hint="eastAsia" w:ascii="宋体" w:hAnsi="宋体" w:cs="宋体"/>
          <w:color w:val="36363D"/>
          <w:kern w:val="0"/>
        </w:rPr>
      </w:pPr>
      <w:r>
        <w:rPr>
          <w:rFonts w:hint="eastAsia" w:ascii="宋体" w:hAnsi="宋体" w:cs="宋体"/>
          <w:color w:val="36363D"/>
          <w:kern w:val="0"/>
        </w:rPr>
        <w:t>5.同时出现两种以上不一致的，按照以上规定的顺序修正。修正后的报价经投标人确认后产生约束力。</w:t>
      </w:r>
    </w:p>
    <w:p w14:paraId="AC7FE062">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六、投标无效的情形</w:t>
      </w:r>
    </w:p>
    <w:p w14:paraId="2129E845">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1.在符合性审查、商务技术评审时，如发现下列情形之一的，投标文件将被视为无效：</w:t>
      </w:r>
    </w:p>
    <w:p w14:paraId="EA4E9C0E">
      <w:pPr>
        <w:pageBreakBefore w:val="0"/>
        <w:kinsoku/>
        <w:overflowPunct/>
        <w:topLinePunct w:val="0"/>
        <w:bidi w:val="0"/>
        <w:snapToGrid w:val="0"/>
        <w:spacing w:after="0"/>
        <w:ind w:firstLine="480"/>
        <w:textAlignment w:val="baseline"/>
        <w:rPr>
          <w:rFonts w:hint="eastAsia" w:cs="宋体"/>
          <w:color w:val="36363D"/>
          <w:kern w:val="0"/>
        </w:rPr>
      </w:pPr>
      <w:r>
        <w:rPr>
          <w:rFonts w:hint="eastAsia" w:cs="宋体"/>
          <w:color w:val="36363D"/>
          <w:kern w:val="0"/>
        </w:rPr>
        <w:t>（1）投标人不具备招标文件中规定的资格要求的（投标人未提供有效的资格证明文件的，视为投标人不具备招标文件中规定的资格要求）；</w:t>
      </w:r>
    </w:p>
    <w:p w14:paraId="23551DB5">
      <w:pPr>
        <w:pageBreakBefore w:val="0"/>
        <w:kinsoku/>
        <w:overflowPunct/>
        <w:topLinePunct w:val="0"/>
        <w:bidi w:val="0"/>
        <w:snapToGrid w:val="0"/>
        <w:spacing w:after="0"/>
        <w:ind w:firstLine="480"/>
        <w:textAlignment w:val="baseline"/>
        <w:rPr>
          <w:rFonts w:hint="eastAsia" w:cs="宋体"/>
          <w:color w:val="36363D"/>
          <w:kern w:val="0"/>
        </w:rPr>
      </w:pPr>
      <w:r>
        <w:rPr>
          <w:rFonts w:hint="eastAsia" w:cs="宋体"/>
          <w:color w:val="36363D"/>
          <w:kern w:val="0"/>
        </w:rPr>
        <w:t>（2）投标文件未按照招标文件要求签署、盖章的；</w:t>
      </w:r>
    </w:p>
    <w:p w14:paraId="52FE7D06">
      <w:pPr>
        <w:pageBreakBefore w:val="0"/>
        <w:kinsoku/>
        <w:overflowPunct/>
        <w:topLinePunct w:val="0"/>
        <w:bidi w:val="0"/>
        <w:snapToGrid w:val="0"/>
        <w:spacing w:after="0"/>
        <w:ind w:firstLine="480"/>
        <w:textAlignment w:val="baseline"/>
        <w:rPr>
          <w:rFonts w:hint="eastAsia" w:cs="宋体"/>
          <w:color w:val="36363D"/>
          <w:kern w:val="0"/>
        </w:rPr>
      </w:pPr>
      <w:r>
        <w:rPr>
          <w:rFonts w:hint="eastAsia" w:cs="宋体"/>
          <w:color w:val="36363D"/>
          <w:kern w:val="0"/>
        </w:rPr>
        <w:t>（3）投标文件含有采购人不能接受的附加条件的；</w:t>
      </w:r>
    </w:p>
    <w:p w14:paraId="CD2C3330">
      <w:pPr>
        <w:pageBreakBefore w:val="0"/>
        <w:kinsoku/>
        <w:overflowPunct/>
        <w:topLinePunct w:val="0"/>
        <w:bidi w:val="0"/>
        <w:snapToGrid w:val="0"/>
        <w:spacing w:after="0"/>
        <w:ind w:firstLine="480"/>
        <w:textAlignment w:val="baseline"/>
        <w:rPr>
          <w:rFonts w:hint="eastAsia" w:cs="宋体"/>
          <w:color w:val="36363D"/>
          <w:kern w:val="0"/>
        </w:rPr>
      </w:pPr>
      <w:r>
        <w:rPr>
          <w:rFonts w:hint="eastAsia" w:cs="宋体"/>
          <w:color w:val="36363D"/>
          <w:kern w:val="0"/>
        </w:rPr>
        <w:t>（4）投标文件中承诺的投标有效期少于招标文件中载明的投标有效期的；</w:t>
      </w:r>
    </w:p>
    <w:p w14:paraId="3CD88D03">
      <w:pPr>
        <w:pStyle w:val="4"/>
        <w:pageBreakBefore w:val="0"/>
        <w:tabs>
          <w:tab w:val="left" w:pos="432"/>
        </w:tabs>
        <w:kinsoku/>
        <w:overflowPunct/>
        <w:topLinePunct w:val="0"/>
        <w:bidi w:val="0"/>
        <w:snapToGrid w:val="0"/>
        <w:spacing w:after="0"/>
        <w:ind w:left="492" w:leftChars="205"/>
        <w:textAlignment w:val="baseline"/>
        <w:rPr>
          <w:rFonts w:hint="eastAsia" w:ascii="宋体" w:hAnsi="宋体" w:cs="宋体"/>
          <w:b w:val="0"/>
          <w:bCs w:val="0"/>
          <w:color w:val="36363D"/>
          <w:kern w:val="0"/>
          <w:sz w:val="24"/>
          <w:szCs w:val="24"/>
        </w:rPr>
      </w:pPr>
      <w:bookmarkStart w:id="124" w:name="_Toc31748"/>
      <w:bookmarkStart w:id="125" w:name="_Toc7449"/>
      <w:bookmarkStart w:id="126" w:name="_Toc1751"/>
      <w:bookmarkStart w:id="127" w:name="_Toc6404"/>
      <w:bookmarkStart w:id="128" w:name="_Toc8302"/>
      <w:bookmarkStart w:id="129" w:name="_Toc29979"/>
      <w:bookmarkStart w:id="130" w:name="_Toc23052"/>
      <w:r>
        <w:rPr>
          <w:rFonts w:hint="eastAsia" w:ascii="宋体" w:hAnsi="宋体" w:cs="宋体"/>
          <w:b w:val="0"/>
          <w:bCs w:val="0"/>
          <w:color w:val="36363D"/>
          <w:kern w:val="0"/>
          <w:sz w:val="24"/>
          <w:szCs w:val="24"/>
        </w:rPr>
        <w:t>（5）投标文件不满足招标文件的其它实质性要求的；</w:t>
      </w:r>
      <w:bookmarkEnd w:id="124"/>
      <w:bookmarkEnd w:id="125"/>
      <w:bookmarkEnd w:id="126"/>
      <w:bookmarkEnd w:id="127"/>
      <w:bookmarkEnd w:id="128"/>
      <w:bookmarkEnd w:id="129"/>
      <w:bookmarkEnd w:id="130"/>
    </w:p>
    <w:p w14:paraId="1590B6CC">
      <w:pPr>
        <w:pageBreakBefore w:val="0"/>
        <w:kinsoku/>
        <w:overflowPunct/>
        <w:topLinePunct w:val="0"/>
        <w:bidi w:val="0"/>
        <w:snapToGrid w:val="0"/>
        <w:spacing w:after="0"/>
        <w:ind w:firstLine="480"/>
        <w:textAlignment w:val="baseline"/>
        <w:rPr>
          <w:rFonts w:hint="eastAsia" w:cs="宋体"/>
          <w:color w:val="36363D"/>
          <w:kern w:val="0"/>
        </w:rPr>
      </w:pPr>
      <w:r>
        <w:rPr>
          <w:rFonts w:hint="eastAsia" w:cs="宋体"/>
          <w:color w:val="36363D"/>
          <w:kern w:val="0"/>
        </w:rPr>
        <w:t>（6）法律、法规、规章（适用本市的）及省级以上规范性文件（适用本市的）规定的其他无效情形。</w:t>
      </w:r>
    </w:p>
    <w:p w14:paraId="63677C5A">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2.在报价评审时，如发现下列情形之一的，投标文件将被视为无效：</w:t>
      </w:r>
    </w:p>
    <w:p w14:paraId="CC9820C7">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（1）报价文件未按要求签署、盖章的；</w:t>
      </w:r>
    </w:p>
    <w:p w14:paraId="C3DA6C29">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（2）未按照招标文件标明的币种报价的；</w:t>
      </w:r>
    </w:p>
    <w:p w14:paraId="5A1312A3">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（3）报价明细有缺漏项，或者与招标文件要求不一致的；</w:t>
      </w:r>
    </w:p>
    <w:p w14:paraId="CE3EA317">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（4）报价超过招标文件中规定的预算金额或者最高限价</w:t>
      </w:r>
      <w:r>
        <w:rPr>
          <w:rFonts w:hint="eastAsia" w:cs="宋体"/>
          <w:color w:val="36363D"/>
          <w:kern w:val="0"/>
        </w:rPr>
        <w:t>（含单价最高限价）</w:t>
      </w:r>
      <w:r>
        <w:rPr>
          <w:rFonts w:hint="eastAsia" w:cs="宋体"/>
          <w:color w:val="36363D"/>
        </w:rPr>
        <w:t>的；</w:t>
      </w:r>
    </w:p>
    <w:p w14:paraId="B73728E4">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（5）报价</w:t>
      </w:r>
      <w:r>
        <w:rPr>
          <w:rFonts w:hint="eastAsia" w:cs="宋体"/>
          <w:color w:val="36363D"/>
          <w:kern w:val="0"/>
        </w:rPr>
        <w:t>不是唯一的、</w:t>
      </w:r>
      <w:r>
        <w:rPr>
          <w:rFonts w:hint="eastAsia" w:cs="宋体"/>
          <w:color w:val="36363D"/>
        </w:rPr>
        <w:t>具有选择性，或者开标价格与投标文件承诺的优惠（折扣）价格不一致的；</w:t>
      </w:r>
    </w:p>
    <w:p w14:paraId="47681C29">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（6）报价明显低于其他通过符合性审查投标人的报价（有可能影响产品质量或者不能诚信履约的），投标人在评标现场合理的时间内无法提供书面说明（必要时提交相关证明材料）证明其报价合理性的。</w:t>
      </w:r>
    </w:p>
    <w:p w14:paraId="E0585F5E">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3.有下列情形之一的，视为投标人串通投标，其投标无效，由采购人或招标代理机构上报招标监督管理部门，视情列入不良行为记录名单，在一至三年内禁止参加招标活动：</w:t>
      </w:r>
    </w:p>
    <w:p w14:paraId="FE1D0880">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（1）不同投标人的投标文件由同一单位或者个人编制；</w:t>
      </w:r>
    </w:p>
    <w:p w14:paraId="C04BEE18">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（2）不同投标人委托同一单位或者个人办理投标事宜；</w:t>
      </w:r>
    </w:p>
    <w:p w14:paraId="5B9A1389">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（3）不同投标人的投标文件载明的项目管理成员或者联系人员为同一人；</w:t>
      </w:r>
    </w:p>
    <w:p w14:paraId="01017202">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（4）不同投标人的投标文件异常一致或者投标报价呈规律性差异；</w:t>
      </w:r>
    </w:p>
    <w:p w14:paraId="E350B9F0">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（5）不同投标人的投标文件相互混装。</w:t>
      </w:r>
    </w:p>
    <w:p w14:paraId="A915CD49">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七、投标的澄清</w:t>
      </w:r>
    </w:p>
    <w:p w14:paraId="08CA877E">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14:paraId="824DE55D">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2.投标人应对需要澄清的问题作书面回答，该书面回答应有投标人全权代表（或法定代表人）的签字（或盖章），书面澄清将作为投标内容的一部分。</w:t>
      </w:r>
    </w:p>
    <w:p w14:paraId="45EF33B8">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3.投标人对投标文件的澄清不得超出投标文件的范围或改变投标价格等投标文件的实质性内容。否则，不予接受。</w:t>
      </w:r>
    </w:p>
    <w:p w14:paraId="97513399">
      <w:pPr>
        <w:pageBreakBefore w:val="0"/>
        <w:kinsoku/>
        <w:overflowPunct/>
        <w:topLinePunct w:val="0"/>
        <w:bidi w:val="0"/>
        <w:snapToGrid w:val="0"/>
        <w:spacing w:after="0"/>
        <w:ind w:firstLine="0" w:firstLineChars="0"/>
        <w:textAlignment w:val="baseline"/>
        <w:rPr>
          <w:rFonts w:hint="eastAsia" w:cs="宋体"/>
          <w:color w:val="36363D"/>
        </w:rPr>
      </w:pPr>
      <w:r>
        <w:rPr>
          <w:rFonts w:hint="eastAsia" w:cs="宋体"/>
          <w:b/>
          <w:bCs/>
          <w:color w:val="36363D"/>
        </w:rPr>
        <w:t>八、评标办法</w:t>
      </w:r>
    </w:p>
    <w:p w14:paraId="850E55C0">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本项目评标办法是综合评分法，具体评标内容及评分标准等详见《第四章 评标办法及评分标准。</w:t>
      </w:r>
    </w:p>
    <w:p w14:paraId="26378B23">
      <w:pPr>
        <w:pStyle w:val="4"/>
        <w:pageBreakBefore w:val="0"/>
        <w:numPr>
          <w:ilvl w:val="0"/>
          <w:numId w:val="11"/>
        </w:numPr>
        <w:kinsoku/>
        <w:overflowPunct/>
        <w:topLinePunct w:val="0"/>
        <w:bidi w:val="0"/>
        <w:snapToGrid w:val="0"/>
        <w:spacing w:after="0"/>
        <w:jc w:val="center"/>
        <w:textAlignment w:val="baseline"/>
        <w:rPr>
          <w:rFonts w:hint="eastAsia" w:ascii="宋体" w:hAnsi="宋体" w:cs="宋体"/>
          <w:color w:val="36363D"/>
          <w:sz w:val="24"/>
          <w:szCs w:val="24"/>
        </w:rPr>
      </w:pPr>
      <w:bookmarkStart w:id="131" w:name="_Toc9414"/>
      <w:bookmarkStart w:id="132" w:name="_Toc20042"/>
      <w:bookmarkStart w:id="133" w:name="_Toc1918"/>
      <w:bookmarkStart w:id="134" w:name="_Toc577"/>
      <w:bookmarkStart w:id="135" w:name="_Toc9556"/>
      <w:bookmarkStart w:id="136" w:name="_Toc15850"/>
      <w:bookmarkStart w:id="137" w:name="_Toc17892"/>
      <w:bookmarkStart w:id="138" w:name="_Toc31535"/>
      <w:bookmarkStart w:id="139" w:name="_Toc24239"/>
      <w:r>
        <w:rPr>
          <w:rFonts w:hint="eastAsia" w:ascii="宋体" w:hAnsi="宋体" w:cs="宋体"/>
          <w:color w:val="36363D"/>
          <w:sz w:val="24"/>
          <w:szCs w:val="24"/>
        </w:rPr>
        <w:t>定标</w:t>
      </w:r>
      <w:bookmarkEnd w:id="131"/>
      <w:bookmarkEnd w:id="132"/>
      <w:bookmarkEnd w:id="133"/>
      <w:bookmarkEnd w:id="134"/>
      <w:bookmarkEnd w:id="135"/>
      <w:bookmarkEnd w:id="136"/>
      <w:bookmarkEnd w:id="137"/>
    </w:p>
    <w:p w14:paraId="338EF58E">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1.确定中标供应商。本项目由采购人确定中标供应商。</w:t>
      </w:r>
    </w:p>
    <w:p w14:paraId="01CA1E82">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2.采购代理机构在评标结束后2个工作日内将评标报告交采购人确认。</w:t>
      </w:r>
    </w:p>
    <w:p w14:paraId="55911BEC">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采购人应当自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14:paraId="970F7AF7">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4.采购人在收到评标报告5个工作日内未按评标报告推荐的中标候选人顺序确定中标供应商，又不能说明合法理由的，视同按评标报告推荐的顺序确定排名第一的中标候选人为中标供应商。</w:t>
      </w:r>
    </w:p>
    <w:p w14:paraId="8354919C">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5.采购人依法确定中标供应商后2个工作日内，采购代理机构以书面形式发出《中标通知书》，并同时在相关网站上发布中标结果公告。</w:t>
      </w:r>
    </w:p>
    <w:p w14:paraId="4787661E">
      <w:pPr>
        <w:pageBreakBefore w:val="0"/>
        <w:kinsoku/>
        <w:overflowPunct/>
        <w:topLinePunct w:val="0"/>
        <w:bidi w:val="0"/>
        <w:snapToGrid w:val="0"/>
        <w:spacing w:after="0"/>
        <w:ind w:firstLine="0" w:firstLineChars="0"/>
        <w:textAlignment w:val="baseline"/>
        <w:rPr>
          <w:rFonts w:hint="eastAsia"/>
          <w:color w:val="36363D"/>
        </w:rPr>
      </w:pPr>
    </w:p>
    <w:p w14:paraId="7E0829B6">
      <w:pPr>
        <w:pStyle w:val="4"/>
        <w:pageBreakBefore w:val="0"/>
        <w:kinsoku/>
        <w:overflowPunct/>
        <w:topLinePunct w:val="0"/>
        <w:bidi w:val="0"/>
        <w:snapToGrid w:val="0"/>
        <w:spacing w:after="0"/>
        <w:jc w:val="center"/>
        <w:textAlignment w:val="baseline"/>
        <w:rPr>
          <w:rFonts w:hint="eastAsia" w:ascii="宋体" w:hAnsi="宋体" w:cs="宋体"/>
          <w:color w:val="36363D"/>
          <w:sz w:val="24"/>
          <w:szCs w:val="24"/>
        </w:rPr>
      </w:pPr>
      <w:bookmarkStart w:id="140" w:name="_Toc11639"/>
      <w:bookmarkStart w:id="141" w:name="_Toc31835"/>
      <w:bookmarkStart w:id="142" w:name="_Toc5642"/>
      <w:bookmarkStart w:id="143" w:name="_Toc31201"/>
      <w:bookmarkStart w:id="144" w:name="_Toc6845"/>
      <w:bookmarkStart w:id="145" w:name="_Toc6954"/>
      <w:bookmarkStart w:id="146" w:name="_Toc24309"/>
      <w:r>
        <w:rPr>
          <w:rFonts w:hint="eastAsia" w:ascii="宋体" w:hAnsi="宋体" w:cs="宋体"/>
          <w:color w:val="36363D"/>
          <w:sz w:val="24"/>
          <w:szCs w:val="24"/>
        </w:rPr>
        <w:t>第八节 授予合同</w:t>
      </w:r>
      <w:bookmarkEnd w:id="138"/>
      <w:bookmarkEnd w:id="139"/>
      <w:bookmarkEnd w:id="140"/>
      <w:bookmarkEnd w:id="141"/>
      <w:bookmarkEnd w:id="142"/>
      <w:bookmarkEnd w:id="143"/>
      <w:bookmarkEnd w:id="144"/>
      <w:bookmarkEnd w:id="145"/>
      <w:bookmarkEnd w:id="146"/>
    </w:p>
    <w:p w14:paraId="D2980F65">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一、中标通知书</w:t>
      </w:r>
    </w:p>
    <w:p w14:paraId="33FEBA6C">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1.确定中标供应商后，采购代理机构将以书面形式发出中标通知书，通知中标的供应商其投标被接受；</w:t>
      </w:r>
    </w:p>
    <w:p w14:paraId="A08934CE">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2.中标通知书为双方签订合同的依据；</w:t>
      </w:r>
    </w:p>
    <w:p w14:paraId="32AFC867">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3.中标供应商应根据中标通知书中规定的时间内，由法定代表人或其授权代理人与采购人签订合同。</w:t>
      </w:r>
    </w:p>
    <w:p w14:paraId="98965210">
      <w:pPr>
        <w:pStyle w:val="5"/>
        <w:pageBreakBefore w:val="0"/>
        <w:kinsoku/>
        <w:overflowPunct/>
        <w:topLinePunct w:val="0"/>
        <w:bidi w:val="0"/>
        <w:snapToGrid w:val="0"/>
        <w:spacing w:after="0"/>
        <w:textAlignment w:val="baseline"/>
        <w:rPr>
          <w:rFonts w:hint="eastAsia" w:cs="宋体"/>
          <w:color w:val="36363D"/>
          <w:sz w:val="24"/>
          <w:szCs w:val="24"/>
        </w:rPr>
      </w:pPr>
      <w:r>
        <w:rPr>
          <w:rFonts w:hint="eastAsia" w:cs="宋体"/>
          <w:color w:val="36363D"/>
          <w:sz w:val="24"/>
          <w:szCs w:val="24"/>
        </w:rPr>
        <w:t>二、签订合同</w:t>
      </w:r>
    </w:p>
    <w:p w14:paraId="72A2D616">
      <w:pPr>
        <w:pageBreakBefore w:val="0"/>
        <w:widowControl/>
        <w:kinsoku/>
        <w:overflowPunct/>
        <w:topLinePunct w:val="0"/>
        <w:bidi w:val="0"/>
        <w:snapToGrid w:val="0"/>
        <w:spacing w:after="0"/>
        <w:ind w:firstLine="480"/>
        <w:jc w:val="left"/>
        <w:textAlignment w:val="baseline"/>
        <w:rPr>
          <w:rFonts w:hint="eastAsia" w:cs="宋体"/>
          <w:color w:val="36363D"/>
        </w:rPr>
      </w:pPr>
      <w:r>
        <w:rPr>
          <w:rFonts w:hint="eastAsia" w:cs="宋体"/>
          <w:color w:val="36363D"/>
          <w:kern w:val="0"/>
        </w:rPr>
        <w:t>1.采购人与中标人应当在《中标通知书》发出之日起</w:t>
      </w:r>
      <w:r>
        <w:rPr>
          <w:rFonts w:hint="eastAsia" w:cs="宋体"/>
          <w:color w:val="36363D"/>
        </w:rPr>
        <w:t>30日内</w:t>
      </w:r>
      <w:r>
        <w:rPr>
          <w:rFonts w:hint="eastAsia" w:cs="宋体"/>
          <w:color w:val="36363D"/>
          <w:kern w:val="0"/>
        </w:rPr>
        <w:t>签订正式合同，明确双方权利、义务和违约责任。</w:t>
      </w:r>
    </w:p>
    <w:p w14:paraId="917F153D">
      <w:pPr>
        <w:pageBreakBefore w:val="0"/>
        <w:widowControl/>
        <w:kinsoku/>
        <w:overflowPunct/>
        <w:topLinePunct w:val="0"/>
        <w:bidi w:val="0"/>
        <w:snapToGrid w:val="0"/>
        <w:spacing w:after="0"/>
        <w:ind w:firstLine="480"/>
        <w:jc w:val="left"/>
        <w:textAlignment w:val="baseline"/>
        <w:rPr>
          <w:rFonts w:hint="eastAsia" w:cs="宋体"/>
          <w:color w:val="36363D"/>
        </w:rPr>
      </w:pPr>
      <w:r>
        <w:rPr>
          <w:rFonts w:hint="eastAsia" w:cs="宋体"/>
          <w:color w:val="36363D"/>
          <w:kern w:val="0"/>
        </w:rPr>
        <w:t xml:space="preserve">2.中标人接到中标通知书后，在规定时间内借故否认已经承诺的条件而拒签合同的， 以违约处理，其中标资格将被取消。 </w:t>
      </w:r>
    </w:p>
    <w:p w14:paraId="27E72612">
      <w:pPr>
        <w:pageBreakBefore w:val="0"/>
        <w:widowControl/>
        <w:kinsoku/>
        <w:overflowPunct/>
        <w:topLinePunct w:val="0"/>
        <w:bidi w:val="0"/>
        <w:snapToGrid w:val="0"/>
        <w:spacing w:after="0"/>
        <w:ind w:firstLine="480"/>
        <w:jc w:val="left"/>
        <w:textAlignment w:val="baseline"/>
        <w:rPr>
          <w:rFonts w:hint="eastAsia" w:cs="宋体"/>
          <w:color w:val="36363D"/>
        </w:rPr>
      </w:pPr>
      <w:r>
        <w:rPr>
          <w:rFonts w:hint="eastAsia" w:cs="宋体"/>
          <w:color w:val="36363D"/>
          <w:kern w:val="0"/>
        </w:rPr>
        <w:t xml:space="preserve">3.中标候选人放弃中标；因不可抗力提出不能履行合同；或者招标文件规定应当提交 </w:t>
      </w:r>
    </w:p>
    <w:p w14:paraId="E3EF41EE">
      <w:pPr>
        <w:pageBreakBefore w:val="0"/>
        <w:widowControl/>
        <w:kinsoku/>
        <w:overflowPunct/>
        <w:topLinePunct w:val="0"/>
        <w:bidi w:val="0"/>
        <w:snapToGrid w:val="0"/>
        <w:spacing w:after="0"/>
        <w:ind w:firstLine="0" w:firstLineChars="0"/>
        <w:jc w:val="left"/>
        <w:textAlignment w:val="baseline"/>
        <w:rPr>
          <w:rFonts w:hint="eastAsia" w:cs="宋体"/>
          <w:color w:val="36363D"/>
        </w:rPr>
      </w:pPr>
      <w:r>
        <w:rPr>
          <w:rFonts w:hint="eastAsia" w:cs="宋体"/>
          <w:color w:val="36363D"/>
          <w:kern w:val="0"/>
        </w:rPr>
        <w:t>履约保证金、承诺要求等而在规定的期限内未能提交的；或未能在规定时间内与采购人签订合同的；或者经质疑，采购人审查后，确因中标候选人在本次</w:t>
      </w:r>
      <w:r>
        <w:rPr>
          <w:rFonts w:hint="eastAsia" w:cs="宋体"/>
          <w:color w:val="36363D"/>
        </w:rPr>
        <w:t>招标</w:t>
      </w:r>
      <w:r>
        <w:rPr>
          <w:rFonts w:hint="eastAsia" w:cs="宋体"/>
          <w:color w:val="36363D"/>
          <w:kern w:val="0"/>
        </w:rPr>
        <w:t>活动中存在违法违规行为或其他原因使质疑成立的，采购人可视情况确定是否由第二有效中标候选人替补，</w:t>
      </w:r>
      <w:r>
        <w:rPr>
          <w:rFonts w:hint="eastAsia" w:cs="宋体"/>
          <w:color w:val="36363D"/>
        </w:rPr>
        <w:t>也可以重新开展招标活动。</w:t>
      </w:r>
    </w:p>
    <w:p w14:paraId="E66527FF">
      <w:pPr>
        <w:pageBreakBefore w:val="0"/>
        <w:widowControl/>
        <w:kinsoku/>
        <w:overflowPunct/>
        <w:topLinePunct w:val="0"/>
        <w:bidi w:val="0"/>
        <w:snapToGrid w:val="0"/>
        <w:spacing w:after="0"/>
        <w:ind w:firstLine="480"/>
        <w:jc w:val="left"/>
        <w:textAlignment w:val="baseline"/>
        <w:rPr>
          <w:rFonts w:hint="eastAsia" w:cs="宋体"/>
          <w:color w:val="36363D"/>
        </w:rPr>
      </w:pPr>
      <w:r>
        <w:rPr>
          <w:rFonts w:hint="eastAsia" w:cs="宋体"/>
          <w:color w:val="36363D"/>
          <w:kern w:val="0"/>
        </w:rPr>
        <w:t xml:space="preserve">4.招标文件、中标人的投标文件、投标修改文件、评标过程中有关澄清文件及经投标 </w:t>
      </w:r>
    </w:p>
    <w:p w14:paraId="656CD552">
      <w:pPr>
        <w:pageBreakBefore w:val="0"/>
        <w:widowControl/>
        <w:kinsoku/>
        <w:overflowPunct/>
        <w:topLinePunct w:val="0"/>
        <w:bidi w:val="0"/>
        <w:snapToGrid w:val="0"/>
        <w:spacing w:after="0"/>
        <w:ind w:firstLine="0" w:firstLineChars="0"/>
        <w:jc w:val="left"/>
        <w:textAlignment w:val="baseline"/>
        <w:rPr>
          <w:rFonts w:hint="eastAsia" w:cs="宋体"/>
          <w:color w:val="36363D"/>
          <w:kern w:val="0"/>
        </w:rPr>
      </w:pPr>
      <w:r>
        <w:rPr>
          <w:rFonts w:hint="eastAsia" w:cs="宋体"/>
          <w:color w:val="36363D"/>
          <w:kern w:val="0"/>
        </w:rPr>
        <w:t>人和评委双方签字的询标记录和中标通知书均作为签订合同依据。</w:t>
      </w:r>
    </w:p>
    <w:p w14:paraId="AE8CF850">
      <w:pPr>
        <w:pageBreakBefore w:val="0"/>
        <w:kinsoku/>
        <w:overflowPunct/>
        <w:topLinePunct w:val="0"/>
        <w:bidi w:val="0"/>
        <w:snapToGrid w:val="0"/>
        <w:spacing w:after="0"/>
        <w:ind w:firstLine="480"/>
        <w:textAlignment w:val="baseline"/>
        <w:rPr>
          <w:rFonts w:hint="eastAsia"/>
          <w:color w:val="36363D"/>
        </w:rPr>
      </w:pPr>
    </w:p>
    <w:p w14:paraId="BDD629F2">
      <w:pPr>
        <w:pStyle w:val="4"/>
        <w:pageBreakBefore w:val="0"/>
        <w:kinsoku/>
        <w:overflowPunct/>
        <w:topLinePunct w:val="0"/>
        <w:bidi w:val="0"/>
        <w:spacing w:after="0"/>
        <w:jc w:val="center"/>
        <w:rPr>
          <w:rFonts w:hint="eastAsia" w:ascii="宋体" w:hAnsi="宋体" w:cs="宋体"/>
          <w:color w:val="36363D"/>
          <w:sz w:val="24"/>
          <w:szCs w:val="24"/>
        </w:rPr>
      </w:pPr>
      <w:bookmarkStart w:id="147" w:name="_Toc15220"/>
      <w:bookmarkStart w:id="148" w:name="_Toc19731"/>
      <w:bookmarkStart w:id="149" w:name="_Toc12481"/>
      <w:bookmarkStart w:id="150" w:name="_Toc27410"/>
      <w:bookmarkStart w:id="151" w:name="_Toc18761"/>
      <w:bookmarkStart w:id="152" w:name="_Toc10206"/>
      <w:bookmarkStart w:id="153" w:name="_Toc30945"/>
      <w:bookmarkStart w:id="154" w:name="_Toc19495"/>
      <w:bookmarkStart w:id="155" w:name="_Toc11423"/>
      <w:r>
        <w:rPr>
          <w:rFonts w:hint="eastAsia" w:ascii="宋体" w:hAnsi="宋体" w:cs="宋体"/>
          <w:color w:val="36363D"/>
          <w:sz w:val="24"/>
          <w:szCs w:val="24"/>
        </w:rPr>
        <w:t>第九节 例外处理</w:t>
      </w:r>
      <w:bookmarkEnd w:id="147"/>
      <w:bookmarkEnd w:id="148"/>
      <w:bookmarkEnd w:id="149"/>
      <w:bookmarkEnd w:id="150"/>
      <w:bookmarkEnd w:id="151"/>
      <w:bookmarkEnd w:id="152"/>
      <w:bookmarkEnd w:id="153"/>
      <w:bookmarkEnd w:id="154"/>
      <w:bookmarkEnd w:id="155"/>
    </w:p>
    <w:p w14:paraId="21EDD12D">
      <w:pPr>
        <w:pageBreakBefore w:val="0"/>
        <w:kinsoku/>
        <w:overflowPunct/>
        <w:topLinePunct w:val="0"/>
        <w:bidi w:val="0"/>
        <w:spacing w:after="0"/>
        <w:ind w:firstLine="480"/>
        <w:rPr>
          <w:rFonts w:hint="eastAsia" w:cs="宋体"/>
          <w:color w:val="36363D"/>
        </w:rPr>
        <w:sectPr>
          <w:pgSz w:w="11906" w:h="16838"/>
          <w:pgMar w:top="1247" w:right="1247" w:bottom="1247" w:left="1247" w:header="170" w:footer="567" w:gutter="0"/>
          <w:cols w:space="720" w:num="1"/>
          <w:docGrid w:linePitch="381" w:charSpace="0"/>
        </w:sectPr>
      </w:pPr>
      <w:r>
        <w:rPr>
          <w:rFonts w:hint="eastAsia" w:cs="宋体"/>
          <w:color w:val="36363D"/>
        </w:rPr>
        <w:t>投标截止时间结束后或评审过程中参加标项投标的投标人只有两家的且经评审专家认为具有竞争性的，经采购人同意直接转为竞争性磋商采购。</w:t>
      </w:r>
    </w:p>
    <w:p w14:paraId="9F47093A">
      <w:pPr>
        <w:pStyle w:val="3"/>
        <w:pageBreakBefore w:val="0"/>
        <w:kinsoku/>
        <w:overflowPunct/>
        <w:topLinePunct w:val="0"/>
        <w:bidi w:val="0"/>
        <w:spacing w:after="0"/>
        <w:rPr>
          <w:rFonts w:hint="eastAsia" w:cs="宋体"/>
          <w:color w:val="36363D"/>
          <w:szCs w:val="32"/>
        </w:rPr>
      </w:pPr>
      <w:bookmarkStart w:id="156" w:name="_Toc82338233"/>
      <w:bookmarkStart w:id="157" w:name="_Toc82873316"/>
      <w:bookmarkStart w:id="158" w:name="_Toc450840079"/>
      <w:bookmarkStart w:id="159" w:name="_Toc29198"/>
      <w:bookmarkStart w:id="160" w:name="_Toc24913"/>
      <w:bookmarkStart w:id="161" w:name="_Toc27090"/>
      <w:bookmarkStart w:id="162" w:name="_Toc20600"/>
      <w:r>
        <w:rPr>
          <w:rFonts w:hint="eastAsia" w:cs="宋体"/>
          <w:color w:val="36363D"/>
          <w:szCs w:val="32"/>
        </w:rPr>
        <w:t xml:space="preserve">第四章 </w:t>
      </w:r>
      <w:bookmarkEnd w:id="156"/>
      <w:bookmarkEnd w:id="157"/>
      <w:bookmarkEnd w:id="158"/>
      <w:r>
        <w:rPr>
          <w:rFonts w:hint="eastAsia" w:cs="宋体"/>
          <w:color w:val="36363D"/>
          <w:szCs w:val="32"/>
        </w:rPr>
        <w:t>评标办法及评分标准</w:t>
      </w:r>
      <w:bookmarkEnd w:id="159"/>
      <w:bookmarkEnd w:id="160"/>
      <w:bookmarkEnd w:id="161"/>
      <w:bookmarkEnd w:id="162"/>
    </w:p>
    <w:p w14:paraId="FD20BB17">
      <w:pPr>
        <w:pStyle w:val="4"/>
        <w:pageBreakBefore w:val="0"/>
        <w:kinsoku/>
        <w:overflowPunct/>
        <w:topLinePunct w:val="0"/>
        <w:bidi w:val="0"/>
        <w:spacing w:after="0"/>
        <w:rPr>
          <w:rFonts w:hint="eastAsia" w:ascii="宋体" w:hAnsi="宋体" w:cs="宋体"/>
          <w:color w:val="36363D"/>
          <w:sz w:val="24"/>
          <w:szCs w:val="24"/>
        </w:rPr>
      </w:pPr>
      <w:bookmarkStart w:id="163" w:name="_Toc5319"/>
      <w:bookmarkStart w:id="164" w:name="_Toc22326"/>
      <w:bookmarkStart w:id="165" w:name="_Toc15250"/>
      <w:bookmarkStart w:id="166" w:name="_Toc20655"/>
      <w:bookmarkStart w:id="167" w:name="_Toc11618"/>
      <w:bookmarkStart w:id="168" w:name="_Toc9154"/>
      <w:bookmarkStart w:id="169" w:name="_Toc11391"/>
      <w:bookmarkStart w:id="170" w:name="_Toc3811"/>
      <w:bookmarkStart w:id="171" w:name="_Toc3110"/>
      <w:bookmarkStart w:id="172" w:name="_Toc27613"/>
      <w:bookmarkStart w:id="173" w:name="_Toc1503"/>
      <w:r>
        <w:rPr>
          <w:rFonts w:hint="eastAsia" w:ascii="宋体" w:hAnsi="宋体" w:cs="宋体"/>
          <w:color w:val="36363D"/>
          <w:sz w:val="24"/>
          <w:szCs w:val="24"/>
        </w:rPr>
        <w:t>一、评分总则</w:t>
      </w:r>
      <w:bookmarkEnd w:id="163"/>
      <w:bookmarkEnd w:id="164"/>
      <w:bookmarkEnd w:id="165"/>
      <w:bookmarkEnd w:id="166"/>
      <w:bookmarkEnd w:id="167"/>
      <w:bookmarkEnd w:id="168"/>
      <w:r>
        <w:rPr>
          <w:rFonts w:hint="eastAsia" w:ascii="宋体" w:hAnsi="宋体" w:cs="宋体"/>
          <w:color w:val="36363D"/>
          <w:sz w:val="24"/>
          <w:szCs w:val="24"/>
        </w:rPr>
        <w:t xml:space="preserve">  </w:t>
      </w:r>
    </w:p>
    <w:p w14:paraId="583473DD">
      <w:pPr>
        <w:pageBreakBefore w:val="0"/>
        <w:kinsoku/>
        <w:overflowPunct/>
        <w:topLinePunct w:val="0"/>
        <w:bidi w:val="0"/>
        <w:spacing w:after="0"/>
        <w:ind w:firstLine="480"/>
        <w:rPr>
          <w:rFonts w:hint="eastAsia" w:cs="宋体"/>
          <w:color w:val="36363D"/>
        </w:rPr>
      </w:pPr>
      <w:r>
        <w:rPr>
          <w:rFonts w:hint="eastAsia" w:cs="宋体"/>
          <w:color w:val="36363D"/>
        </w:rPr>
        <w:t>以招标文件要求为基础，考虑各项相关因素的影响，将相关因素以定量计算的办法转换成分数表示形式，以最高“评标分数”确定评标结果顺序。</w:t>
      </w:r>
    </w:p>
    <w:p w14:paraId="FEF1A29B">
      <w:pPr>
        <w:pageBreakBefore w:val="0"/>
        <w:kinsoku/>
        <w:overflowPunct/>
        <w:topLinePunct w:val="0"/>
        <w:bidi w:val="0"/>
        <w:spacing w:after="0"/>
        <w:ind w:firstLine="480"/>
        <w:rPr>
          <w:rFonts w:hint="eastAsia" w:cs="宋体"/>
          <w:color w:val="36363D"/>
        </w:rPr>
      </w:pPr>
      <w:r>
        <w:rPr>
          <w:rFonts w:hint="eastAsia" w:cs="宋体"/>
          <w:color w:val="36363D"/>
        </w:rPr>
        <w:t>本次招标的评标采用</w:t>
      </w:r>
      <w:r>
        <w:rPr>
          <w:rFonts w:hint="eastAsia" w:cs="宋体"/>
          <w:b/>
          <w:color w:val="36363D"/>
        </w:rPr>
        <w:t>综合评分法</w:t>
      </w:r>
      <w:r>
        <w:rPr>
          <w:rFonts w:hint="eastAsia" w:cs="宋体"/>
          <w:color w:val="36363D"/>
        </w:rPr>
        <w:t>。</w:t>
      </w:r>
    </w:p>
    <w:bookmarkEnd w:id="169"/>
    <w:bookmarkEnd w:id="170"/>
    <w:bookmarkEnd w:id="171"/>
    <w:p w14:paraId="0E2F20A0">
      <w:pPr>
        <w:pageBreakBefore w:val="0"/>
        <w:kinsoku/>
        <w:overflowPunct/>
        <w:topLinePunct w:val="0"/>
        <w:bidi w:val="0"/>
        <w:spacing w:after="0"/>
        <w:ind w:firstLine="480"/>
        <w:rPr>
          <w:rFonts w:hint="eastAsia" w:cs="宋体"/>
          <w:color w:val="36363D"/>
        </w:rPr>
      </w:pPr>
      <w:r>
        <w:rPr>
          <w:rFonts w:hint="eastAsia" w:cs="宋体"/>
          <w:color w:val="36363D"/>
        </w:rPr>
        <w:t>评标总分为100分，合格投标人的评标得分为各项目汇总得分，中标候选资格按评标得分由高到低顺序排列，得分相同的，按投标报价由低到高顺序排列。得分且投标报价相同的，采取随机抽签的方式确定排序。投标文件满足招标文件全部实质性要求，且按照评审因素的量化指标评审得分最高的投标人为排名第一的中标候选人。</w:t>
      </w:r>
    </w:p>
    <w:p w14:paraId="151BEE76">
      <w:pPr>
        <w:pageBreakBefore w:val="0"/>
        <w:kinsoku/>
        <w:overflowPunct/>
        <w:topLinePunct w:val="0"/>
        <w:bidi w:val="0"/>
        <w:spacing w:after="0"/>
        <w:ind w:firstLine="480"/>
        <w:rPr>
          <w:rFonts w:hint="eastAsia" w:cs="宋体"/>
          <w:color w:val="36363D"/>
        </w:rPr>
      </w:pPr>
      <w:r>
        <w:rPr>
          <w:rFonts w:hint="eastAsia" w:cs="宋体"/>
          <w:color w:val="36363D"/>
        </w:rPr>
        <w:t>评分过程中采用四舍五入法，并保留小数2位</w:t>
      </w:r>
    </w:p>
    <w:p w14:paraId="0D77A2BE">
      <w:pPr>
        <w:pageBreakBefore w:val="0"/>
        <w:kinsoku/>
        <w:overflowPunct/>
        <w:topLinePunct w:val="0"/>
        <w:bidi w:val="0"/>
        <w:spacing w:after="0"/>
        <w:ind w:firstLine="480"/>
        <w:rPr>
          <w:rFonts w:hint="eastAsia" w:cs="宋体"/>
          <w:color w:val="36363D"/>
        </w:rPr>
      </w:pPr>
      <w:r>
        <w:rPr>
          <w:rFonts w:hint="eastAsia" w:cs="宋体"/>
          <w:color w:val="36363D"/>
        </w:rPr>
        <w:t>投标人评标综合得分=商务技术分+价格分</w:t>
      </w:r>
    </w:p>
    <w:p w14:paraId="010D9243">
      <w:pPr>
        <w:pageBreakBefore w:val="0"/>
        <w:kinsoku/>
        <w:overflowPunct/>
        <w:topLinePunct w:val="0"/>
        <w:bidi w:val="0"/>
        <w:spacing w:after="0"/>
        <w:ind w:firstLine="480"/>
        <w:rPr>
          <w:rFonts w:hint="eastAsia" w:cs="宋体"/>
          <w:color w:val="36363D"/>
        </w:rPr>
      </w:pPr>
      <w:r>
        <w:rPr>
          <w:rFonts w:hint="eastAsia" w:cs="宋体"/>
          <w:color w:val="36363D"/>
        </w:rPr>
        <w:t>商务技术分按照评标委员会成员的独立评分结果的算术平均分计算，计算公式为：商务技术分=（评标委员会所有成员评分合计数）/（评标委员会组成人员数）</w:t>
      </w:r>
    </w:p>
    <w:p w14:paraId="35F42976">
      <w:pPr>
        <w:pStyle w:val="4"/>
        <w:pageBreakBefore w:val="0"/>
        <w:kinsoku/>
        <w:overflowPunct/>
        <w:topLinePunct w:val="0"/>
        <w:bidi w:val="0"/>
        <w:spacing w:after="0"/>
        <w:rPr>
          <w:rFonts w:hint="eastAsia" w:ascii="宋体" w:hAnsi="宋体" w:cs="宋体"/>
          <w:color w:val="36363D"/>
          <w:sz w:val="24"/>
          <w:szCs w:val="24"/>
        </w:rPr>
      </w:pPr>
      <w:bookmarkStart w:id="174" w:name="_Toc7789"/>
      <w:bookmarkStart w:id="175" w:name="_Toc7047"/>
      <w:bookmarkStart w:id="176" w:name="_Toc20938"/>
      <w:bookmarkStart w:id="177" w:name="_Toc10040"/>
      <w:bookmarkStart w:id="178" w:name="_Toc26750"/>
      <w:bookmarkStart w:id="179" w:name="_Toc20594"/>
      <w:bookmarkStart w:id="180" w:name="_Toc26764"/>
      <w:r>
        <w:rPr>
          <w:rFonts w:hint="eastAsia" w:ascii="宋体" w:hAnsi="宋体" w:cs="宋体"/>
          <w:color w:val="36363D"/>
          <w:sz w:val="24"/>
          <w:szCs w:val="24"/>
        </w:rPr>
        <w:t>二</w:t>
      </w:r>
      <w:bookmarkEnd w:id="174"/>
      <w:r>
        <w:rPr>
          <w:rFonts w:hint="eastAsia" w:ascii="宋体" w:hAnsi="宋体" w:cs="宋体"/>
          <w:color w:val="36363D"/>
          <w:sz w:val="24"/>
          <w:szCs w:val="24"/>
        </w:rPr>
        <w:t>、评标程序</w:t>
      </w:r>
      <w:bookmarkEnd w:id="175"/>
      <w:bookmarkEnd w:id="176"/>
      <w:bookmarkEnd w:id="177"/>
      <w:bookmarkEnd w:id="178"/>
      <w:bookmarkEnd w:id="179"/>
      <w:bookmarkEnd w:id="180"/>
    </w:p>
    <w:p w14:paraId="1961184A">
      <w:pPr>
        <w:pageBreakBefore w:val="0"/>
        <w:kinsoku/>
        <w:overflowPunct/>
        <w:topLinePunct w:val="0"/>
        <w:bidi w:val="0"/>
        <w:spacing w:after="0"/>
        <w:ind w:firstLine="482"/>
        <w:rPr>
          <w:rFonts w:hint="eastAsia" w:cs="宋体"/>
          <w:b/>
          <w:color w:val="36363D"/>
        </w:rPr>
      </w:pPr>
      <w:r>
        <w:rPr>
          <w:rFonts w:hint="eastAsia" w:cs="宋体"/>
          <w:b/>
          <w:color w:val="36363D"/>
        </w:rPr>
        <w:t>2.1第一阶段评审</w:t>
      </w:r>
    </w:p>
    <w:p w14:paraId="FEF8E0D5">
      <w:pPr>
        <w:pageBreakBefore w:val="0"/>
        <w:kinsoku/>
        <w:overflowPunct/>
        <w:topLinePunct w:val="0"/>
        <w:bidi w:val="0"/>
        <w:spacing w:after="0"/>
        <w:ind w:firstLine="480"/>
        <w:rPr>
          <w:rFonts w:hint="eastAsia" w:cs="宋体"/>
          <w:b/>
          <w:color w:val="36363D"/>
        </w:rPr>
      </w:pPr>
      <w:r>
        <w:rPr>
          <w:rFonts w:hint="eastAsia" w:cs="宋体"/>
          <w:color w:val="36363D"/>
        </w:rPr>
        <w:t>★2.1.1商务和技术文件初步审查：包含资格性审查和符合性审查。资格性审查是指招标人或代理机构根据“附表1资格性审查表”的要求对投标文件逐一进行评审。符合性审查是指评标委员会根据“附表2符合性审查表”的要求对投标文件逐一进行评审。</w:t>
      </w:r>
      <w:r>
        <w:rPr>
          <w:rFonts w:hint="eastAsia" w:cs="宋体"/>
          <w:b/>
          <w:color w:val="36363D"/>
        </w:rPr>
        <w:t>资格性审查和符合性审查中，有任意一项审查结论不合格的，作无效标处理。</w:t>
      </w:r>
    </w:p>
    <w:p w14:paraId="E7B212E2">
      <w:pPr>
        <w:pageBreakBefore w:val="0"/>
        <w:kinsoku/>
        <w:overflowPunct/>
        <w:topLinePunct w:val="0"/>
        <w:bidi w:val="0"/>
        <w:spacing w:after="0"/>
        <w:ind w:firstLine="480"/>
        <w:rPr>
          <w:rFonts w:hint="eastAsia" w:cs="宋体"/>
          <w:color w:val="36363D"/>
        </w:rPr>
      </w:pPr>
      <w:r>
        <w:rPr>
          <w:rFonts w:hint="eastAsia" w:cs="宋体"/>
          <w:color w:val="36363D"/>
        </w:rPr>
        <w:t>2.1.2</w:t>
      </w:r>
      <w:r>
        <w:rPr>
          <w:rFonts w:hint="eastAsia" w:cs="宋体"/>
          <w:color w:val="36363D"/>
          <w:lang w:val="zh-CN"/>
        </w:rPr>
        <w:t>比较与评价：</w:t>
      </w:r>
      <w:r>
        <w:rPr>
          <w:rFonts w:hint="eastAsia" w:cs="宋体"/>
          <w:color w:val="36363D"/>
        </w:rPr>
        <w:t>评标委员会根据“附表3评分表（兼评委打分表）”的要求，</w:t>
      </w:r>
      <w:r>
        <w:rPr>
          <w:rFonts w:hint="eastAsia" w:cs="宋体"/>
          <w:color w:val="36363D"/>
          <w:lang w:val="zh-CN"/>
        </w:rPr>
        <w:t>对照投标文件的应答进行比较，判定其偏差性质和程度，</w:t>
      </w:r>
      <w:r>
        <w:rPr>
          <w:rFonts w:hint="eastAsia" w:cs="宋体"/>
          <w:color w:val="36363D"/>
        </w:rPr>
        <w:t>由评标委员会成员在分值范围内自行评分。供应商商务和技术得分为各评标委员会成员有效评分的算术平均值（小数点后保留二位数）。</w:t>
      </w:r>
    </w:p>
    <w:p w14:paraId="DDAC2DA1">
      <w:pPr>
        <w:pageBreakBefore w:val="0"/>
        <w:kinsoku/>
        <w:overflowPunct/>
        <w:topLinePunct w:val="0"/>
        <w:bidi w:val="0"/>
        <w:spacing w:after="0"/>
        <w:ind w:firstLine="482"/>
        <w:rPr>
          <w:rFonts w:hint="eastAsia" w:cs="宋体"/>
          <w:b/>
          <w:color w:val="36363D"/>
        </w:rPr>
      </w:pPr>
      <w:r>
        <w:rPr>
          <w:rFonts w:hint="eastAsia" w:cs="宋体"/>
          <w:b/>
          <w:color w:val="36363D"/>
        </w:rPr>
        <w:t>2.2第二阶段评审</w:t>
      </w:r>
    </w:p>
    <w:p w14:paraId="572F47C2">
      <w:pPr>
        <w:pageBreakBefore w:val="0"/>
        <w:kinsoku/>
        <w:overflowPunct/>
        <w:topLinePunct w:val="0"/>
        <w:bidi w:val="0"/>
        <w:spacing w:after="0"/>
        <w:ind w:firstLine="480"/>
        <w:rPr>
          <w:rFonts w:hint="eastAsia" w:cs="宋体"/>
          <w:b/>
          <w:color w:val="36363D"/>
        </w:rPr>
      </w:pPr>
      <w:r>
        <w:rPr>
          <w:rFonts w:hint="eastAsia" w:cs="宋体"/>
          <w:color w:val="36363D"/>
        </w:rPr>
        <w:t>★2.2.1报价文件审查：投标报价超出最高限价或预算金额的</w:t>
      </w:r>
      <w:r>
        <w:rPr>
          <w:rFonts w:hint="eastAsia" w:cs="宋体"/>
          <w:b/>
          <w:color w:val="36363D"/>
        </w:rPr>
        <w:t>，审查结论不合格的，作无效标处理。</w:t>
      </w:r>
    </w:p>
    <w:p w14:paraId="854B8DEE">
      <w:pPr>
        <w:pageBreakBefore w:val="0"/>
        <w:kinsoku/>
        <w:overflowPunct/>
        <w:topLinePunct w:val="0"/>
        <w:bidi w:val="0"/>
        <w:spacing w:after="0"/>
        <w:ind w:firstLine="480"/>
        <w:rPr>
          <w:rFonts w:hint="eastAsia" w:cs="宋体"/>
          <w:color w:val="36363D"/>
        </w:rPr>
      </w:pPr>
      <w:r>
        <w:rPr>
          <w:rFonts w:hint="eastAsia" w:cs="宋体"/>
          <w:color w:val="36363D"/>
        </w:rPr>
        <w:t>2.2.2综合评估：供应商的综合得分为商务和技术得分与报价得分之和。</w:t>
      </w:r>
    </w:p>
    <w:p w14:paraId="9ABD5706">
      <w:pPr>
        <w:pageBreakBefore w:val="0"/>
        <w:kinsoku/>
        <w:overflowPunct/>
        <w:topLinePunct w:val="0"/>
        <w:bidi w:val="0"/>
        <w:spacing w:after="0"/>
        <w:ind w:firstLine="480"/>
        <w:rPr>
          <w:rFonts w:hint="eastAsia" w:cs="宋体"/>
          <w:color w:val="36363D"/>
        </w:rPr>
      </w:pPr>
      <w:r>
        <w:rPr>
          <w:rFonts w:hint="eastAsia" w:cs="宋体"/>
          <w:color w:val="36363D"/>
        </w:rPr>
        <w:t>2.2.3推荐中标候选人：按综合得分由高到低进行排序，推荐综合得分排序第1、2的供应商为中标候选人。若供应商的综合得分相等，则投标报价低者列前；若投标报价也相同时，采取随机抽签的方式确定排序。</w:t>
      </w:r>
    </w:p>
    <w:p w14:paraId="42307ABF">
      <w:pPr>
        <w:pageBreakBefore w:val="0"/>
        <w:kinsoku/>
        <w:overflowPunct/>
        <w:topLinePunct w:val="0"/>
        <w:bidi w:val="0"/>
        <w:spacing w:after="0"/>
        <w:ind w:firstLine="482"/>
        <w:rPr>
          <w:rFonts w:hint="eastAsia" w:cs="宋体"/>
          <w:b/>
          <w:color w:val="36363D"/>
        </w:rPr>
      </w:pPr>
      <w:r>
        <w:rPr>
          <w:rFonts w:hint="eastAsia" w:cs="宋体"/>
          <w:b/>
          <w:color w:val="36363D"/>
        </w:rPr>
        <w:t>2.3确定中标供应商</w:t>
      </w:r>
    </w:p>
    <w:p w14:paraId="983B38F9">
      <w:pPr>
        <w:pageBreakBefore w:val="0"/>
        <w:kinsoku/>
        <w:overflowPunct/>
        <w:topLinePunct w:val="0"/>
        <w:bidi w:val="0"/>
        <w:spacing w:after="0"/>
        <w:ind w:firstLine="420" w:firstLineChars="0"/>
        <w:rPr>
          <w:rFonts w:hint="eastAsia" w:cs="宋体"/>
          <w:color w:val="36363D"/>
        </w:rPr>
      </w:pPr>
      <w:r>
        <w:rPr>
          <w:rFonts w:hint="eastAsia" w:cs="宋体"/>
          <w:color w:val="36363D"/>
        </w:rPr>
        <w:t>评标委员会按综合得分由高到低排序，依次依序向采购人推荐两位中标候选人。代理机构应当自评审结束之日起2个工作日内将评审报告送交采购人。采购人应当自收到评审报告之日起5个工作日内在评审报告推荐的中标候选人中按顺序确定中标供应商。中标供应商放弃中标，或因不可抗力提出不能履行合同，或不按采购文件规定提交履约担保，或其它原因被依法撤销中标资格，则采购人可确定排名第二的中标候选人为中标人或重新组织招标。</w:t>
      </w:r>
    </w:p>
    <w:p w14:paraId="259A2F03">
      <w:pPr>
        <w:pageBreakBefore w:val="0"/>
        <w:kinsoku/>
        <w:overflowPunct/>
        <w:topLinePunct w:val="0"/>
        <w:bidi w:val="0"/>
        <w:spacing w:after="0"/>
        <w:ind w:firstLine="482"/>
        <w:rPr>
          <w:rFonts w:hint="eastAsia" w:cs="宋体"/>
          <w:b/>
          <w:color w:val="36363D"/>
        </w:rPr>
      </w:pPr>
      <w:r>
        <w:rPr>
          <w:rFonts w:hint="eastAsia" w:cs="宋体"/>
          <w:b/>
          <w:color w:val="36363D"/>
        </w:rPr>
        <w:t>三、投标的澄清</w:t>
      </w:r>
    </w:p>
    <w:p w14:paraId="0DB20ECE">
      <w:pPr>
        <w:pageBreakBefore w:val="0"/>
        <w:kinsoku/>
        <w:overflowPunct/>
        <w:topLinePunct w:val="0"/>
        <w:bidi w:val="0"/>
        <w:spacing w:after="0"/>
        <w:ind w:firstLine="480"/>
        <w:rPr>
          <w:rFonts w:hint="eastAsia" w:cs="宋体"/>
          <w:color w:val="36363D"/>
        </w:rPr>
      </w:pPr>
      <w:r>
        <w:rPr>
          <w:rFonts w:hint="eastAsia" w:cs="宋体"/>
          <w:color w:val="36363D"/>
        </w:rPr>
        <w:t>3.1对投标文件审查中发现的投标文件表达含义不明确、同类问题表述不一致或者有明显文字和计算错误的内容，评标委员会可通过询标，要求供应商做出澄清。供应商必须按照代理机构通知的时间、方式派技术和商务人员进行答疑和澄清。</w:t>
      </w:r>
    </w:p>
    <w:p w14:paraId="1BB1181E">
      <w:pPr>
        <w:pageBreakBefore w:val="0"/>
        <w:kinsoku/>
        <w:overflowPunct/>
        <w:topLinePunct w:val="0"/>
        <w:bidi w:val="0"/>
        <w:spacing w:after="0"/>
        <w:ind w:firstLine="480"/>
        <w:rPr>
          <w:rFonts w:hint="eastAsia" w:cs="宋体"/>
          <w:color w:val="36363D"/>
        </w:rPr>
      </w:pPr>
      <w:r>
        <w:rPr>
          <w:rFonts w:hint="eastAsia" w:cs="宋体"/>
          <w:color w:val="36363D"/>
        </w:rPr>
        <w:t>3.2供应商应对需要澄清的问题作书面回答，该书面回答应有电子盖章，书面澄清将作为投标内容的一部分。</w:t>
      </w:r>
    </w:p>
    <w:p w14:paraId="DAF77D69">
      <w:pPr>
        <w:pageBreakBefore w:val="0"/>
        <w:kinsoku/>
        <w:overflowPunct/>
        <w:topLinePunct w:val="0"/>
        <w:bidi w:val="0"/>
        <w:spacing w:after="0"/>
        <w:ind w:firstLine="480"/>
        <w:rPr>
          <w:rFonts w:hint="eastAsia" w:cs="宋体"/>
          <w:color w:val="36363D"/>
        </w:rPr>
      </w:pPr>
      <w:r>
        <w:rPr>
          <w:rFonts w:hint="eastAsia" w:cs="宋体"/>
          <w:color w:val="36363D"/>
        </w:rPr>
        <w:t>3.3供应商对投标文件的澄清不得超出投标文件的范围或改变投标价格等投标文件的实质性内容。</w:t>
      </w:r>
    </w:p>
    <w:p w14:paraId="CEEDB501">
      <w:pPr>
        <w:pageBreakBefore w:val="0"/>
        <w:kinsoku/>
        <w:overflowPunct/>
        <w:topLinePunct w:val="0"/>
        <w:bidi w:val="0"/>
        <w:spacing w:after="0"/>
        <w:ind w:firstLine="480"/>
        <w:rPr>
          <w:rFonts w:hint="eastAsia" w:cs="宋体"/>
          <w:color w:val="36363D"/>
        </w:rPr>
      </w:pPr>
      <w:r>
        <w:rPr>
          <w:rFonts w:hint="eastAsia" w:cs="宋体"/>
          <w:color w:val="36363D"/>
        </w:rPr>
        <w:t>3.4若供应商未响应澄清安排的通知进行答疑和澄清，将被视作自动放弃。</w:t>
      </w:r>
    </w:p>
    <w:p w14:paraId="F3228341">
      <w:pPr>
        <w:pageBreakBefore w:val="0"/>
        <w:kinsoku/>
        <w:overflowPunct/>
        <w:topLinePunct w:val="0"/>
        <w:bidi w:val="0"/>
        <w:spacing w:after="0" w:line="400" w:lineRule="exact"/>
        <w:ind w:firstLine="482"/>
        <w:rPr>
          <w:rFonts w:hint="eastAsia" w:cs="宋体"/>
          <w:b/>
          <w:color w:val="36363D"/>
          <w:szCs w:val="21"/>
        </w:rPr>
      </w:pPr>
      <w:r>
        <w:rPr>
          <w:rFonts w:hint="eastAsia" w:cs="宋体"/>
          <w:b/>
          <w:color w:val="36363D"/>
          <w:szCs w:val="21"/>
        </w:rPr>
        <w:t>附表1：</w:t>
      </w:r>
    </w:p>
    <w:p w14:paraId="68FA410E">
      <w:pPr>
        <w:pageBreakBefore w:val="0"/>
        <w:kinsoku/>
        <w:overflowPunct/>
        <w:topLinePunct w:val="0"/>
        <w:bidi w:val="0"/>
        <w:spacing w:after="0" w:line="400" w:lineRule="exact"/>
        <w:ind w:firstLine="482"/>
        <w:jc w:val="center"/>
        <w:rPr>
          <w:rFonts w:hint="eastAsia" w:cs="宋体"/>
          <w:b/>
          <w:color w:val="36363D"/>
          <w:szCs w:val="21"/>
        </w:rPr>
      </w:pPr>
      <w:r>
        <w:rPr>
          <w:rFonts w:hint="eastAsia" w:cs="宋体"/>
          <w:b/>
          <w:color w:val="36363D"/>
          <w:szCs w:val="21"/>
        </w:rPr>
        <w:t>资格审查表</w:t>
      </w:r>
    </w:p>
    <w:tbl>
      <w:tblPr>
        <w:tblStyle w:val="43"/>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363"/>
      </w:tblGrid>
      <w:tr w14:paraId="ECB8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14:paraId="0F2B729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b/>
                <w:color w:val="36363D"/>
              </w:rPr>
            </w:pPr>
            <w:r>
              <w:rPr>
                <w:rFonts w:hint="eastAsia" w:cs="宋体"/>
                <w:b/>
                <w:color w:val="36363D"/>
              </w:rPr>
              <w:t>序号</w:t>
            </w:r>
          </w:p>
        </w:tc>
        <w:tc>
          <w:tcPr>
            <w:tcW w:w="1867" w:type="dxa"/>
            <w:tcBorders>
              <w:top w:val="single" w:color="auto" w:sz="4" w:space="0"/>
              <w:left w:val="single" w:color="auto" w:sz="4" w:space="0"/>
              <w:bottom w:val="single" w:color="auto" w:sz="4" w:space="0"/>
              <w:right w:val="single" w:color="auto" w:sz="4" w:space="0"/>
            </w:tcBorders>
            <w:vAlign w:val="center"/>
          </w:tcPr>
          <w:p w14:paraId="5CBCC3C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b/>
                <w:color w:val="36363D"/>
              </w:rPr>
            </w:pPr>
            <w:r>
              <w:rPr>
                <w:rFonts w:hint="eastAsia" w:cs="宋体"/>
                <w:b/>
                <w:color w:val="36363D"/>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14:paraId="75CD480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b/>
                <w:color w:val="36363D"/>
              </w:rPr>
            </w:pPr>
            <w:r>
              <w:rPr>
                <w:rFonts w:hint="eastAsia" w:cs="宋体"/>
                <w:b/>
                <w:color w:val="36363D"/>
              </w:rPr>
              <w:t>审查内容</w:t>
            </w:r>
          </w:p>
        </w:tc>
        <w:tc>
          <w:tcPr>
            <w:tcW w:w="5363" w:type="dxa"/>
            <w:tcBorders>
              <w:top w:val="single" w:color="auto" w:sz="4" w:space="0"/>
              <w:left w:val="single" w:color="auto" w:sz="4" w:space="0"/>
              <w:bottom w:val="single" w:color="auto" w:sz="4" w:space="0"/>
              <w:right w:val="single" w:color="auto" w:sz="4" w:space="0"/>
            </w:tcBorders>
            <w:vAlign w:val="center"/>
          </w:tcPr>
          <w:p w14:paraId="0EF0B40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b/>
                <w:color w:val="36363D"/>
              </w:rPr>
            </w:pPr>
            <w:r>
              <w:rPr>
                <w:rFonts w:hint="eastAsia" w:cs="宋体"/>
                <w:b/>
                <w:color w:val="36363D"/>
              </w:rPr>
              <w:t>审查标准</w:t>
            </w:r>
          </w:p>
        </w:tc>
      </w:tr>
      <w:tr w14:paraId="7995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785F545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1</w:t>
            </w:r>
          </w:p>
        </w:tc>
        <w:tc>
          <w:tcPr>
            <w:tcW w:w="1867" w:type="dxa"/>
            <w:tcBorders>
              <w:top w:val="single" w:color="auto" w:sz="4" w:space="0"/>
              <w:left w:val="single" w:color="auto" w:sz="4" w:space="0"/>
              <w:bottom w:val="single" w:color="auto" w:sz="4" w:space="0"/>
              <w:right w:val="single" w:color="auto" w:sz="4" w:space="0"/>
            </w:tcBorders>
            <w:vAlign w:val="center"/>
          </w:tcPr>
          <w:p w14:paraId="B62CF1A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14:paraId="34FA3F0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 xml:space="preserve">营业执照（副本）复印件 </w:t>
            </w:r>
          </w:p>
        </w:tc>
        <w:tc>
          <w:tcPr>
            <w:tcW w:w="5363" w:type="dxa"/>
            <w:tcBorders>
              <w:top w:val="single" w:color="auto" w:sz="4" w:space="0"/>
              <w:left w:val="single" w:color="auto" w:sz="4" w:space="0"/>
              <w:bottom w:val="single" w:color="auto" w:sz="4" w:space="0"/>
              <w:right w:val="single" w:color="auto" w:sz="4" w:space="0"/>
            </w:tcBorders>
            <w:vAlign w:val="center"/>
          </w:tcPr>
          <w:p w14:paraId="D1A6378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（1）如投标人是企业（包括合伙企业），提供在工商部门注册的有效“企业法人营业执照”或“营业执照”；</w:t>
            </w:r>
          </w:p>
          <w:p w14:paraId="F741910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（2）如投标人是事业单位，提供有效的“事业单位法人证书”；</w:t>
            </w:r>
          </w:p>
          <w:p w14:paraId="7794600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（3）如投标人是非企业专业服务机构的，提供执业许可证等证明文件；</w:t>
            </w:r>
          </w:p>
          <w:p w14:paraId="F7DB344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（4）如投标人是个体工商户，提供有效的“个体工商户营业执照”；</w:t>
            </w:r>
          </w:p>
          <w:p w14:paraId="89830FB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（5）如投标人是自然人，提供有效的自然人身份证明。</w:t>
            </w:r>
          </w:p>
          <w:p w14:paraId="3CB1961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注：以上材料需要复印件加盖公章（自然人则签字）。</w:t>
            </w:r>
          </w:p>
        </w:tc>
      </w:tr>
      <w:tr w14:paraId="3965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6FE8197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2</w:t>
            </w:r>
          </w:p>
        </w:tc>
        <w:tc>
          <w:tcPr>
            <w:tcW w:w="1867" w:type="dxa"/>
            <w:tcBorders>
              <w:top w:val="single" w:color="auto" w:sz="4" w:space="0"/>
              <w:left w:val="single" w:color="auto" w:sz="4" w:space="0"/>
              <w:bottom w:val="single" w:color="auto" w:sz="4" w:space="0"/>
              <w:right w:val="single" w:color="auto" w:sz="4" w:space="0"/>
            </w:tcBorders>
            <w:vAlign w:val="center"/>
          </w:tcPr>
          <w:p w14:paraId="3F9498A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14:paraId="0A4D04A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承诺函</w:t>
            </w:r>
          </w:p>
        </w:tc>
        <w:tc>
          <w:tcPr>
            <w:tcW w:w="5363" w:type="dxa"/>
            <w:tcBorders>
              <w:top w:val="single" w:color="auto" w:sz="4" w:space="0"/>
              <w:left w:val="single" w:color="auto" w:sz="4" w:space="0"/>
              <w:bottom w:val="single" w:color="auto" w:sz="4" w:space="0"/>
              <w:right w:val="single" w:color="auto" w:sz="4" w:space="0"/>
            </w:tcBorders>
            <w:vAlign w:val="center"/>
          </w:tcPr>
          <w:p w14:paraId="8EFA994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提供符合参加采购活动应当具备的一般条件的承诺函，格式附后。</w:t>
            </w:r>
          </w:p>
        </w:tc>
      </w:tr>
      <w:tr w14:paraId="42B4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AE0E5AD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3</w:t>
            </w:r>
          </w:p>
        </w:tc>
        <w:tc>
          <w:tcPr>
            <w:tcW w:w="1867" w:type="dxa"/>
            <w:tcBorders>
              <w:top w:val="single" w:color="auto" w:sz="4" w:space="0"/>
              <w:left w:val="single" w:color="auto" w:sz="4" w:space="0"/>
              <w:bottom w:val="single" w:color="auto" w:sz="4" w:space="0"/>
              <w:right w:val="single" w:color="auto" w:sz="4" w:space="0"/>
            </w:tcBorders>
            <w:vAlign w:val="center"/>
          </w:tcPr>
          <w:p w14:paraId="3E0C1ED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特定资格</w:t>
            </w:r>
          </w:p>
        </w:tc>
        <w:tc>
          <w:tcPr>
            <w:tcW w:w="1717" w:type="dxa"/>
            <w:tcBorders>
              <w:top w:val="single" w:color="auto" w:sz="4" w:space="0"/>
              <w:left w:val="single" w:color="auto" w:sz="4" w:space="0"/>
              <w:bottom w:val="single" w:color="auto" w:sz="4" w:space="0"/>
              <w:right w:val="single" w:color="auto" w:sz="4" w:space="0"/>
            </w:tcBorders>
            <w:vAlign w:val="center"/>
          </w:tcPr>
          <w:p w14:paraId="5DD2AF1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资质证书</w:t>
            </w:r>
          </w:p>
        </w:tc>
        <w:tc>
          <w:tcPr>
            <w:tcW w:w="5363" w:type="dxa"/>
            <w:tcBorders>
              <w:top w:val="single" w:color="auto" w:sz="4" w:space="0"/>
              <w:left w:val="single" w:color="auto" w:sz="4" w:space="0"/>
              <w:bottom w:val="single" w:color="auto" w:sz="4" w:space="0"/>
              <w:right w:val="single" w:color="auto" w:sz="4" w:space="0"/>
            </w:tcBorders>
            <w:vAlign w:val="center"/>
          </w:tcPr>
          <w:p w14:paraId="A7F9E07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提供投标人（包括子公司）电力工程施工总承包三级及以上且承装修试五级及以上资质，并具有有效的安全生产许可证；</w:t>
            </w:r>
          </w:p>
        </w:tc>
      </w:tr>
      <w:tr w14:paraId="DA8B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E6B9981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4</w:t>
            </w:r>
          </w:p>
        </w:tc>
        <w:tc>
          <w:tcPr>
            <w:tcW w:w="1867" w:type="dxa"/>
            <w:tcBorders>
              <w:top w:val="single" w:color="auto" w:sz="4" w:space="0"/>
              <w:left w:val="single" w:color="auto" w:sz="4" w:space="0"/>
              <w:bottom w:val="single" w:color="auto" w:sz="4" w:space="0"/>
              <w:right w:val="single" w:color="auto" w:sz="4" w:space="0"/>
            </w:tcBorders>
            <w:vAlign w:val="center"/>
          </w:tcPr>
          <w:p w14:paraId="5FDD0D1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业绩要求</w:t>
            </w:r>
          </w:p>
        </w:tc>
        <w:tc>
          <w:tcPr>
            <w:tcW w:w="1717" w:type="dxa"/>
            <w:tcBorders>
              <w:top w:val="single" w:color="auto" w:sz="4" w:space="0"/>
              <w:left w:val="single" w:color="auto" w:sz="4" w:space="0"/>
              <w:bottom w:val="single" w:color="auto" w:sz="4" w:space="0"/>
              <w:right w:val="single" w:color="auto" w:sz="4" w:space="0"/>
            </w:tcBorders>
            <w:vAlign w:val="center"/>
          </w:tcPr>
          <w:p w14:paraId="C85D7A2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合同、并网发电证明或竣工验收证明</w:t>
            </w:r>
          </w:p>
        </w:tc>
        <w:tc>
          <w:tcPr>
            <w:tcW w:w="5363" w:type="dxa"/>
            <w:tcBorders>
              <w:top w:val="single" w:color="auto" w:sz="4" w:space="0"/>
              <w:left w:val="single" w:color="auto" w:sz="4" w:space="0"/>
              <w:bottom w:val="single" w:color="auto" w:sz="4" w:space="0"/>
              <w:right w:val="single" w:color="auto" w:sz="4" w:space="0"/>
            </w:tcBorders>
            <w:vAlign w:val="center"/>
          </w:tcPr>
          <w:p w14:paraId="2D15839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提供2021年1月1日以来投标人（包括子公司）承接过单体装机容量达到5兆瓦以上分布式光伏EPC总承包项目2个。注：①提供合同证明；②并网发电证明或竣工验收证明，复印件或扫描件并加盖投标人公章。（如以上证明材料未体现所要求业绩特征的，须提供项目发包人或项目所在行业主管部门出具的证明材料，否则作为无效业绩）</w:t>
            </w:r>
          </w:p>
        </w:tc>
      </w:tr>
      <w:tr w14:paraId="BD67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07474C0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5</w:t>
            </w:r>
          </w:p>
        </w:tc>
        <w:tc>
          <w:tcPr>
            <w:tcW w:w="1867" w:type="dxa"/>
            <w:tcBorders>
              <w:top w:val="single" w:color="auto" w:sz="4" w:space="0"/>
              <w:left w:val="single" w:color="auto" w:sz="4" w:space="0"/>
              <w:bottom w:val="single" w:color="auto" w:sz="4" w:space="0"/>
              <w:right w:val="single" w:color="auto" w:sz="4" w:space="0"/>
            </w:tcBorders>
            <w:vAlign w:val="center"/>
          </w:tcPr>
          <w:p w14:paraId="D016039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项目经理要求</w:t>
            </w:r>
          </w:p>
        </w:tc>
        <w:tc>
          <w:tcPr>
            <w:tcW w:w="1717" w:type="dxa"/>
            <w:tcBorders>
              <w:top w:val="single" w:color="auto" w:sz="4" w:space="0"/>
              <w:left w:val="single" w:color="auto" w:sz="4" w:space="0"/>
              <w:bottom w:val="single" w:color="auto" w:sz="4" w:space="0"/>
              <w:right w:val="single" w:color="auto" w:sz="4" w:space="0"/>
            </w:tcBorders>
            <w:vAlign w:val="center"/>
          </w:tcPr>
          <w:p w14:paraId="CBE7A59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资格证书及项目业绩经验</w:t>
            </w:r>
          </w:p>
        </w:tc>
        <w:tc>
          <w:tcPr>
            <w:tcW w:w="5363" w:type="dxa"/>
            <w:tcBorders>
              <w:top w:val="single" w:color="auto" w:sz="4" w:space="0"/>
              <w:left w:val="single" w:color="auto" w:sz="4" w:space="0"/>
              <w:bottom w:val="single" w:color="auto" w:sz="4" w:space="0"/>
              <w:right w:val="single" w:color="auto" w:sz="4" w:space="0"/>
            </w:tcBorders>
            <w:vAlign w:val="center"/>
          </w:tcPr>
          <w:p w14:paraId="48E3F61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提供项目经理具有二级及以上建造师执业资格注册证书(机电工程专业)、有效的安全生产考核合格证(B类)、至少具有1个4MWp及以上光伏EPC总承包项目经理的经验。</w:t>
            </w:r>
          </w:p>
        </w:tc>
      </w:tr>
      <w:tr w14:paraId="30B3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CE2DC15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6</w:t>
            </w:r>
          </w:p>
        </w:tc>
        <w:tc>
          <w:tcPr>
            <w:tcW w:w="1867" w:type="dxa"/>
            <w:tcBorders>
              <w:top w:val="single" w:color="auto" w:sz="4" w:space="0"/>
              <w:left w:val="single" w:color="auto" w:sz="4" w:space="0"/>
              <w:bottom w:val="single" w:color="auto" w:sz="4" w:space="0"/>
              <w:right w:val="single" w:color="auto" w:sz="4" w:space="0"/>
            </w:tcBorders>
            <w:vAlign w:val="center"/>
          </w:tcPr>
          <w:p w14:paraId="0121FB8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安全负责人要求</w:t>
            </w:r>
          </w:p>
        </w:tc>
        <w:tc>
          <w:tcPr>
            <w:tcW w:w="1717" w:type="dxa"/>
            <w:tcBorders>
              <w:top w:val="single" w:color="auto" w:sz="4" w:space="0"/>
              <w:left w:val="single" w:color="auto" w:sz="4" w:space="0"/>
              <w:bottom w:val="single" w:color="auto" w:sz="4" w:space="0"/>
              <w:right w:val="single" w:color="auto" w:sz="4" w:space="0"/>
            </w:tcBorders>
            <w:vAlign w:val="center"/>
          </w:tcPr>
          <w:p w14:paraId="8757A82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资格证书</w:t>
            </w:r>
          </w:p>
        </w:tc>
        <w:tc>
          <w:tcPr>
            <w:tcW w:w="5363" w:type="dxa"/>
            <w:tcBorders>
              <w:top w:val="single" w:color="auto" w:sz="4" w:space="0"/>
              <w:left w:val="single" w:color="auto" w:sz="4" w:space="0"/>
              <w:bottom w:val="single" w:color="auto" w:sz="4" w:space="0"/>
              <w:right w:val="single" w:color="auto" w:sz="4" w:space="0"/>
            </w:tcBorders>
            <w:vAlign w:val="center"/>
          </w:tcPr>
          <w:p w14:paraId="795A430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提供有效的安全生产考核合格证(C 类)。</w:t>
            </w:r>
          </w:p>
        </w:tc>
      </w:tr>
      <w:tr w14:paraId="9CD7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306F04F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7</w:t>
            </w:r>
          </w:p>
        </w:tc>
        <w:tc>
          <w:tcPr>
            <w:tcW w:w="1867" w:type="dxa"/>
            <w:tcBorders>
              <w:top w:val="single" w:color="auto" w:sz="4" w:space="0"/>
              <w:left w:val="single" w:color="auto" w:sz="4" w:space="0"/>
              <w:bottom w:val="single" w:color="auto" w:sz="4" w:space="0"/>
              <w:right w:val="single" w:color="auto" w:sz="4" w:space="0"/>
            </w:tcBorders>
            <w:vAlign w:val="center"/>
          </w:tcPr>
          <w:p w14:paraId="1925C97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14:paraId="E91D9E6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cs="宋体"/>
                <w:color w:val="36363D"/>
                <w:sz w:val="21"/>
                <w:szCs w:val="21"/>
              </w:rPr>
            </w:pPr>
            <w:r>
              <w:rPr>
                <w:rFonts w:hint="eastAsia" w:cs="宋体"/>
                <w:color w:val="36363D"/>
                <w:sz w:val="21"/>
                <w:szCs w:val="21"/>
              </w:rPr>
              <w:t>投标人“信用中国”网站（www.creditchina.gov.cn）、中国政府采购网（www.ccgp.gov.cn）信用记录情况无不良记录。</w:t>
            </w:r>
          </w:p>
        </w:tc>
        <w:tc>
          <w:tcPr>
            <w:tcW w:w="5363" w:type="dxa"/>
            <w:tcBorders>
              <w:top w:val="single" w:color="auto" w:sz="4" w:space="0"/>
              <w:left w:val="single" w:color="auto" w:sz="4" w:space="0"/>
              <w:bottom w:val="single" w:color="auto" w:sz="4" w:space="0"/>
              <w:right w:val="single" w:color="auto" w:sz="4" w:space="0"/>
            </w:tcBorders>
            <w:vAlign w:val="center"/>
          </w:tcPr>
          <w:p w14:paraId="97C7A4F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cs="宋体"/>
                <w:color w:val="36363D"/>
                <w:sz w:val="21"/>
                <w:szCs w:val="21"/>
              </w:rPr>
            </w:pPr>
            <w:r>
              <w:rPr>
                <w:rFonts w:hint="eastAsia" w:cs="宋体"/>
                <w:color w:val="36363D"/>
                <w:sz w:val="21"/>
                <w:szCs w:val="21"/>
              </w:rPr>
              <w:t>开标当日为准对投标人“信用中国”网站（www.creditchina.gov.cn）、中国政府采购网（www.ccgp.gov.cn）信用记录情况进行核实，未被列入失信被执行人、重大税收违法案件当事人名单、政府采购严重违法失信行为记录名单。</w:t>
            </w:r>
          </w:p>
        </w:tc>
      </w:tr>
    </w:tbl>
    <w:p w14:paraId="E162C4CE">
      <w:pPr>
        <w:pageBreakBefore w:val="0"/>
        <w:kinsoku/>
        <w:overflowPunct/>
        <w:topLinePunct w:val="0"/>
        <w:bidi w:val="0"/>
        <w:spacing w:after="0" w:line="400" w:lineRule="exact"/>
        <w:ind w:firstLine="482"/>
        <w:rPr>
          <w:rFonts w:hint="eastAsia" w:cs="宋体"/>
          <w:b/>
          <w:bCs/>
          <w:color w:val="36363D"/>
        </w:rPr>
      </w:pPr>
      <w:r>
        <w:rPr>
          <w:rFonts w:hint="eastAsia" w:cs="宋体"/>
          <w:b/>
          <w:color w:val="36363D"/>
        </w:rPr>
        <w:t>注：</w:t>
      </w:r>
      <w:r>
        <w:rPr>
          <w:rFonts w:hint="eastAsia" w:cs="宋体"/>
          <w:b/>
          <w:bCs/>
          <w:color w:val="36363D"/>
        </w:rPr>
        <w:t>1、上述资格证明文件未按招标文件要求附入投标文件中的，资格性审查不合格。</w:t>
      </w:r>
    </w:p>
    <w:p w14:paraId="CAE94350">
      <w:pPr>
        <w:pageBreakBefore w:val="0"/>
        <w:kinsoku/>
        <w:overflowPunct/>
        <w:topLinePunct w:val="0"/>
        <w:bidi w:val="0"/>
        <w:spacing w:after="0" w:line="400" w:lineRule="exact"/>
        <w:ind w:firstLine="482"/>
        <w:rPr>
          <w:rFonts w:hint="eastAsia" w:cs="宋体"/>
          <w:b/>
          <w:bCs/>
          <w:color w:val="36363D"/>
        </w:rPr>
      </w:pPr>
      <w:r>
        <w:rPr>
          <w:rFonts w:hint="eastAsia" w:cs="宋体"/>
          <w:b/>
          <w:bCs/>
          <w:color w:val="36363D"/>
        </w:rPr>
        <w:t>2、上述审查项目中，任意一项不符合的，资格性审查不合格。</w:t>
      </w:r>
    </w:p>
    <w:p w14:paraId="901FAC7D">
      <w:pPr>
        <w:pageBreakBefore w:val="0"/>
        <w:kinsoku/>
        <w:overflowPunct/>
        <w:topLinePunct w:val="0"/>
        <w:bidi w:val="0"/>
        <w:spacing w:after="0" w:line="400" w:lineRule="exact"/>
        <w:ind w:firstLine="482"/>
        <w:rPr>
          <w:rFonts w:hint="eastAsia" w:cs="宋体"/>
          <w:b/>
          <w:color w:val="36363D"/>
          <w:szCs w:val="21"/>
        </w:rPr>
      </w:pPr>
      <w:r>
        <w:rPr>
          <w:rFonts w:hint="eastAsia" w:cs="宋体"/>
          <w:b/>
          <w:color w:val="36363D"/>
          <w:szCs w:val="21"/>
        </w:rPr>
        <w:t>附表2：</w:t>
      </w:r>
    </w:p>
    <w:p w14:paraId="BE494482">
      <w:pPr>
        <w:pageBreakBefore w:val="0"/>
        <w:kinsoku/>
        <w:overflowPunct/>
        <w:topLinePunct w:val="0"/>
        <w:bidi w:val="0"/>
        <w:spacing w:after="0" w:line="400" w:lineRule="exact"/>
        <w:ind w:firstLine="482"/>
        <w:jc w:val="center"/>
        <w:rPr>
          <w:rFonts w:hint="eastAsia" w:cs="宋体"/>
          <w:b/>
          <w:color w:val="36363D"/>
          <w:szCs w:val="21"/>
        </w:rPr>
      </w:pPr>
      <w:r>
        <w:rPr>
          <w:rFonts w:hint="eastAsia" w:cs="宋体"/>
          <w:b/>
          <w:color w:val="36363D"/>
          <w:szCs w:val="21"/>
        </w:rPr>
        <w:t>符合性审查表(可放弃关联)</w:t>
      </w:r>
    </w:p>
    <w:tbl>
      <w:tblPr>
        <w:tblStyle w:val="4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14:paraId="00D9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AE29A8D8">
            <w:pPr>
              <w:pageBreakBefore w:val="0"/>
              <w:kinsoku/>
              <w:overflowPunct/>
              <w:topLinePunct w:val="0"/>
              <w:bidi w:val="0"/>
              <w:spacing w:after="0" w:line="400" w:lineRule="exact"/>
              <w:ind w:firstLine="0" w:firstLineChars="0"/>
              <w:jc w:val="center"/>
              <w:rPr>
                <w:rFonts w:hint="eastAsia" w:cs="宋体"/>
                <w:b/>
                <w:color w:val="36363D"/>
                <w:szCs w:val="21"/>
              </w:rPr>
            </w:pPr>
            <w:r>
              <w:rPr>
                <w:rFonts w:hint="eastAsia" w:cs="宋体"/>
                <w:b/>
                <w:color w:val="36363D"/>
                <w:szCs w:val="21"/>
              </w:rPr>
              <w:t>序号</w:t>
            </w:r>
          </w:p>
        </w:tc>
        <w:tc>
          <w:tcPr>
            <w:tcW w:w="2174" w:type="dxa"/>
          </w:tcPr>
          <w:p w14:paraId="AFE928F1">
            <w:pPr>
              <w:pageBreakBefore w:val="0"/>
              <w:kinsoku/>
              <w:overflowPunct/>
              <w:topLinePunct w:val="0"/>
              <w:bidi w:val="0"/>
              <w:spacing w:after="0" w:line="400" w:lineRule="exact"/>
              <w:ind w:firstLine="0" w:firstLineChars="0"/>
              <w:jc w:val="center"/>
              <w:rPr>
                <w:rFonts w:hint="eastAsia" w:cs="宋体"/>
                <w:b/>
                <w:color w:val="36363D"/>
                <w:szCs w:val="21"/>
              </w:rPr>
            </w:pPr>
            <w:r>
              <w:rPr>
                <w:rFonts w:hint="eastAsia" w:cs="宋体"/>
                <w:b/>
                <w:color w:val="36363D"/>
                <w:szCs w:val="21"/>
              </w:rPr>
              <w:t>审查项目</w:t>
            </w:r>
          </w:p>
        </w:tc>
        <w:tc>
          <w:tcPr>
            <w:tcW w:w="6521" w:type="dxa"/>
          </w:tcPr>
          <w:p w14:paraId="5531A2A5">
            <w:pPr>
              <w:pageBreakBefore w:val="0"/>
              <w:kinsoku/>
              <w:overflowPunct/>
              <w:topLinePunct w:val="0"/>
              <w:bidi w:val="0"/>
              <w:spacing w:after="0" w:line="400" w:lineRule="exact"/>
              <w:ind w:firstLine="0" w:firstLineChars="0"/>
              <w:jc w:val="center"/>
              <w:rPr>
                <w:rFonts w:hint="eastAsia" w:cs="宋体"/>
                <w:b/>
                <w:color w:val="36363D"/>
                <w:szCs w:val="21"/>
              </w:rPr>
            </w:pPr>
            <w:r>
              <w:rPr>
                <w:rFonts w:hint="eastAsia" w:cs="宋体"/>
                <w:b/>
                <w:color w:val="36363D"/>
                <w:szCs w:val="21"/>
              </w:rPr>
              <w:t>要求</w:t>
            </w:r>
          </w:p>
        </w:tc>
      </w:tr>
      <w:tr w14:paraId="7CC1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BB9740E5">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szCs w:val="21"/>
              </w:rPr>
              <w:t>1</w:t>
            </w:r>
          </w:p>
        </w:tc>
        <w:tc>
          <w:tcPr>
            <w:tcW w:w="2174" w:type="dxa"/>
            <w:vAlign w:val="center"/>
          </w:tcPr>
          <w:p w14:paraId="B92C840A">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szCs w:val="21"/>
              </w:rPr>
              <w:t>投标文件的签署盖章</w:t>
            </w:r>
          </w:p>
        </w:tc>
        <w:tc>
          <w:tcPr>
            <w:tcW w:w="6521" w:type="dxa"/>
            <w:vAlign w:val="center"/>
          </w:tcPr>
          <w:p w14:paraId="54785CCF">
            <w:pPr>
              <w:pageBreakBefore w:val="0"/>
              <w:kinsoku/>
              <w:overflowPunct/>
              <w:topLinePunct w:val="0"/>
              <w:bidi w:val="0"/>
              <w:spacing w:after="0" w:line="400" w:lineRule="exact"/>
              <w:ind w:firstLine="0" w:firstLineChars="0"/>
              <w:jc w:val="left"/>
              <w:rPr>
                <w:rFonts w:hint="eastAsia" w:cs="宋体"/>
                <w:color w:val="36363D"/>
                <w:szCs w:val="21"/>
              </w:rPr>
            </w:pPr>
            <w:r>
              <w:rPr>
                <w:rFonts w:hint="eastAsia" w:cs="宋体"/>
                <w:color w:val="36363D"/>
              </w:rPr>
              <w:t>按采购文件规定签字或盖章的</w:t>
            </w:r>
            <w:r>
              <w:rPr>
                <w:rFonts w:hint="eastAsia" w:cs="宋体"/>
                <w:color w:val="36363D"/>
                <w:szCs w:val="21"/>
              </w:rPr>
              <w:t>。</w:t>
            </w:r>
          </w:p>
        </w:tc>
      </w:tr>
      <w:tr w14:paraId="AE9D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6123B1F3">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szCs w:val="21"/>
              </w:rPr>
              <w:t>2</w:t>
            </w:r>
          </w:p>
        </w:tc>
        <w:tc>
          <w:tcPr>
            <w:tcW w:w="2174" w:type="dxa"/>
            <w:vAlign w:val="center"/>
          </w:tcPr>
          <w:p w14:paraId="C4120D84">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rPr>
              <w:t>实质性条款响应</w:t>
            </w:r>
          </w:p>
        </w:tc>
        <w:tc>
          <w:tcPr>
            <w:tcW w:w="6521" w:type="dxa"/>
            <w:vAlign w:val="center"/>
          </w:tcPr>
          <w:p w14:paraId="6172C7F3">
            <w:pPr>
              <w:pageBreakBefore w:val="0"/>
              <w:kinsoku/>
              <w:overflowPunct/>
              <w:topLinePunct w:val="0"/>
              <w:bidi w:val="0"/>
              <w:spacing w:after="0"/>
              <w:ind w:firstLine="0" w:firstLineChars="0"/>
              <w:rPr>
                <w:rFonts w:hint="eastAsia" w:cs="宋体"/>
                <w:color w:val="36363D"/>
                <w:szCs w:val="21"/>
              </w:rPr>
            </w:pPr>
            <w:r>
              <w:rPr>
                <w:rFonts w:hint="eastAsia" w:cs="宋体"/>
                <w:color w:val="36363D"/>
              </w:rPr>
              <w:t>投标文件完全满足招标文件的实质性条款（即标注</w:t>
            </w:r>
            <w:r>
              <w:rPr>
                <w:rFonts w:hint="eastAsia" w:cs="宋体"/>
                <w:color w:val="36363D"/>
                <w:szCs w:val="21"/>
              </w:rPr>
              <w:t>★</w:t>
            </w:r>
            <w:r>
              <w:rPr>
                <w:rFonts w:hint="eastAsia" w:cs="宋体"/>
                <w:color w:val="36363D"/>
              </w:rPr>
              <w:t>号条款）无负偏离的。</w:t>
            </w:r>
          </w:p>
        </w:tc>
      </w:tr>
      <w:tr w14:paraId="E94D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6642C81">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szCs w:val="21"/>
              </w:rPr>
              <w:t>3</w:t>
            </w:r>
          </w:p>
        </w:tc>
        <w:tc>
          <w:tcPr>
            <w:tcW w:w="2174" w:type="dxa"/>
            <w:vAlign w:val="center"/>
          </w:tcPr>
          <w:p w14:paraId="DC9CEA15">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rPr>
              <w:t>法定代表人</w:t>
            </w:r>
            <w:r>
              <w:rPr>
                <w:rFonts w:hint="eastAsia" w:cs="宋体"/>
                <w:color w:val="36363D"/>
                <w:szCs w:val="21"/>
              </w:rPr>
              <w:t>授权书</w:t>
            </w:r>
          </w:p>
        </w:tc>
        <w:tc>
          <w:tcPr>
            <w:tcW w:w="6521" w:type="dxa"/>
            <w:vAlign w:val="center"/>
          </w:tcPr>
          <w:p w14:paraId="5EB17B54">
            <w:pPr>
              <w:pageBreakBefore w:val="0"/>
              <w:kinsoku/>
              <w:overflowPunct/>
              <w:topLinePunct w:val="0"/>
              <w:bidi w:val="0"/>
              <w:spacing w:after="0"/>
              <w:ind w:firstLine="0" w:firstLineChars="0"/>
              <w:rPr>
                <w:rFonts w:hint="eastAsia" w:cs="宋体"/>
                <w:color w:val="36363D"/>
                <w:szCs w:val="21"/>
              </w:rPr>
            </w:pPr>
            <w:r>
              <w:rPr>
                <w:rFonts w:hint="eastAsia" w:cs="宋体"/>
                <w:color w:val="36363D"/>
              </w:rPr>
              <w:t>提供有效的法定代表人证明书/法定代表人授权委托书。</w:t>
            </w:r>
          </w:p>
        </w:tc>
      </w:tr>
      <w:tr w14:paraId="76C2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Align w:val="center"/>
          </w:tcPr>
          <w:p w14:paraId="5EE1F601">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szCs w:val="21"/>
              </w:rPr>
              <w:t>4</w:t>
            </w:r>
          </w:p>
        </w:tc>
        <w:tc>
          <w:tcPr>
            <w:tcW w:w="2174" w:type="dxa"/>
            <w:vAlign w:val="center"/>
          </w:tcPr>
          <w:p w14:paraId="BC105FE0">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szCs w:val="21"/>
              </w:rPr>
              <w:t>无效投标条款响应</w:t>
            </w:r>
          </w:p>
        </w:tc>
        <w:tc>
          <w:tcPr>
            <w:tcW w:w="6521" w:type="dxa"/>
            <w:vAlign w:val="center"/>
          </w:tcPr>
          <w:p w14:paraId="AC936C79">
            <w:pPr>
              <w:pageBreakBefore w:val="0"/>
              <w:kinsoku/>
              <w:overflowPunct/>
              <w:topLinePunct w:val="0"/>
              <w:bidi w:val="0"/>
              <w:spacing w:after="0"/>
              <w:ind w:firstLine="0" w:firstLineChars="0"/>
              <w:rPr>
                <w:rFonts w:hint="eastAsia" w:cs="宋体"/>
                <w:color w:val="36363D"/>
                <w:szCs w:val="21"/>
              </w:rPr>
            </w:pPr>
            <w:r>
              <w:rPr>
                <w:rFonts w:hint="eastAsia" w:cs="宋体"/>
                <w:color w:val="36363D"/>
              </w:rPr>
              <w:t>投标文件没有招标文件中规定的其它无效投标条款的。</w:t>
            </w:r>
          </w:p>
        </w:tc>
      </w:tr>
      <w:tr w14:paraId="DA43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9A127639">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szCs w:val="21"/>
              </w:rPr>
              <w:t>5</w:t>
            </w:r>
          </w:p>
        </w:tc>
        <w:tc>
          <w:tcPr>
            <w:tcW w:w="2174" w:type="dxa"/>
            <w:vAlign w:val="center"/>
          </w:tcPr>
          <w:p w14:paraId="054D8879">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szCs w:val="21"/>
              </w:rPr>
              <w:t>其他</w:t>
            </w:r>
          </w:p>
        </w:tc>
        <w:tc>
          <w:tcPr>
            <w:tcW w:w="6521" w:type="dxa"/>
            <w:vAlign w:val="center"/>
          </w:tcPr>
          <w:p w14:paraId="7AB900F6">
            <w:pPr>
              <w:pageBreakBefore w:val="0"/>
              <w:kinsoku/>
              <w:overflowPunct/>
              <w:topLinePunct w:val="0"/>
              <w:bidi w:val="0"/>
              <w:spacing w:after="0"/>
              <w:ind w:firstLine="0" w:firstLineChars="0"/>
              <w:rPr>
                <w:rFonts w:hint="eastAsia" w:cs="宋体"/>
                <w:color w:val="36363D"/>
              </w:rPr>
            </w:pPr>
            <w:r>
              <w:rPr>
                <w:rFonts w:hint="eastAsia" w:cs="宋体"/>
                <w:color w:val="36363D"/>
              </w:rPr>
              <w:t>投标供应商无虚假应标、串通投标的情形。</w:t>
            </w:r>
          </w:p>
        </w:tc>
      </w:tr>
      <w:tr w14:paraId="2834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C7918BB">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szCs w:val="21"/>
              </w:rPr>
              <w:t>6</w:t>
            </w:r>
          </w:p>
        </w:tc>
        <w:tc>
          <w:tcPr>
            <w:tcW w:w="2174" w:type="dxa"/>
            <w:vAlign w:val="center"/>
          </w:tcPr>
          <w:p w14:paraId="2F76168A">
            <w:pPr>
              <w:pageBreakBefore w:val="0"/>
              <w:kinsoku/>
              <w:overflowPunct/>
              <w:topLinePunct w:val="0"/>
              <w:bidi w:val="0"/>
              <w:spacing w:after="0" w:line="400" w:lineRule="exact"/>
              <w:ind w:firstLine="0" w:firstLineChars="0"/>
              <w:jc w:val="center"/>
              <w:rPr>
                <w:rFonts w:hint="eastAsia" w:cs="宋体"/>
                <w:color w:val="36363D"/>
                <w:szCs w:val="21"/>
              </w:rPr>
            </w:pPr>
            <w:r>
              <w:rPr>
                <w:rFonts w:hint="eastAsia" w:cs="宋体"/>
                <w:color w:val="36363D"/>
                <w:szCs w:val="21"/>
              </w:rPr>
              <w:t>其他</w:t>
            </w:r>
          </w:p>
        </w:tc>
        <w:tc>
          <w:tcPr>
            <w:tcW w:w="6521" w:type="dxa"/>
            <w:vAlign w:val="center"/>
          </w:tcPr>
          <w:p w14:paraId="B7BC1220">
            <w:pPr>
              <w:pageBreakBefore w:val="0"/>
              <w:kinsoku/>
              <w:overflowPunct/>
              <w:topLinePunct w:val="0"/>
              <w:bidi w:val="0"/>
              <w:spacing w:after="0"/>
              <w:ind w:firstLine="0" w:firstLineChars="0"/>
              <w:rPr>
                <w:rFonts w:hint="eastAsia" w:cs="宋体"/>
                <w:color w:val="36363D"/>
                <w:szCs w:val="21"/>
              </w:rPr>
            </w:pPr>
            <w:r>
              <w:rPr>
                <w:rFonts w:hint="eastAsia" w:cs="宋体"/>
                <w:color w:val="36363D"/>
              </w:rPr>
              <w:t>按有关法律、法规、规章不属于投标无效的。</w:t>
            </w:r>
          </w:p>
        </w:tc>
      </w:tr>
    </w:tbl>
    <w:p w14:paraId="0FDCF344">
      <w:pPr>
        <w:pStyle w:val="42"/>
        <w:pageBreakBefore w:val="0"/>
        <w:tabs>
          <w:tab w:val="left" w:pos="0"/>
          <w:tab w:val="left" w:pos="1260"/>
          <w:tab w:val="left" w:pos="1365"/>
        </w:tabs>
        <w:kinsoku/>
        <w:overflowPunct/>
        <w:topLinePunct w:val="0"/>
        <w:bidi w:val="0"/>
        <w:spacing w:before="0" w:after="0"/>
        <w:ind w:firstLine="482"/>
        <w:rPr>
          <w:rFonts w:hint="eastAsia" w:ascii="宋体" w:hAnsi="宋体" w:cs="宋体"/>
          <w:color w:val="36363D"/>
        </w:rPr>
      </w:pPr>
      <w:r>
        <w:rPr>
          <w:rFonts w:hint="eastAsia" w:ascii="宋体" w:hAnsi="宋体" w:cs="宋体"/>
          <w:b/>
          <w:color w:val="36363D"/>
        </w:rPr>
        <w:t>注：1、上述审查项目中，任意一项不符合的，符合性审查不合格。</w:t>
      </w:r>
    </w:p>
    <w:p w14:paraId="0054C92F">
      <w:pPr>
        <w:pageBreakBefore w:val="0"/>
        <w:kinsoku/>
        <w:overflowPunct/>
        <w:topLinePunct w:val="0"/>
        <w:bidi w:val="0"/>
        <w:spacing w:after="0" w:line="500" w:lineRule="exact"/>
        <w:ind w:firstLine="482"/>
        <w:rPr>
          <w:rFonts w:hint="eastAsia" w:cs="宋体"/>
          <w:b/>
          <w:color w:val="36363D"/>
        </w:rPr>
      </w:pPr>
      <w:r>
        <w:rPr>
          <w:rFonts w:hint="eastAsia" w:cs="宋体"/>
          <w:b/>
          <w:color w:val="36363D"/>
        </w:rPr>
        <w:t>附表3：</w:t>
      </w:r>
    </w:p>
    <w:p w14:paraId="CC3303ED">
      <w:pPr>
        <w:pageBreakBefore w:val="0"/>
        <w:kinsoku/>
        <w:overflowPunct/>
        <w:topLinePunct w:val="0"/>
        <w:bidi w:val="0"/>
        <w:spacing w:after="0" w:line="500" w:lineRule="exact"/>
        <w:ind w:firstLine="482"/>
        <w:jc w:val="center"/>
        <w:rPr>
          <w:rFonts w:hint="eastAsia" w:cs="宋体"/>
          <w:b/>
          <w:color w:val="36363D"/>
        </w:rPr>
      </w:pPr>
      <w:r>
        <w:rPr>
          <w:rFonts w:hint="eastAsia" w:cs="宋体"/>
          <w:b/>
          <w:color w:val="36363D"/>
        </w:rPr>
        <w:t>评分表（兼评委打分表）</w:t>
      </w:r>
    </w:p>
    <w:tbl>
      <w:tblPr>
        <w:tblStyle w:val="44"/>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5"/>
        <w:gridCol w:w="6939"/>
        <w:gridCol w:w="893"/>
      </w:tblGrid>
      <w:tr w14:paraId="9609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37" w:type="dxa"/>
            <w:gridSpan w:val="4"/>
            <w:vAlign w:val="center"/>
          </w:tcPr>
          <w:p w14:paraId="61CC8F18">
            <w:pPr>
              <w:pageBreakBefore w:val="0"/>
              <w:kinsoku/>
              <w:overflowPunct/>
              <w:topLinePunct w:val="0"/>
              <w:bidi w:val="0"/>
              <w:spacing w:after="0"/>
              <w:ind w:firstLine="0" w:firstLineChars="0"/>
              <w:jc w:val="center"/>
              <w:rPr>
                <w:rFonts w:hint="eastAsia" w:cs="宋体"/>
                <w:b/>
                <w:bCs/>
                <w:color w:val="36363D"/>
              </w:rPr>
            </w:pPr>
            <w:r>
              <w:rPr>
                <w:rFonts w:hint="eastAsia" w:cs="宋体"/>
                <w:b/>
                <w:bCs/>
                <w:color w:val="36363D"/>
              </w:rPr>
              <w:t>商务技术分（70分）</w:t>
            </w:r>
          </w:p>
        </w:tc>
      </w:tr>
      <w:tr w14:paraId="FC96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0" w:type="dxa"/>
            <w:vAlign w:val="center"/>
          </w:tcPr>
          <w:p w14:paraId="2FB6CB61">
            <w:pPr>
              <w:pageBreakBefore w:val="0"/>
              <w:kinsoku/>
              <w:overflowPunct/>
              <w:topLinePunct w:val="0"/>
              <w:bidi w:val="0"/>
              <w:spacing w:after="0"/>
              <w:ind w:firstLine="0" w:firstLineChars="0"/>
              <w:jc w:val="center"/>
              <w:rPr>
                <w:rFonts w:hint="eastAsia" w:cs="宋体"/>
                <w:b/>
                <w:bCs/>
                <w:color w:val="36363D"/>
              </w:rPr>
            </w:pPr>
            <w:r>
              <w:rPr>
                <w:rFonts w:hint="eastAsia" w:cs="宋体"/>
                <w:b/>
                <w:bCs/>
                <w:color w:val="36363D"/>
              </w:rPr>
              <w:t>序号</w:t>
            </w:r>
          </w:p>
        </w:tc>
        <w:tc>
          <w:tcPr>
            <w:tcW w:w="1455" w:type="dxa"/>
            <w:vAlign w:val="center"/>
          </w:tcPr>
          <w:p w14:paraId="7F7CD688">
            <w:pPr>
              <w:pageBreakBefore w:val="0"/>
              <w:kinsoku/>
              <w:overflowPunct/>
              <w:topLinePunct w:val="0"/>
              <w:bidi w:val="0"/>
              <w:spacing w:after="0"/>
              <w:ind w:firstLine="0" w:firstLineChars="0"/>
              <w:jc w:val="center"/>
              <w:rPr>
                <w:rFonts w:hint="eastAsia" w:cs="宋体"/>
                <w:b/>
                <w:bCs/>
                <w:color w:val="36363D"/>
              </w:rPr>
            </w:pPr>
            <w:r>
              <w:rPr>
                <w:rFonts w:hint="eastAsia" w:cs="宋体"/>
                <w:b/>
                <w:bCs/>
                <w:color w:val="36363D"/>
              </w:rPr>
              <w:t>评分细则</w:t>
            </w:r>
          </w:p>
        </w:tc>
        <w:tc>
          <w:tcPr>
            <w:tcW w:w="6939" w:type="dxa"/>
            <w:vAlign w:val="center"/>
          </w:tcPr>
          <w:p w14:paraId="23A10D9D">
            <w:pPr>
              <w:pageBreakBefore w:val="0"/>
              <w:kinsoku/>
              <w:overflowPunct/>
              <w:topLinePunct w:val="0"/>
              <w:bidi w:val="0"/>
              <w:spacing w:after="0"/>
              <w:ind w:firstLine="0" w:firstLineChars="0"/>
              <w:jc w:val="center"/>
              <w:rPr>
                <w:rFonts w:hint="eastAsia" w:cs="宋体"/>
                <w:b/>
                <w:bCs/>
                <w:color w:val="36363D"/>
              </w:rPr>
            </w:pPr>
            <w:r>
              <w:rPr>
                <w:rFonts w:hint="eastAsia" w:cs="宋体"/>
                <w:b/>
                <w:bCs/>
                <w:color w:val="36363D"/>
              </w:rPr>
              <w:t>评分要素</w:t>
            </w:r>
          </w:p>
        </w:tc>
        <w:tc>
          <w:tcPr>
            <w:tcW w:w="893" w:type="dxa"/>
            <w:vAlign w:val="center"/>
          </w:tcPr>
          <w:p w14:paraId="36E9AA92">
            <w:pPr>
              <w:pageBreakBefore w:val="0"/>
              <w:kinsoku/>
              <w:overflowPunct/>
              <w:topLinePunct w:val="0"/>
              <w:bidi w:val="0"/>
              <w:spacing w:after="0"/>
              <w:ind w:firstLine="0" w:firstLineChars="0"/>
              <w:jc w:val="center"/>
              <w:rPr>
                <w:rFonts w:hint="eastAsia" w:cs="宋体"/>
                <w:b/>
                <w:bCs/>
                <w:color w:val="36363D"/>
              </w:rPr>
            </w:pPr>
            <w:r>
              <w:rPr>
                <w:rFonts w:hint="eastAsia" w:cs="宋体"/>
                <w:b/>
                <w:bCs/>
                <w:color w:val="36363D"/>
              </w:rPr>
              <w:t>分值</w:t>
            </w:r>
          </w:p>
        </w:tc>
      </w:tr>
      <w:tr w14:paraId="6C48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50" w:type="dxa"/>
            <w:vAlign w:val="center"/>
          </w:tcPr>
          <w:p w14:paraId="54C99BE2">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w:t>
            </w:r>
          </w:p>
        </w:tc>
        <w:tc>
          <w:tcPr>
            <w:tcW w:w="1455" w:type="dxa"/>
            <w:shd w:val="clear" w:color="auto" w:fill="auto"/>
            <w:vAlign w:val="center"/>
          </w:tcPr>
          <w:p w14:paraId="90200BDE">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设计方案（10分）</w:t>
            </w:r>
          </w:p>
        </w:tc>
        <w:tc>
          <w:tcPr>
            <w:tcW w:w="6939" w:type="dxa"/>
            <w:shd w:val="clear" w:color="auto" w:fill="auto"/>
            <w:vAlign w:val="center"/>
          </w:tcPr>
          <w:p w14:paraId="705C7B09">
            <w:pPr>
              <w:pageBreakBefore w:val="0"/>
              <w:kinsoku/>
              <w:overflowPunct/>
              <w:topLinePunct w:val="0"/>
              <w:bidi w:val="0"/>
              <w:spacing w:after="0"/>
              <w:ind w:firstLine="0" w:firstLineChars="0"/>
              <w:jc w:val="left"/>
              <w:rPr>
                <w:rFonts w:hint="eastAsia" w:cs="宋体"/>
                <w:color w:val="36363D"/>
              </w:rPr>
            </w:pPr>
            <w:r>
              <w:rPr>
                <w:rFonts w:hint="eastAsia" w:cs="宋体"/>
                <w:color w:val="36363D"/>
              </w:rPr>
              <w:t>设计方案满足项目基本配置要求，计5分；对设计方案的光伏布置平面图、组件排布系统原理图、光伏支架基础图、接入系统图等)优化建议的内容合理科学的，酌情加分，本项最高计10分。</w:t>
            </w:r>
          </w:p>
        </w:tc>
        <w:tc>
          <w:tcPr>
            <w:tcW w:w="893" w:type="dxa"/>
            <w:shd w:val="clear" w:color="auto" w:fill="auto"/>
            <w:vAlign w:val="center"/>
          </w:tcPr>
          <w:p w14:paraId="86DF3F6E">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10</w:t>
            </w:r>
          </w:p>
        </w:tc>
      </w:tr>
      <w:tr w14:paraId="1DF0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0" w:type="dxa"/>
            <w:vAlign w:val="center"/>
          </w:tcPr>
          <w:p w14:paraId="D0EDB7EF">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2</w:t>
            </w:r>
          </w:p>
        </w:tc>
        <w:tc>
          <w:tcPr>
            <w:tcW w:w="1455" w:type="dxa"/>
            <w:shd w:val="clear" w:color="auto" w:fill="auto"/>
            <w:vAlign w:val="center"/>
          </w:tcPr>
          <w:p w14:paraId="39260F1A">
            <w:pPr>
              <w:pageBreakBefore w:val="0"/>
              <w:kinsoku/>
              <w:overflowPunct/>
              <w:topLinePunct w:val="0"/>
              <w:bidi w:val="0"/>
              <w:spacing w:after="0"/>
              <w:ind w:firstLine="0" w:firstLineChars="0"/>
              <w:jc w:val="center"/>
              <w:rPr>
                <w:rFonts w:hint="eastAsia" w:cs="宋体"/>
                <w:color w:val="36363D"/>
                <w:lang w:eastAsia="en-US"/>
              </w:rPr>
            </w:pPr>
            <w:r>
              <w:rPr>
                <w:rFonts w:hint="eastAsia" w:cs="宋体"/>
                <w:color w:val="36363D"/>
              </w:rPr>
              <w:t>施工方案（10分）</w:t>
            </w:r>
          </w:p>
        </w:tc>
        <w:tc>
          <w:tcPr>
            <w:tcW w:w="6939" w:type="dxa"/>
            <w:shd w:val="clear" w:color="auto" w:fill="auto"/>
            <w:vAlign w:val="center"/>
          </w:tcPr>
          <w:p w14:paraId="41759E2E">
            <w:pPr>
              <w:pageBreakBefore w:val="0"/>
              <w:kinsoku/>
              <w:overflowPunct/>
              <w:topLinePunct w:val="0"/>
              <w:bidi w:val="0"/>
              <w:spacing w:after="0"/>
              <w:ind w:firstLine="0" w:firstLineChars="0"/>
              <w:jc w:val="left"/>
              <w:rPr>
                <w:rFonts w:hint="eastAsia" w:cs="宋体"/>
                <w:color w:val="36363D"/>
              </w:rPr>
            </w:pPr>
            <w:r>
              <w:rPr>
                <w:rFonts w:hint="eastAsia" w:cs="宋体"/>
                <w:color w:val="36363D"/>
              </w:rPr>
              <w:t>主要施工及技术方案，比如组件安装方案、支架安装方案、电气设备安装方案等方面进行描述，方案、措施切实可行，考虑全面的得7-10分；方案、措施可行，考虑比较全面的得3-6.9分；方案、措施不切实可行，考虑不全面的得0-2.9分；</w:t>
            </w:r>
          </w:p>
        </w:tc>
        <w:tc>
          <w:tcPr>
            <w:tcW w:w="893" w:type="dxa"/>
            <w:shd w:val="clear" w:color="auto" w:fill="auto"/>
            <w:vAlign w:val="center"/>
          </w:tcPr>
          <w:p w14:paraId="BE1DD895">
            <w:pPr>
              <w:pageBreakBefore w:val="0"/>
              <w:kinsoku/>
              <w:overflowPunct/>
              <w:topLinePunct w:val="0"/>
              <w:bidi w:val="0"/>
              <w:spacing w:after="0"/>
              <w:ind w:firstLine="0" w:firstLineChars="0"/>
              <w:jc w:val="center"/>
              <w:rPr>
                <w:rFonts w:hint="eastAsia" w:cs="宋体"/>
                <w:color w:val="36363D"/>
                <w:lang w:eastAsia="en-US"/>
              </w:rPr>
            </w:pPr>
            <w:r>
              <w:rPr>
                <w:rFonts w:hint="eastAsia" w:cs="宋体"/>
                <w:color w:val="36363D"/>
              </w:rPr>
              <w:t>10</w:t>
            </w:r>
          </w:p>
        </w:tc>
      </w:tr>
      <w:tr w14:paraId="179E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50" w:type="dxa"/>
            <w:vAlign w:val="center"/>
          </w:tcPr>
          <w:p w14:paraId="02AF5F13">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3</w:t>
            </w:r>
          </w:p>
        </w:tc>
        <w:tc>
          <w:tcPr>
            <w:tcW w:w="1455" w:type="dxa"/>
            <w:shd w:val="clear" w:color="auto" w:fill="auto"/>
            <w:vAlign w:val="center"/>
          </w:tcPr>
          <w:p w14:paraId="4C88A35C">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保证施工质量的技术方案和措施</w:t>
            </w:r>
          </w:p>
          <w:p w14:paraId="F9D83BD8">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（10分）</w:t>
            </w:r>
          </w:p>
        </w:tc>
        <w:tc>
          <w:tcPr>
            <w:tcW w:w="6939" w:type="dxa"/>
            <w:shd w:val="clear" w:color="auto" w:fill="auto"/>
            <w:vAlign w:val="center"/>
          </w:tcPr>
          <w:p w14:paraId="F278E919">
            <w:pPr>
              <w:pageBreakBefore w:val="0"/>
              <w:kinsoku/>
              <w:overflowPunct/>
              <w:topLinePunct w:val="0"/>
              <w:bidi w:val="0"/>
              <w:spacing w:after="0"/>
              <w:ind w:firstLine="0" w:firstLineChars="0"/>
              <w:jc w:val="left"/>
              <w:rPr>
                <w:rFonts w:hint="eastAsia" w:cs="宋体"/>
                <w:color w:val="36363D"/>
              </w:rPr>
            </w:pPr>
            <w:r>
              <w:rPr>
                <w:rFonts w:hint="eastAsia" w:cs="宋体"/>
                <w:color w:val="36363D"/>
              </w:rPr>
              <w:t>企业拥有健全的质量目标、施工质量管理体系，质量控制计划、现场质量检查措施及成品保护方案、关键环节质量保证措施完善合理、贯彻全过程达标要求、各阶段的质量控制方法。</w:t>
            </w:r>
          </w:p>
          <w:p w14:paraId="3ED14B97">
            <w:pPr>
              <w:pageBreakBefore w:val="0"/>
              <w:kinsoku/>
              <w:overflowPunct/>
              <w:topLinePunct w:val="0"/>
              <w:bidi w:val="0"/>
              <w:spacing w:after="0"/>
              <w:ind w:firstLine="0" w:firstLineChars="0"/>
              <w:jc w:val="left"/>
              <w:rPr>
                <w:rFonts w:hint="eastAsia" w:cs="宋体"/>
                <w:color w:val="36363D"/>
              </w:rPr>
            </w:pPr>
            <w:r>
              <w:rPr>
                <w:rFonts w:hint="eastAsia" w:cs="宋体"/>
                <w:color w:val="36363D"/>
              </w:rPr>
              <w:t>方案、措施切实可行，考虑全面的得7-10分；方案、措施可行，考虑比较全面的得3-6.9分；方案、措施不切实可行，考虑不全面的得0-2.9分；</w:t>
            </w:r>
          </w:p>
        </w:tc>
        <w:tc>
          <w:tcPr>
            <w:tcW w:w="893" w:type="dxa"/>
            <w:shd w:val="clear" w:color="auto" w:fill="auto"/>
            <w:vAlign w:val="center"/>
          </w:tcPr>
          <w:p w14:paraId="BB791136">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10</w:t>
            </w:r>
          </w:p>
        </w:tc>
      </w:tr>
      <w:tr w14:paraId="713F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0" w:type="dxa"/>
            <w:vAlign w:val="center"/>
          </w:tcPr>
          <w:p w14:paraId="6674D1BB">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4</w:t>
            </w:r>
          </w:p>
        </w:tc>
        <w:tc>
          <w:tcPr>
            <w:tcW w:w="1455" w:type="dxa"/>
            <w:shd w:val="clear" w:color="auto" w:fill="auto"/>
            <w:vAlign w:val="center"/>
          </w:tcPr>
          <w:p w14:paraId="7D2B9426">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保证项目实施的技术力量和人力资源安排（10分）</w:t>
            </w:r>
          </w:p>
        </w:tc>
        <w:tc>
          <w:tcPr>
            <w:tcW w:w="6939" w:type="dxa"/>
            <w:shd w:val="clear" w:color="auto" w:fill="auto"/>
            <w:vAlign w:val="center"/>
          </w:tcPr>
          <w:p w14:paraId="1377F1F6">
            <w:pPr>
              <w:pageBreakBefore w:val="0"/>
              <w:kinsoku/>
              <w:overflowPunct/>
              <w:topLinePunct w:val="0"/>
              <w:bidi w:val="0"/>
              <w:spacing w:after="0"/>
              <w:ind w:firstLine="0" w:firstLineChars="0"/>
              <w:jc w:val="left"/>
              <w:rPr>
                <w:rFonts w:hint="eastAsia" w:cs="宋体"/>
                <w:color w:val="36363D"/>
              </w:rPr>
            </w:pPr>
            <w:r>
              <w:rPr>
                <w:rFonts w:hint="eastAsia" w:cs="宋体"/>
                <w:color w:val="36363D"/>
              </w:rPr>
              <w:t>投标人为保证项目顺利实施提供的技术力量和人力资源安排。技术力量和人力资源安排充足合理的得7-10分；技术力量和人力资源安排比较充足得3-6.9分；技术力量欠缺、人力资源安排不足的得0-2.9分。</w:t>
            </w:r>
          </w:p>
        </w:tc>
        <w:tc>
          <w:tcPr>
            <w:tcW w:w="893" w:type="dxa"/>
            <w:shd w:val="clear" w:color="auto" w:fill="auto"/>
            <w:vAlign w:val="center"/>
          </w:tcPr>
          <w:p w14:paraId="8C41BF34">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10</w:t>
            </w:r>
          </w:p>
        </w:tc>
      </w:tr>
      <w:tr w14:paraId="E0B1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50" w:type="dxa"/>
            <w:vAlign w:val="center"/>
          </w:tcPr>
          <w:p w14:paraId="F3E0ECAD">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5</w:t>
            </w:r>
          </w:p>
        </w:tc>
        <w:tc>
          <w:tcPr>
            <w:tcW w:w="1455" w:type="dxa"/>
            <w:shd w:val="clear" w:color="auto" w:fill="auto"/>
            <w:vAlign w:val="center"/>
          </w:tcPr>
          <w:p w14:paraId="B4AE4634">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保证施工安全、文明的技术方案和措施（10分）</w:t>
            </w:r>
          </w:p>
        </w:tc>
        <w:tc>
          <w:tcPr>
            <w:tcW w:w="6939" w:type="dxa"/>
            <w:shd w:val="clear" w:color="auto" w:fill="auto"/>
            <w:vAlign w:val="center"/>
          </w:tcPr>
          <w:p w14:paraId="0580F021">
            <w:pPr>
              <w:pageBreakBefore w:val="0"/>
              <w:kinsoku/>
              <w:overflowPunct/>
              <w:topLinePunct w:val="0"/>
              <w:bidi w:val="0"/>
              <w:spacing w:after="0"/>
              <w:ind w:firstLine="0" w:firstLineChars="0"/>
              <w:jc w:val="left"/>
              <w:rPr>
                <w:rFonts w:hint="eastAsia" w:cs="宋体"/>
                <w:color w:val="36363D"/>
              </w:rPr>
            </w:pPr>
            <w:r>
              <w:rPr>
                <w:rFonts w:hint="eastAsia" w:cs="宋体"/>
                <w:color w:val="36363D"/>
              </w:rPr>
              <w:t>保证施工安全、文明的技术方案和措施及突发事件的应急方案及措施。方案及措施有针对性、切实可行的得7-10分；方案及措施比较有针对性、切实可行的得3-6.9分；方案及措施缺乏针对性、可行性不高的得0-2.9分。</w:t>
            </w:r>
          </w:p>
        </w:tc>
        <w:tc>
          <w:tcPr>
            <w:tcW w:w="893" w:type="dxa"/>
            <w:shd w:val="clear" w:color="auto" w:fill="auto"/>
            <w:vAlign w:val="center"/>
          </w:tcPr>
          <w:p w14:paraId="B02085FF">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10</w:t>
            </w:r>
          </w:p>
        </w:tc>
      </w:tr>
      <w:tr w14:paraId="3EDB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0" w:type="dxa"/>
            <w:tcBorders>
              <w:bottom w:val="single" w:color="auto" w:sz="4" w:space="0"/>
            </w:tcBorders>
            <w:vAlign w:val="center"/>
          </w:tcPr>
          <w:p w14:paraId="927E571D">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6</w:t>
            </w:r>
          </w:p>
        </w:tc>
        <w:tc>
          <w:tcPr>
            <w:tcW w:w="1455" w:type="dxa"/>
            <w:tcBorders>
              <w:bottom w:val="single" w:color="auto" w:sz="4" w:space="0"/>
            </w:tcBorders>
            <w:shd w:val="clear" w:color="auto" w:fill="auto"/>
            <w:vAlign w:val="center"/>
          </w:tcPr>
          <w:p w14:paraId="20DE6329">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验收及维保服务方案</w:t>
            </w:r>
          </w:p>
          <w:p w14:paraId="61394A4F">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（5分）</w:t>
            </w:r>
          </w:p>
        </w:tc>
        <w:tc>
          <w:tcPr>
            <w:tcW w:w="6939" w:type="dxa"/>
            <w:tcBorders>
              <w:bottom w:val="single" w:color="auto" w:sz="4" w:space="0"/>
            </w:tcBorders>
            <w:shd w:val="clear" w:color="auto" w:fill="auto"/>
            <w:vAlign w:val="center"/>
          </w:tcPr>
          <w:p w14:paraId="03EDBF02">
            <w:pPr>
              <w:pageBreakBefore w:val="0"/>
              <w:kinsoku/>
              <w:overflowPunct/>
              <w:topLinePunct w:val="0"/>
              <w:bidi w:val="0"/>
              <w:spacing w:after="0"/>
              <w:ind w:firstLine="0" w:firstLineChars="0"/>
              <w:jc w:val="left"/>
              <w:rPr>
                <w:rFonts w:hint="eastAsia" w:cs="宋体"/>
                <w:color w:val="36363D"/>
              </w:rPr>
            </w:pPr>
            <w:r>
              <w:rPr>
                <w:rFonts w:hint="eastAsia" w:cs="宋体"/>
                <w:color w:val="36363D"/>
              </w:rPr>
              <w:t>针对分布式光伏项目的验收及维保方案、保障措施落实、保修期内外后续服务承诺等。方案合理、可行的得3-5分；比较合理、可行的得1-2.9分；方案不合理、可行性较差的得0-0.9分；</w:t>
            </w:r>
          </w:p>
        </w:tc>
        <w:tc>
          <w:tcPr>
            <w:tcW w:w="893" w:type="dxa"/>
            <w:tcBorders>
              <w:bottom w:val="single" w:color="auto" w:sz="4" w:space="0"/>
            </w:tcBorders>
            <w:shd w:val="clear" w:color="auto" w:fill="auto"/>
            <w:vAlign w:val="center"/>
          </w:tcPr>
          <w:p w14:paraId="490378FB">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5</w:t>
            </w:r>
          </w:p>
        </w:tc>
      </w:tr>
      <w:tr w14:paraId="781E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14:paraId="0E4B3590">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7</w:t>
            </w:r>
          </w:p>
        </w:tc>
        <w:tc>
          <w:tcPr>
            <w:tcW w:w="14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CA538517">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系统运维</w:t>
            </w:r>
          </w:p>
          <w:p w14:paraId="3A1B73B0">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（10分）</w:t>
            </w:r>
          </w:p>
        </w:tc>
        <w:tc>
          <w:tcPr>
            <w:tcW w:w="6939" w:type="dxa"/>
            <w:tcBorders>
              <w:top w:val="single" w:color="auto" w:sz="4" w:space="0"/>
              <w:left w:val="single" w:color="auto" w:sz="4" w:space="0"/>
              <w:bottom w:val="single" w:color="auto" w:sz="4" w:space="0"/>
              <w:right w:val="single" w:color="auto" w:sz="4" w:space="0"/>
            </w:tcBorders>
            <w:shd w:val="clear" w:color="auto" w:fill="auto"/>
            <w:vAlign w:val="center"/>
          </w:tcPr>
          <w:p w14:paraId="0AEBD388">
            <w:pPr>
              <w:pageBreakBefore w:val="0"/>
              <w:kinsoku/>
              <w:overflowPunct/>
              <w:topLinePunct w:val="0"/>
              <w:bidi w:val="0"/>
              <w:spacing w:after="0"/>
              <w:ind w:firstLine="0" w:firstLineChars="0"/>
              <w:jc w:val="left"/>
              <w:rPr>
                <w:rFonts w:hint="eastAsia" w:cs="宋体"/>
                <w:color w:val="36363D"/>
              </w:rPr>
            </w:pPr>
            <w:r>
              <w:rPr>
                <w:rFonts w:hint="eastAsia" w:cs="宋体"/>
                <w:color w:val="36363D"/>
              </w:rPr>
              <w:t>投标人拥有合理的运维方案，保证电站安全可靠性，提高电站的发电量。针对环境和气候条件，能及时找到影响发电量的主要因素，并制定合理的方案，减少损耗等。</w:t>
            </w:r>
          </w:p>
          <w:p w14:paraId="C945ACDF">
            <w:pPr>
              <w:pageBreakBefore w:val="0"/>
              <w:kinsoku/>
              <w:overflowPunct/>
              <w:topLinePunct w:val="0"/>
              <w:bidi w:val="0"/>
              <w:spacing w:after="0"/>
              <w:ind w:firstLine="0" w:firstLineChars="0"/>
              <w:jc w:val="left"/>
              <w:rPr>
                <w:rFonts w:hint="eastAsia" w:cs="宋体"/>
                <w:color w:val="36363D"/>
              </w:rPr>
            </w:pPr>
            <w:r>
              <w:rPr>
                <w:rFonts w:hint="eastAsia" w:cs="宋体"/>
                <w:color w:val="36363D"/>
              </w:rPr>
              <w:t>方案完善可行、符合项目实际需要、科学高效的，得4-5分；</w:t>
            </w:r>
          </w:p>
          <w:p w14:paraId="02A78DE7">
            <w:pPr>
              <w:pageBreakBefore w:val="0"/>
              <w:kinsoku/>
              <w:overflowPunct/>
              <w:topLinePunct w:val="0"/>
              <w:bidi w:val="0"/>
              <w:spacing w:after="0"/>
              <w:ind w:firstLine="0" w:firstLineChars="0"/>
              <w:jc w:val="left"/>
              <w:rPr>
                <w:rFonts w:hint="eastAsia" w:cs="宋体"/>
                <w:color w:val="36363D"/>
              </w:rPr>
            </w:pPr>
            <w:r>
              <w:rPr>
                <w:rFonts w:hint="eastAsia" w:cs="宋体"/>
                <w:color w:val="36363D"/>
              </w:rPr>
              <w:t>方案较为完善可行，基本符合项目实际需要、科学高效的，得2-3.9分；</w:t>
            </w:r>
          </w:p>
          <w:p w14:paraId="334715FD">
            <w:pPr>
              <w:pageBreakBefore w:val="0"/>
              <w:kinsoku/>
              <w:overflowPunct/>
              <w:topLinePunct w:val="0"/>
              <w:bidi w:val="0"/>
              <w:spacing w:after="0"/>
              <w:ind w:firstLine="0" w:firstLineChars="0"/>
              <w:jc w:val="left"/>
              <w:rPr>
                <w:rFonts w:hint="eastAsia" w:cs="宋体"/>
                <w:color w:val="36363D"/>
              </w:rPr>
            </w:pPr>
            <w:r>
              <w:rPr>
                <w:rFonts w:hint="eastAsia" w:cs="宋体"/>
                <w:color w:val="36363D"/>
              </w:rPr>
              <w:t>方案基本可行，项目实际需要的符合性、科学性有所欠缺得0-1.9分，没有不得分。</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E52A2FA5">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5</w:t>
            </w:r>
          </w:p>
        </w:tc>
      </w:tr>
      <w:tr w14:paraId="392C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589173ED">
            <w:pPr>
              <w:pageBreakBefore w:val="0"/>
              <w:kinsoku/>
              <w:overflowPunct/>
              <w:topLinePunct w:val="0"/>
              <w:bidi w:val="0"/>
              <w:spacing w:after="0"/>
              <w:ind w:firstLine="0" w:firstLineChars="0"/>
              <w:jc w:val="center"/>
              <w:rPr>
                <w:rFonts w:hint="eastAsia" w:cs="宋体"/>
                <w:color w:val="36363D"/>
              </w:rPr>
            </w:pPr>
          </w:p>
        </w:tc>
        <w:tc>
          <w:tcPr>
            <w:tcW w:w="14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8AC28F26">
            <w:pPr>
              <w:pageBreakBefore w:val="0"/>
              <w:kinsoku/>
              <w:overflowPunct/>
              <w:topLinePunct w:val="0"/>
              <w:bidi w:val="0"/>
              <w:spacing w:after="0"/>
              <w:ind w:firstLine="0" w:firstLineChars="0"/>
              <w:jc w:val="center"/>
              <w:rPr>
                <w:rFonts w:hint="eastAsia" w:cs="宋体"/>
                <w:color w:val="36363D"/>
              </w:rPr>
            </w:pPr>
          </w:p>
        </w:tc>
        <w:tc>
          <w:tcPr>
            <w:tcW w:w="6939" w:type="dxa"/>
            <w:tcBorders>
              <w:top w:val="single" w:color="auto" w:sz="4" w:space="0"/>
              <w:left w:val="single" w:color="auto" w:sz="4" w:space="0"/>
              <w:right w:val="single" w:color="auto" w:sz="4" w:space="0"/>
            </w:tcBorders>
            <w:shd w:val="clear" w:color="auto" w:fill="auto"/>
            <w:vAlign w:val="center"/>
          </w:tcPr>
          <w:p w14:paraId="39CAACDC">
            <w:pPr>
              <w:pageBreakBefore w:val="0"/>
              <w:kinsoku/>
              <w:overflowPunct/>
              <w:topLinePunct w:val="0"/>
              <w:bidi w:val="0"/>
              <w:spacing w:after="0"/>
              <w:ind w:firstLine="0" w:firstLineChars="0"/>
              <w:jc w:val="left"/>
              <w:rPr>
                <w:rFonts w:hint="eastAsia" w:cs="宋体"/>
                <w:color w:val="36363D"/>
              </w:rPr>
            </w:pPr>
            <w:r>
              <w:rPr>
                <w:rFonts w:hint="eastAsia" w:cs="宋体"/>
                <w:color w:val="36363D"/>
              </w:rPr>
              <w:t>投标人采用行业内领先的电站运维系统，可以实时监测光伏电站发电情况，对发电数据进行统计分析。</w:t>
            </w:r>
          </w:p>
          <w:p w14:paraId="9BD40CD0">
            <w:pPr>
              <w:pageBreakBefore w:val="0"/>
              <w:kinsoku/>
              <w:overflowPunct/>
              <w:topLinePunct w:val="0"/>
              <w:bidi w:val="0"/>
              <w:spacing w:after="0"/>
              <w:ind w:firstLine="0" w:firstLineChars="0"/>
              <w:jc w:val="left"/>
              <w:rPr>
                <w:rFonts w:hint="eastAsia" w:cs="宋体"/>
                <w:color w:val="36363D"/>
              </w:rPr>
            </w:pPr>
            <w:r>
              <w:rPr>
                <w:rFonts w:hint="eastAsia" w:cs="宋体"/>
                <w:color w:val="36363D"/>
              </w:rPr>
              <w:t>系统优秀的得4-5分；系统良好的得2-3.9分；系统一般的得0-1.9分。</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DF7BDDB3">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5</w:t>
            </w:r>
          </w:p>
        </w:tc>
      </w:tr>
      <w:tr w14:paraId="F639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F57243CA">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8</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4EFB6D4">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专利证书（5分）</w:t>
            </w:r>
          </w:p>
        </w:tc>
        <w:tc>
          <w:tcPr>
            <w:tcW w:w="6939" w:type="dxa"/>
            <w:tcBorders>
              <w:top w:val="single" w:color="auto" w:sz="4" w:space="0"/>
              <w:left w:val="single" w:color="auto" w:sz="4" w:space="0"/>
              <w:right w:val="single" w:color="auto" w:sz="4" w:space="0"/>
            </w:tcBorders>
            <w:shd w:val="clear" w:color="auto" w:fill="auto"/>
            <w:vAlign w:val="center"/>
          </w:tcPr>
          <w:p w14:paraId="476179DF">
            <w:pPr>
              <w:pageBreakBefore w:val="0"/>
              <w:kinsoku/>
              <w:overflowPunct/>
              <w:topLinePunct w:val="0"/>
              <w:bidi w:val="0"/>
              <w:spacing w:after="0"/>
              <w:ind w:firstLine="0" w:firstLineChars="0"/>
              <w:jc w:val="left"/>
              <w:rPr>
                <w:rFonts w:hint="eastAsia" w:cs="宋体"/>
                <w:color w:val="36363D"/>
              </w:rPr>
            </w:pPr>
            <w:r>
              <w:rPr>
                <w:rFonts w:hint="eastAsia" w:cs="宋体"/>
                <w:color w:val="36363D"/>
              </w:rPr>
              <w:t>投标人(包括子公司)具有分布式光伏较为广泛使用到的专利证书，需为投标人(包括子公司)名下自身持有，每个得0.5</w:t>
            </w:r>
          </w:p>
          <w:p w14:paraId="0EB658DE">
            <w:pPr>
              <w:pageBreakBefore w:val="0"/>
              <w:kinsoku/>
              <w:overflowPunct/>
              <w:topLinePunct w:val="0"/>
              <w:bidi w:val="0"/>
              <w:spacing w:after="0"/>
              <w:ind w:firstLine="0" w:firstLineChars="0"/>
              <w:jc w:val="left"/>
              <w:rPr>
                <w:rFonts w:hint="eastAsia" w:cs="宋体"/>
                <w:color w:val="36363D"/>
              </w:rPr>
            </w:pPr>
            <w:r>
              <w:rPr>
                <w:rFonts w:hint="eastAsia" w:cs="宋体"/>
                <w:color w:val="36363D"/>
              </w:rPr>
              <w:t>分，满分5分。</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72688B1B">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5</w:t>
            </w:r>
          </w:p>
        </w:tc>
      </w:tr>
      <w:tr w14:paraId="B3C4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037" w:type="dxa"/>
            <w:gridSpan w:val="4"/>
            <w:vAlign w:val="center"/>
          </w:tcPr>
          <w:p w14:paraId="78ED7307">
            <w:pPr>
              <w:pageBreakBefore w:val="0"/>
              <w:kinsoku/>
              <w:overflowPunct/>
              <w:topLinePunct w:val="0"/>
              <w:bidi w:val="0"/>
              <w:spacing w:after="0"/>
              <w:ind w:firstLine="0" w:firstLineChars="0"/>
              <w:jc w:val="center"/>
              <w:rPr>
                <w:rFonts w:hint="eastAsia" w:cs="宋体"/>
                <w:color w:val="36363D"/>
              </w:rPr>
            </w:pPr>
            <w:r>
              <w:rPr>
                <w:rFonts w:hint="eastAsia" w:cs="宋体"/>
                <w:b/>
                <w:bCs/>
                <w:color w:val="36363D"/>
              </w:rPr>
              <w:t>报价分（30分）</w:t>
            </w:r>
          </w:p>
        </w:tc>
      </w:tr>
      <w:tr w14:paraId="C6E7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750" w:type="dxa"/>
            <w:vAlign w:val="center"/>
          </w:tcPr>
          <w:p w14:paraId="69C3A866">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9</w:t>
            </w:r>
          </w:p>
        </w:tc>
        <w:tc>
          <w:tcPr>
            <w:tcW w:w="1455" w:type="dxa"/>
            <w:vAlign w:val="center"/>
          </w:tcPr>
          <w:p w14:paraId="019D2614">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价格分</w:t>
            </w:r>
          </w:p>
        </w:tc>
        <w:tc>
          <w:tcPr>
            <w:tcW w:w="6939" w:type="dxa"/>
            <w:vAlign w:val="center"/>
          </w:tcPr>
          <w:p w14:paraId="224238FF">
            <w:pPr>
              <w:pageBreakBefore w:val="0"/>
              <w:kinsoku/>
              <w:overflowPunct/>
              <w:topLinePunct w:val="0"/>
              <w:bidi w:val="0"/>
              <w:spacing w:after="0"/>
              <w:ind w:firstLine="0" w:firstLineChars="0"/>
              <w:jc w:val="left"/>
              <w:rPr>
                <w:rFonts w:hint="eastAsia" w:cs="宋体"/>
                <w:color w:val="36363D"/>
              </w:rPr>
            </w:pPr>
            <w:r>
              <w:rPr>
                <w:rFonts w:hint="eastAsia" w:cs="宋体"/>
                <w:bCs/>
                <w:color w:val="36363D"/>
                <w:lang w:val="zh-CN"/>
              </w:rPr>
              <w:t>投标人电价优惠报价折扣率按</w:t>
            </w:r>
            <w:r>
              <w:rPr>
                <w:rFonts w:hint="eastAsia" w:cs="宋体"/>
                <w:color w:val="36363D"/>
                <w:kern w:val="0"/>
              </w:rPr>
              <w:t>政府（供电公司）供电基准电价</w:t>
            </w:r>
            <w:r>
              <w:rPr>
                <w:rFonts w:hint="eastAsia" w:cs="宋体"/>
                <w:bCs/>
                <w:color w:val="36363D"/>
                <w:lang w:val="zh-CN"/>
              </w:rPr>
              <w:t>报价77%得分30分，报价按2%的整数倍数累计，每增加2%，减0.25分，即79%得分为29.75分，超过93%的报价无效（有效报价为77%、79%、81%、83%、85%、87%、89%、91%、93%），其他报价均为无效；</w:t>
            </w:r>
          </w:p>
        </w:tc>
        <w:tc>
          <w:tcPr>
            <w:tcW w:w="893" w:type="dxa"/>
            <w:vAlign w:val="center"/>
          </w:tcPr>
          <w:p w14:paraId="B81CB77E">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0-30分</w:t>
            </w:r>
          </w:p>
        </w:tc>
      </w:tr>
    </w:tbl>
    <w:p w14:paraId="3A3420D1">
      <w:pPr>
        <w:pStyle w:val="54"/>
        <w:pageBreakBefore w:val="0"/>
        <w:kinsoku/>
        <w:overflowPunct/>
        <w:topLinePunct w:val="0"/>
        <w:bidi w:val="0"/>
        <w:spacing w:before="0" w:after="0"/>
        <w:ind w:firstLine="536"/>
        <w:rPr>
          <w:color w:val="36363D"/>
        </w:rPr>
      </w:pPr>
      <w:r>
        <w:rPr>
          <w:rFonts w:hint="eastAsia" w:cs="宋体"/>
          <w:color w:val="36363D"/>
          <w:spacing w:val="14"/>
        </w:rPr>
        <w:t>打分说明：</w:t>
      </w:r>
      <w:r>
        <w:rPr>
          <w:rFonts w:hint="eastAsia" w:cs="宋体"/>
          <w:color w:val="36363D"/>
        </w:rPr>
        <w:t>各评委</w:t>
      </w:r>
      <w:r>
        <w:rPr>
          <w:rFonts w:hint="eastAsia" w:cs="宋体"/>
          <w:color w:val="36363D"/>
          <w:spacing w:val="14"/>
        </w:rPr>
        <w:t>根据评标情况</w:t>
      </w:r>
      <w:r>
        <w:rPr>
          <w:rFonts w:hint="eastAsia" w:cs="宋体"/>
          <w:color w:val="36363D"/>
        </w:rPr>
        <w:t>进行独立评估打分</w:t>
      </w:r>
      <w:r>
        <w:rPr>
          <w:rFonts w:hint="eastAsia" w:cs="宋体"/>
          <w:color w:val="36363D"/>
          <w:spacing w:val="14"/>
        </w:rPr>
        <w:t>，每栏分值不得超出本栏规定的分值范围；</w:t>
      </w:r>
      <w:bookmarkStart w:id="181" w:name="_Toc11369"/>
    </w:p>
    <w:p w14:paraId="6277991F">
      <w:pPr>
        <w:pStyle w:val="3"/>
        <w:pageBreakBefore w:val="0"/>
        <w:kinsoku/>
        <w:overflowPunct/>
        <w:topLinePunct w:val="0"/>
        <w:bidi w:val="0"/>
        <w:spacing w:after="0"/>
        <w:ind w:firstLine="3428" w:firstLineChars="1067"/>
        <w:jc w:val="both"/>
        <w:rPr>
          <w:rFonts w:hint="eastAsia" w:cs="宋体"/>
          <w:color w:val="36363D"/>
          <w:szCs w:val="32"/>
        </w:rPr>
      </w:pPr>
      <w:r>
        <w:rPr>
          <w:rFonts w:hint="eastAsia" w:cs="宋体"/>
          <w:color w:val="36363D"/>
          <w:szCs w:val="32"/>
        </w:rPr>
        <w:br w:type="page"/>
      </w:r>
    </w:p>
    <w:p w14:paraId="E9DE3C2F">
      <w:pPr>
        <w:pStyle w:val="3"/>
        <w:pageBreakBefore w:val="0"/>
        <w:kinsoku/>
        <w:overflowPunct/>
        <w:topLinePunct w:val="0"/>
        <w:bidi w:val="0"/>
        <w:spacing w:after="0"/>
        <w:ind w:firstLine="3428" w:firstLineChars="1067"/>
        <w:jc w:val="both"/>
        <w:rPr>
          <w:rFonts w:hint="eastAsia" w:cs="宋体"/>
          <w:color w:val="36363D"/>
          <w:szCs w:val="32"/>
        </w:rPr>
      </w:pPr>
      <w:bookmarkStart w:id="182" w:name="_Toc6575"/>
      <w:r>
        <w:rPr>
          <w:rFonts w:hint="eastAsia" w:cs="宋体"/>
          <w:color w:val="36363D"/>
          <w:szCs w:val="32"/>
        </w:rPr>
        <w:t>第五章 合同格式</w:t>
      </w:r>
      <w:bookmarkEnd w:id="172"/>
      <w:bookmarkEnd w:id="173"/>
      <w:bookmarkEnd w:id="181"/>
      <w:bookmarkEnd w:id="182"/>
    </w:p>
    <w:p w14:paraId="56EB1637">
      <w:pPr>
        <w:pageBreakBefore w:val="0"/>
        <w:kinsoku/>
        <w:overflowPunct/>
        <w:topLinePunct w:val="0"/>
        <w:bidi w:val="0"/>
        <w:spacing w:after="0"/>
        <w:ind w:firstLine="480"/>
        <w:jc w:val="center"/>
        <w:rPr>
          <w:rFonts w:hint="eastAsia" w:ascii="黑体" w:eastAsia="黑体"/>
          <w:color w:val="36363D"/>
        </w:rPr>
      </w:pPr>
      <w:bookmarkStart w:id="183" w:name="_Toc27145"/>
      <w:bookmarkStart w:id="184" w:name="_Toc12240"/>
      <w:bookmarkStart w:id="185" w:name="_Toc450840088"/>
      <w:r>
        <w:rPr>
          <w:rFonts w:hint="eastAsia" w:ascii="黑体" w:eastAsia="黑体"/>
          <w:color w:val="36363D"/>
        </w:rPr>
        <w:t>（</w:t>
      </w:r>
      <w:r>
        <w:rPr>
          <w:rFonts w:hint="eastAsia"/>
          <w:color w:val="36363D"/>
        </w:rPr>
        <w:t>本合同仅供参考，具体条款以签订合同为准</w:t>
      </w:r>
      <w:r>
        <w:rPr>
          <w:rFonts w:hint="eastAsia" w:ascii="黑体" w:eastAsia="黑体"/>
          <w:color w:val="36363D"/>
        </w:rPr>
        <w:t>）</w:t>
      </w:r>
    </w:p>
    <w:p w14:paraId="E5C9D2BC">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项目名称：</w:t>
      </w:r>
    </w:p>
    <w:p w14:paraId="14333DC8">
      <w:pPr>
        <w:pStyle w:val="42"/>
        <w:pageBreakBefore w:val="0"/>
        <w:kinsoku/>
        <w:overflowPunct/>
        <w:topLinePunct w:val="0"/>
        <w:bidi w:val="0"/>
        <w:spacing w:before="0" w:after="0" w:line="360" w:lineRule="auto"/>
        <w:ind w:firstLine="0" w:firstLineChars="0"/>
        <w:rPr>
          <w:bCs/>
          <w:color w:val="36363D"/>
        </w:rPr>
      </w:pPr>
      <w:r>
        <w:rPr>
          <w:bCs/>
          <w:color w:val="36363D"/>
          <w:szCs w:val="24"/>
        </w:rPr>
        <w:t>项目编号：</w:t>
      </w:r>
    </w:p>
    <w:p w14:paraId="3D2AF1ED">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甲方：（买方）</w:t>
      </w:r>
    </w:p>
    <w:p w14:paraId="59A4E9A6">
      <w:pPr>
        <w:pStyle w:val="42"/>
        <w:pageBreakBefore w:val="0"/>
        <w:kinsoku/>
        <w:overflowPunct/>
        <w:topLinePunct w:val="0"/>
        <w:bidi w:val="0"/>
        <w:spacing w:before="0" w:after="0" w:line="360" w:lineRule="auto"/>
        <w:ind w:firstLine="0" w:firstLineChars="0"/>
        <w:rPr>
          <w:bCs/>
          <w:color w:val="36363D"/>
        </w:rPr>
      </w:pPr>
      <w:r>
        <w:rPr>
          <w:bCs/>
          <w:color w:val="36363D"/>
          <w:szCs w:val="24"/>
        </w:rPr>
        <w:t>乙方：（投标人）</w:t>
      </w:r>
    </w:p>
    <w:p w14:paraId="3013FC41">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 xml:space="preserve">   甲、乙双方根据  关于ABC单位XYZ项目  公开招标  的结果，签署本合同。</w:t>
      </w:r>
    </w:p>
    <w:p w14:paraId="F7C57FBD">
      <w:pPr>
        <w:pStyle w:val="42"/>
        <w:pageBreakBefore w:val="0"/>
        <w:kinsoku/>
        <w:overflowPunct/>
        <w:topLinePunct w:val="0"/>
        <w:bidi w:val="0"/>
        <w:spacing w:before="0" w:after="0" w:line="360" w:lineRule="auto"/>
        <w:ind w:firstLine="0" w:firstLineChars="0"/>
        <w:rPr>
          <w:bCs/>
          <w:color w:val="36363D"/>
        </w:rPr>
      </w:pPr>
      <w:r>
        <w:rPr>
          <w:bCs/>
          <w:color w:val="36363D"/>
          <w:szCs w:val="24"/>
        </w:rPr>
        <w:t>一、</w:t>
      </w:r>
      <w:r>
        <w:rPr>
          <w:rFonts w:hint="eastAsia"/>
          <w:bCs/>
          <w:color w:val="36363D"/>
          <w:szCs w:val="24"/>
        </w:rPr>
        <w:t>项目</w:t>
      </w:r>
      <w:r>
        <w:rPr>
          <w:bCs/>
          <w:color w:val="36363D"/>
          <w:szCs w:val="24"/>
        </w:rPr>
        <w:t>内容</w:t>
      </w:r>
    </w:p>
    <w:p w14:paraId="D06664AD">
      <w:pPr>
        <w:pageBreakBefore w:val="0"/>
        <w:kinsoku/>
        <w:overflowPunct/>
        <w:topLinePunct w:val="0"/>
        <w:bidi w:val="0"/>
        <w:spacing w:after="0"/>
        <w:ind w:firstLine="0" w:firstLineChars="0"/>
        <w:rPr>
          <w:rFonts w:ascii="Times New Roman" w:hAnsi="Times New Roman"/>
          <w:bCs/>
          <w:color w:val="36363D"/>
        </w:rPr>
      </w:pPr>
    </w:p>
    <w:p w14:paraId="7EE978F3">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二、</w:t>
      </w:r>
      <w:r>
        <w:rPr>
          <w:rFonts w:cs="宋体"/>
          <w:color w:val="36363D"/>
        </w:rPr>
        <w:t>项目期限</w:t>
      </w:r>
      <w:r>
        <w:rPr>
          <w:rFonts w:hint="eastAsia" w:cs="宋体"/>
          <w:color w:val="36363D"/>
        </w:rPr>
        <w:t>及建设期</w:t>
      </w:r>
    </w:p>
    <w:p w14:paraId="F69A0E7C">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1.</w:t>
      </w:r>
      <w:r>
        <w:rPr>
          <w:rFonts w:hint="eastAsia" w:ascii="Times New Roman" w:hAnsi="Times New Roman"/>
          <w:bCs/>
          <w:color w:val="36363D"/>
        </w:rPr>
        <w:t>项目期限为25年（自光伏电站并网发电日起开始计算，采用20+5年模式，首次合同签署20年，考核合格后再续签5年），在此期间，任何一方发生分立、合并情形，本协议对各方权利义务承继者继续有效。建设期为3个月，自项目合规性手续办完起计算，建成并网发电之日止。</w:t>
      </w:r>
    </w:p>
    <w:p w14:paraId="419A92DF">
      <w:pPr>
        <w:pStyle w:val="2"/>
        <w:pageBreakBefore w:val="0"/>
        <w:kinsoku/>
        <w:overflowPunct/>
        <w:topLinePunct w:val="0"/>
        <w:bidi w:val="0"/>
        <w:spacing w:after="0" w:line="360" w:lineRule="auto"/>
        <w:rPr>
          <w:b w:val="0"/>
          <w:color w:val="36363D"/>
          <w:sz w:val="24"/>
        </w:rPr>
      </w:pPr>
      <w:r>
        <w:rPr>
          <w:rFonts w:hint="eastAsia"/>
          <w:b w:val="0"/>
          <w:color w:val="36363D"/>
          <w:sz w:val="24"/>
        </w:rPr>
        <w:t>2.合作期满后，项目所投入的资产产权归属于甲方所有，甲方无需补偿乙方。</w:t>
      </w:r>
    </w:p>
    <w:p w14:paraId="1998C8E6">
      <w:pPr>
        <w:pageBreakBefore w:val="0"/>
        <w:kinsoku/>
        <w:overflowPunct/>
        <w:topLinePunct w:val="0"/>
        <w:bidi w:val="0"/>
        <w:spacing w:after="0"/>
        <w:ind w:firstLine="0" w:firstLineChars="0"/>
        <w:rPr>
          <w:rFonts w:ascii="Times New Roman" w:hAnsi="Times New Roman"/>
          <w:bCs/>
          <w:color w:val="36363D"/>
        </w:rPr>
      </w:pPr>
      <w:r>
        <w:rPr>
          <w:rFonts w:hint="eastAsia" w:ascii="Times New Roman" w:hAnsi="Times New Roman"/>
          <w:bCs/>
          <w:color w:val="36363D"/>
        </w:rPr>
        <w:t>三、付款方式</w:t>
      </w:r>
    </w:p>
    <w:p w14:paraId="4135A69F">
      <w:pPr>
        <w:pageBreakBefore w:val="0"/>
        <w:kinsoku/>
        <w:overflowPunct/>
        <w:topLinePunct w:val="0"/>
        <w:bidi w:val="0"/>
        <w:spacing w:after="0"/>
        <w:ind w:firstLine="0" w:firstLineChars="0"/>
        <w:rPr>
          <w:rFonts w:ascii="Times New Roman" w:hAnsi="Times New Roman"/>
          <w:bCs/>
          <w:color w:val="36363D"/>
        </w:rPr>
      </w:pPr>
      <w:r>
        <w:rPr>
          <w:rFonts w:hint="eastAsia" w:ascii="Times New Roman" w:hAnsi="Times New Roman"/>
          <w:bCs/>
          <w:color w:val="36363D"/>
        </w:rPr>
        <w:t>1</w:t>
      </w:r>
      <w:r>
        <w:rPr>
          <w:rFonts w:ascii="Times New Roman" w:hAnsi="Times New Roman"/>
          <w:bCs/>
          <w:color w:val="36363D"/>
        </w:rPr>
        <w:t>.</w:t>
      </w:r>
      <w:r>
        <w:rPr>
          <w:rFonts w:hint="eastAsia" w:ascii="Times New Roman" w:hAnsi="Times New Roman"/>
          <w:bCs/>
          <w:color w:val="36363D"/>
        </w:rPr>
        <w:t>向甲方收取的电价=政府（供电公司）供电基准电价（以结算日实际基准电价为准）×中标费率</w:t>
      </w:r>
      <w:r>
        <w:rPr>
          <w:rFonts w:hint="eastAsia" w:cs="宋体"/>
          <w:color w:val="36363D"/>
          <w:kern w:val="0"/>
          <w:sz w:val="28"/>
          <w:szCs w:val="28"/>
          <w:u w:val="single"/>
        </w:rPr>
        <w:t xml:space="preserve">   </w:t>
      </w:r>
      <w:r>
        <w:rPr>
          <w:rFonts w:hint="eastAsia" w:cs="宋体"/>
          <w:color w:val="36363D"/>
          <w:kern w:val="0"/>
          <w:sz w:val="28"/>
          <w:szCs w:val="28"/>
        </w:rPr>
        <w:t>。</w:t>
      </w:r>
      <w:r>
        <w:rPr>
          <w:rFonts w:hint="eastAsia" w:ascii="Times New Roman" w:hAnsi="Times New Roman"/>
          <w:bCs/>
          <w:color w:val="36363D"/>
        </w:rPr>
        <w:t>甲方按合同电价及实际用电量支付光伏电费。光伏电站发电量以宁波供电公司安装的计量电表的记录数据为准，记录数据作为双方计算用电量与光伏电费的唯一依据。甲方承诺在合同期限内的用电过程中优先使用乙方光伏项日所发电能。合同期内，中标费率不变。</w:t>
      </w:r>
    </w:p>
    <w:p w14:paraId="61C6623D">
      <w:pPr>
        <w:pStyle w:val="2"/>
        <w:pageBreakBefore w:val="0"/>
        <w:kinsoku/>
        <w:overflowPunct/>
        <w:topLinePunct w:val="0"/>
        <w:bidi w:val="0"/>
        <w:spacing w:after="0" w:line="360" w:lineRule="auto"/>
        <w:rPr>
          <w:b w:val="0"/>
          <w:color w:val="36363D"/>
          <w:sz w:val="24"/>
        </w:rPr>
      </w:pPr>
      <w:r>
        <w:rPr>
          <w:rFonts w:hint="eastAsia"/>
          <w:b w:val="0"/>
          <w:color w:val="36363D"/>
          <w:sz w:val="24"/>
        </w:rPr>
        <w:t>2.付款时间：</w:t>
      </w:r>
    </w:p>
    <w:p w14:paraId="DBF941F4">
      <w:pPr>
        <w:pStyle w:val="2"/>
        <w:pageBreakBefore w:val="0"/>
        <w:kinsoku/>
        <w:overflowPunct/>
        <w:topLinePunct w:val="0"/>
        <w:bidi w:val="0"/>
        <w:spacing w:after="0" w:line="360" w:lineRule="auto"/>
        <w:rPr>
          <w:b w:val="0"/>
          <w:color w:val="36363D"/>
          <w:sz w:val="24"/>
        </w:rPr>
      </w:pPr>
      <w:r>
        <w:rPr>
          <w:rFonts w:hint="eastAsia"/>
          <w:b w:val="0"/>
          <w:color w:val="36363D"/>
          <w:sz w:val="24"/>
        </w:rPr>
        <w:t>3.合作期限内，以甲方为主体利用本项目获取的一切奖励和补贴及其他权益均归甲方享有，以乙方为主体利用项目获取的一切奖励和补贴及其他权益均归乙方享有，其中本项目中给予提供光伏电站建设屋顶的企业产生的补贴（如有）则归甲方所有。</w:t>
      </w:r>
    </w:p>
    <w:p w14:paraId="95CCB5F3">
      <w:pPr>
        <w:pStyle w:val="42"/>
        <w:pageBreakBefore w:val="0"/>
        <w:kinsoku/>
        <w:overflowPunct/>
        <w:topLinePunct w:val="0"/>
        <w:bidi w:val="0"/>
        <w:spacing w:before="0" w:after="0" w:line="360" w:lineRule="auto"/>
        <w:ind w:firstLine="0" w:firstLineChars="0"/>
        <w:rPr>
          <w:bCs/>
          <w:color w:val="36363D"/>
        </w:rPr>
      </w:pPr>
      <w:r>
        <w:rPr>
          <w:bCs/>
          <w:color w:val="36363D"/>
          <w:szCs w:val="24"/>
        </w:rPr>
        <w:t>四、</w:t>
      </w:r>
      <w:r>
        <w:rPr>
          <w:rFonts w:ascii="宋体" w:hAnsi="宋体" w:cs="宋体"/>
          <w:color w:val="36363D"/>
          <w:szCs w:val="24"/>
        </w:rPr>
        <w:t>甲方职责</w:t>
      </w:r>
    </w:p>
    <w:p w14:paraId="C924E602">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hint="eastAsia" w:ascii="宋体" w:hAnsi="宋体" w:cs="宋体"/>
          <w:color w:val="36363D"/>
          <w:szCs w:val="24"/>
        </w:rPr>
        <w:t>4</w:t>
      </w:r>
      <w:r>
        <w:rPr>
          <w:rFonts w:ascii="宋体" w:hAnsi="宋体" w:cs="宋体"/>
          <w:color w:val="36363D"/>
          <w:szCs w:val="24"/>
        </w:rPr>
        <w:t xml:space="preserve">.1 </w:t>
      </w:r>
      <w:r>
        <w:rPr>
          <w:rFonts w:hint="eastAsia" w:ascii="宋体" w:hAnsi="宋体" w:cs="宋体"/>
          <w:color w:val="36363D"/>
          <w:szCs w:val="24"/>
        </w:rPr>
        <w:t>甲方在乙方</w:t>
      </w:r>
      <w:r>
        <w:rPr>
          <w:rFonts w:ascii="宋体" w:hAnsi="宋体" w:cs="宋体"/>
          <w:color w:val="36363D"/>
          <w:szCs w:val="24"/>
        </w:rPr>
        <w:t>进行项目申报、设计、建设、运营</w:t>
      </w:r>
      <w:r>
        <w:rPr>
          <w:rFonts w:hint="eastAsia" w:ascii="宋体" w:hAnsi="宋体" w:cs="宋体"/>
          <w:color w:val="36363D"/>
          <w:szCs w:val="24"/>
        </w:rPr>
        <w:t>的过程中</w:t>
      </w:r>
      <w:r>
        <w:rPr>
          <w:rFonts w:ascii="宋体" w:hAnsi="宋体" w:cs="宋体"/>
          <w:color w:val="36363D"/>
          <w:szCs w:val="24"/>
        </w:rPr>
        <w:t xml:space="preserve">给予必要的配合，并及时提供真实、准确、完整的项目所需房屋资料和数据。 </w:t>
      </w:r>
    </w:p>
    <w:p w14:paraId="1F8BFFA2">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hint="eastAsia" w:ascii="宋体" w:hAnsi="宋体" w:cs="宋体"/>
          <w:color w:val="36363D"/>
          <w:szCs w:val="24"/>
        </w:rPr>
        <w:t>4</w:t>
      </w:r>
      <w:r>
        <w:rPr>
          <w:rFonts w:ascii="宋体" w:hAnsi="宋体" w:cs="宋体"/>
          <w:color w:val="36363D"/>
          <w:szCs w:val="24"/>
        </w:rPr>
        <w:t xml:space="preserve">.2 </w:t>
      </w:r>
      <w:r>
        <w:rPr>
          <w:rFonts w:hint="eastAsia" w:ascii="宋体" w:hAnsi="宋体" w:cs="宋体"/>
          <w:color w:val="36363D"/>
          <w:szCs w:val="24"/>
        </w:rPr>
        <w:t>甲方在</w:t>
      </w:r>
      <w:r>
        <w:rPr>
          <w:rFonts w:ascii="宋体" w:hAnsi="宋体" w:cs="宋体"/>
          <w:color w:val="36363D"/>
          <w:szCs w:val="24"/>
        </w:rPr>
        <w:t xml:space="preserve">乙方进行项目申报、设计、施工、维护等正常项目建设以及运营过程中予以必要配合（如施工材料放置、人员进出），并提供便利。 </w:t>
      </w:r>
    </w:p>
    <w:p w14:paraId="5A36E184">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hint="eastAsia" w:ascii="宋体" w:hAnsi="宋体" w:cs="宋体"/>
          <w:color w:val="36363D"/>
          <w:szCs w:val="24"/>
        </w:rPr>
        <w:t>4</w:t>
      </w:r>
      <w:r>
        <w:rPr>
          <w:rFonts w:ascii="宋体" w:hAnsi="宋体" w:cs="宋体"/>
          <w:color w:val="36363D"/>
          <w:szCs w:val="24"/>
        </w:rPr>
        <w:t>.3 甲方有权</w:t>
      </w:r>
      <w:r>
        <w:rPr>
          <w:rFonts w:hint="eastAsia" w:ascii="宋体" w:hAnsi="宋体" w:cs="宋体"/>
          <w:color w:val="36363D"/>
          <w:szCs w:val="24"/>
        </w:rPr>
        <w:t>对乙方项目</w:t>
      </w:r>
      <w:r>
        <w:rPr>
          <w:rFonts w:ascii="宋体" w:hAnsi="宋体" w:cs="宋体"/>
          <w:color w:val="36363D"/>
          <w:szCs w:val="24"/>
        </w:rPr>
        <w:t>施工、维护、运营的情况进行合理监督，发现乙方</w:t>
      </w:r>
      <w:r>
        <w:rPr>
          <w:rFonts w:hint="eastAsia" w:ascii="宋体" w:hAnsi="宋体" w:cs="宋体"/>
          <w:color w:val="36363D"/>
          <w:szCs w:val="24"/>
        </w:rPr>
        <w:t>对于甲方场地</w:t>
      </w:r>
      <w:r>
        <w:rPr>
          <w:rFonts w:ascii="宋体" w:hAnsi="宋体" w:cs="宋体"/>
          <w:color w:val="36363D"/>
          <w:szCs w:val="24"/>
        </w:rPr>
        <w:t>原状有损坏情况的，有权要求乙方及时修复</w:t>
      </w:r>
      <w:r>
        <w:rPr>
          <w:rFonts w:hint="eastAsia" w:ascii="宋体" w:hAnsi="宋体" w:cs="宋体"/>
          <w:color w:val="36363D"/>
          <w:szCs w:val="24"/>
        </w:rPr>
        <w:t>并承担所有费用</w:t>
      </w:r>
      <w:r>
        <w:rPr>
          <w:rFonts w:ascii="宋体" w:hAnsi="宋体" w:cs="宋体"/>
          <w:color w:val="36363D"/>
          <w:szCs w:val="24"/>
        </w:rPr>
        <w:t xml:space="preserve">。 </w:t>
      </w:r>
    </w:p>
    <w:p w14:paraId="D7EC36F6">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hint="eastAsia" w:ascii="宋体" w:hAnsi="宋体" w:cs="宋体"/>
          <w:color w:val="36363D"/>
          <w:szCs w:val="24"/>
        </w:rPr>
        <w:t>4</w:t>
      </w:r>
      <w:r>
        <w:rPr>
          <w:rFonts w:ascii="宋体" w:hAnsi="宋体" w:cs="宋体"/>
          <w:color w:val="36363D"/>
          <w:szCs w:val="24"/>
        </w:rPr>
        <w:t xml:space="preserve">.4 乙方在进行项目施工、运营过程中，铺设输变电线路需要通过甲方其他场地、房屋等时，在不改变甲方原有建筑结构的正常使用功能的前提下，在规划允许的情况下，甲方予以同意，并不收取其他任何费用。 </w:t>
      </w:r>
    </w:p>
    <w:p w14:paraId="0D56D52A">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hint="eastAsia" w:ascii="宋体" w:hAnsi="宋体" w:cs="宋体"/>
          <w:color w:val="36363D"/>
          <w:szCs w:val="24"/>
        </w:rPr>
        <w:t>4</w:t>
      </w:r>
      <w:r>
        <w:rPr>
          <w:rFonts w:ascii="宋体" w:hAnsi="宋体" w:cs="宋体"/>
          <w:color w:val="36363D"/>
          <w:szCs w:val="24"/>
        </w:rPr>
        <w:t>.5 由于甲方原因需要对屋顶和放置乙方其他相关设备的空间进行维修时，甲方应提前15日通知乙方，乙方无条件移动设备，</w:t>
      </w:r>
      <w:r>
        <w:rPr>
          <w:rFonts w:hint="eastAsia" w:ascii="宋体" w:hAnsi="宋体" w:cs="宋体"/>
          <w:color w:val="36363D"/>
          <w:szCs w:val="24"/>
        </w:rPr>
        <w:t>甲方</w:t>
      </w:r>
      <w:r>
        <w:rPr>
          <w:rFonts w:ascii="宋体" w:hAnsi="宋体" w:cs="宋体"/>
          <w:color w:val="36363D"/>
          <w:szCs w:val="24"/>
        </w:rPr>
        <w:t>在维修中应避免对乙方财产及人员造成任何损害。</w:t>
      </w:r>
    </w:p>
    <w:p w14:paraId="794C919A">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ascii="宋体" w:hAnsi="宋体" w:cs="宋体"/>
          <w:color w:val="36363D"/>
          <w:szCs w:val="24"/>
        </w:rPr>
        <w:t xml:space="preserve">4.6 </w:t>
      </w:r>
      <w:r>
        <w:rPr>
          <w:rFonts w:hint="eastAsia" w:ascii="宋体" w:hAnsi="宋体" w:cs="宋体"/>
          <w:color w:val="36363D"/>
          <w:szCs w:val="24"/>
        </w:rPr>
        <w:t>合同期限内，合同范围内屋顶漏（渗）水维修（除甲方已安装设备区域除外）由乙方负责，乙方应在接到甲方通知后2日内到达现场并采取防漏（渗）水措施，由此产生的费用由乙方承担，未安装区域，前五年由乙方做好防水工作。</w:t>
      </w:r>
      <w:r>
        <w:rPr>
          <w:rFonts w:ascii="宋体" w:hAnsi="宋体" w:cs="宋体"/>
          <w:color w:val="36363D"/>
          <w:szCs w:val="24"/>
        </w:rPr>
        <w:t xml:space="preserve"> </w:t>
      </w:r>
    </w:p>
    <w:p w14:paraId="049EDBC8">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hint="eastAsia" w:ascii="宋体" w:hAnsi="宋体" w:cs="宋体"/>
          <w:color w:val="36363D"/>
          <w:szCs w:val="24"/>
        </w:rPr>
        <w:t>4</w:t>
      </w:r>
      <w:r>
        <w:rPr>
          <w:rFonts w:ascii="宋体" w:hAnsi="宋体" w:cs="宋体"/>
          <w:color w:val="36363D"/>
          <w:szCs w:val="24"/>
        </w:rPr>
        <w:t>.7 甲方应在正常经营管理状态下，保障房屋和放置乙方其他相关设备的空间的安全性和完整性</w:t>
      </w:r>
      <w:r>
        <w:rPr>
          <w:rFonts w:hint="eastAsia" w:ascii="宋体" w:hAnsi="宋体" w:cs="宋体"/>
          <w:color w:val="36363D"/>
          <w:szCs w:val="24"/>
        </w:rPr>
        <w:t>，</w:t>
      </w:r>
      <w:r>
        <w:rPr>
          <w:rFonts w:ascii="宋体" w:hAnsi="宋体" w:cs="宋体"/>
          <w:color w:val="36363D"/>
          <w:szCs w:val="24"/>
        </w:rPr>
        <w:t xml:space="preserve">但没有义务管理乙方的设备。 </w:t>
      </w:r>
    </w:p>
    <w:p w14:paraId="77789E15">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hint="eastAsia" w:ascii="宋体" w:hAnsi="宋体" w:cs="宋体"/>
          <w:color w:val="36363D"/>
          <w:szCs w:val="24"/>
        </w:rPr>
        <w:t>4.</w:t>
      </w:r>
      <w:r>
        <w:rPr>
          <w:rFonts w:ascii="宋体" w:hAnsi="宋体" w:cs="宋体"/>
          <w:color w:val="36363D"/>
          <w:szCs w:val="24"/>
        </w:rPr>
        <w:t>8</w:t>
      </w:r>
      <w:r>
        <w:rPr>
          <w:rFonts w:hint="eastAsia" w:ascii="宋体" w:hAnsi="宋体" w:cs="宋体"/>
          <w:color w:val="36363D"/>
          <w:szCs w:val="24"/>
        </w:rPr>
        <w:t xml:space="preserve"> 如本项目光伏设备及电力扩容涉及的全部建筑如发生政府拆迁，甲方应联合乙方与政府实施拆迁谈判，就本项目乙方损失进行补偿。</w:t>
      </w:r>
    </w:p>
    <w:p w14:paraId="606EE79A">
      <w:pPr>
        <w:pageBreakBefore w:val="0"/>
        <w:kinsoku/>
        <w:overflowPunct/>
        <w:topLinePunct w:val="0"/>
        <w:bidi w:val="0"/>
        <w:spacing w:after="0"/>
        <w:ind w:firstLine="0" w:firstLineChars="0"/>
        <w:rPr>
          <w:rFonts w:hint="eastAsia" w:cs="宋体"/>
          <w:color w:val="36363D"/>
          <w:kern w:val="0"/>
        </w:rPr>
      </w:pPr>
      <w:r>
        <w:rPr>
          <w:rFonts w:hint="eastAsia" w:cs="宋体"/>
          <w:color w:val="36363D"/>
          <w:kern w:val="0"/>
        </w:rPr>
        <w:t>4.</w:t>
      </w:r>
      <w:r>
        <w:rPr>
          <w:rFonts w:cs="宋体"/>
          <w:color w:val="36363D"/>
          <w:kern w:val="0"/>
        </w:rPr>
        <w:t xml:space="preserve">9 </w:t>
      </w:r>
      <w:r>
        <w:rPr>
          <w:rFonts w:hint="eastAsia" w:cs="宋体"/>
          <w:color w:val="36363D"/>
          <w:kern w:val="0"/>
        </w:rPr>
        <w:t>如本项目因甲方校区功能调整或搬迁，无法继续履行合同的，视履约年限双方友好协商解决。</w:t>
      </w:r>
    </w:p>
    <w:p w14:paraId="E6C836B4">
      <w:pPr>
        <w:pStyle w:val="2"/>
        <w:pageBreakBefore w:val="0"/>
        <w:kinsoku/>
        <w:overflowPunct/>
        <w:topLinePunct w:val="0"/>
        <w:bidi w:val="0"/>
        <w:spacing w:after="0" w:line="360" w:lineRule="auto"/>
        <w:rPr>
          <w:rFonts w:hint="eastAsia" w:ascii="宋体" w:hAnsi="宋体" w:cs="宋体"/>
          <w:b w:val="0"/>
          <w:bCs w:val="0"/>
          <w:color w:val="36363D"/>
          <w:kern w:val="0"/>
          <w:sz w:val="24"/>
        </w:rPr>
      </w:pPr>
      <w:r>
        <w:rPr>
          <w:rFonts w:hint="eastAsia" w:ascii="宋体" w:hAnsi="宋体" w:cs="宋体"/>
          <w:b w:val="0"/>
          <w:bCs w:val="0"/>
          <w:color w:val="36363D"/>
          <w:kern w:val="0"/>
          <w:sz w:val="24"/>
        </w:rPr>
        <w:t>4.</w:t>
      </w:r>
      <w:r>
        <w:rPr>
          <w:rFonts w:ascii="宋体" w:hAnsi="宋体" w:cs="宋体"/>
          <w:b w:val="0"/>
          <w:bCs w:val="0"/>
          <w:color w:val="36363D"/>
          <w:kern w:val="0"/>
          <w:sz w:val="24"/>
        </w:rPr>
        <w:t xml:space="preserve">10 </w:t>
      </w:r>
      <w:r>
        <w:rPr>
          <w:rFonts w:hint="eastAsia" w:ascii="宋体" w:hAnsi="宋体" w:cs="宋体"/>
          <w:b w:val="0"/>
          <w:bCs w:val="0"/>
          <w:color w:val="36363D"/>
          <w:kern w:val="0"/>
          <w:sz w:val="24"/>
        </w:rPr>
        <w:t>甲方有权利用本项目进行其致力于节能环保、低碳经济和绿色能源的推广及自身形象方面的宣传。</w:t>
      </w:r>
    </w:p>
    <w:p w14:paraId="6B8E1EAB">
      <w:pPr>
        <w:pageBreakBefore w:val="0"/>
        <w:kinsoku/>
        <w:overflowPunct/>
        <w:topLinePunct w:val="0"/>
        <w:bidi w:val="0"/>
        <w:spacing w:after="0"/>
        <w:ind w:firstLine="0" w:firstLineChars="0"/>
        <w:rPr>
          <w:rFonts w:hint="eastAsia" w:cs="宋体"/>
          <w:color w:val="36363D"/>
        </w:rPr>
      </w:pPr>
      <w:r>
        <w:rPr>
          <w:bCs/>
          <w:color w:val="36363D"/>
        </w:rPr>
        <w:t>五、</w:t>
      </w:r>
      <w:r>
        <w:rPr>
          <w:rFonts w:cs="宋体"/>
          <w:color w:val="36363D"/>
        </w:rPr>
        <w:t xml:space="preserve">乙方职责 </w:t>
      </w:r>
    </w:p>
    <w:p w14:paraId="90CCFEF1">
      <w:pPr>
        <w:pageBreakBefore w:val="0"/>
        <w:kinsoku/>
        <w:overflowPunct/>
        <w:topLinePunct w:val="0"/>
        <w:bidi w:val="0"/>
        <w:spacing w:after="0"/>
        <w:ind w:firstLine="0" w:firstLineChars="0"/>
        <w:rPr>
          <w:rFonts w:hint="eastAsia" w:cs="宋体"/>
          <w:color w:val="36363D"/>
        </w:rPr>
      </w:pPr>
      <w:r>
        <w:rPr>
          <w:rFonts w:hint="eastAsia" w:cs="宋体"/>
          <w:color w:val="36363D"/>
        </w:rPr>
        <w:t>5</w:t>
      </w:r>
      <w:r>
        <w:rPr>
          <w:rFonts w:cs="宋体"/>
          <w:color w:val="36363D"/>
        </w:rPr>
        <w:t xml:space="preserve">.1 </w:t>
      </w:r>
      <w:r>
        <w:rPr>
          <w:rFonts w:hint="eastAsia" w:cs="宋体"/>
          <w:color w:val="36363D"/>
        </w:rPr>
        <w:t>对于甲方</w:t>
      </w:r>
      <w:r>
        <w:rPr>
          <w:rFonts w:cs="宋体"/>
          <w:color w:val="36363D"/>
        </w:rPr>
        <w:t>屋顶和放置乙方其他相关设备的空间</w:t>
      </w:r>
      <w:r>
        <w:rPr>
          <w:rFonts w:hint="eastAsia" w:cs="宋体"/>
          <w:color w:val="36363D"/>
        </w:rPr>
        <w:t>，乙方</w:t>
      </w:r>
      <w:r>
        <w:rPr>
          <w:rFonts w:cs="宋体"/>
          <w:color w:val="36363D"/>
        </w:rPr>
        <w:t>仅用于</w:t>
      </w:r>
      <w:r>
        <w:rPr>
          <w:rFonts w:hint="eastAsia"/>
          <w:color w:val="36363D"/>
          <w:kern w:val="0"/>
          <w:szCs w:val="21"/>
        </w:rPr>
        <w:t>光伏发电合同能源管理</w:t>
      </w:r>
      <w:r>
        <w:rPr>
          <w:rFonts w:cs="宋体"/>
          <w:color w:val="36363D"/>
        </w:rPr>
        <w:t xml:space="preserve">项目，除此之外，不得用于其他用途。 </w:t>
      </w:r>
    </w:p>
    <w:p w14:paraId="77844B7B">
      <w:pPr>
        <w:pageBreakBefore w:val="0"/>
        <w:kinsoku/>
        <w:overflowPunct/>
        <w:topLinePunct w:val="0"/>
        <w:bidi w:val="0"/>
        <w:spacing w:after="0"/>
        <w:ind w:firstLine="0" w:firstLineChars="0"/>
        <w:rPr>
          <w:rFonts w:hint="eastAsia" w:cs="宋体"/>
          <w:color w:val="36363D"/>
        </w:rPr>
      </w:pPr>
      <w:r>
        <w:rPr>
          <w:rFonts w:hint="eastAsia" w:cs="宋体"/>
          <w:color w:val="36363D"/>
        </w:rPr>
        <w:t>5</w:t>
      </w:r>
      <w:r>
        <w:rPr>
          <w:rFonts w:cs="宋体"/>
          <w:color w:val="36363D"/>
        </w:rPr>
        <w:t>.2 乙方</w:t>
      </w:r>
      <w:r>
        <w:rPr>
          <w:rFonts w:hint="eastAsia" w:cs="宋体"/>
          <w:color w:val="36363D"/>
        </w:rPr>
        <w:t>负责本项目的项目申报、设计、设备采购、施工安装、运行调试、电网接入、运营维护及设备更换等工作，并负责本项目建设所需的一切行政审批手续的办理，并承担由此所产生的所有费用。</w:t>
      </w:r>
    </w:p>
    <w:p w14:paraId="15CCDAE0">
      <w:pPr>
        <w:pageBreakBefore w:val="0"/>
        <w:kinsoku/>
        <w:overflowPunct/>
        <w:topLinePunct w:val="0"/>
        <w:bidi w:val="0"/>
        <w:spacing w:after="0"/>
        <w:ind w:firstLine="0" w:firstLineChars="0"/>
        <w:rPr>
          <w:rFonts w:hint="eastAsia" w:cs="宋体"/>
          <w:color w:val="36363D"/>
        </w:rPr>
      </w:pPr>
      <w:r>
        <w:rPr>
          <w:rFonts w:hint="eastAsia" w:cs="宋体"/>
          <w:color w:val="36363D"/>
        </w:rPr>
        <w:t>5</w:t>
      </w:r>
      <w:r>
        <w:rPr>
          <w:rFonts w:cs="宋体"/>
          <w:color w:val="36363D"/>
        </w:rPr>
        <w:t xml:space="preserve">.3 乙方在不影响和破坏房屋主体及其相关设施安全的情况下，按照国家相关规定，设计光伏组件、支架、汇流箱、输变电线路的安装地点及方式。 </w:t>
      </w:r>
    </w:p>
    <w:p w14:paraId="424CBC9C">
      <w:pPr>
        <w:pageBreakBefore w:val="0"/>
        <w:kinsoku/>
        <w:overflowPunct/>
        <w:topLinePunct w:val="0"/>
        <w:bidi w:val="0"/>
        <w:spacing w:after="0"/>
        <w:ind w:firstLine="0" w:firstLineChars="0"/>
        <w:rPr>
          <w:rFonts w:hint="eastAsia" w:cs="宋体"/>
          <w:color w:val="36363D"/>
        </w:rPr>
      </w:pPr>
      <w:r>
        <w:rPr>
          <w:rFonts w:hint="eastAsia" w:cs="宋体"/>
          <w:color w:val="36363D"/>
        </w:rPr>
        <w:t>5</w:t>
      </w:r>
      <w:r>
        <w:rPr>
          <w:rFonts w:cs="宋体"/>
          <w:color w:val="36363D"/>
        </w:rPr>
        <w:t>.4 乙方在进行项目施工、运营过程中，需将项目设计方案、施工方案、接入方案、运行规程等文件提交给甲方。甲方应为乙方项目实施提供便利，但乙方需要按照规范施工，</w:t>
      </w:r>
      <w:r>
        <w:rPr>
          <w:rFonts w:hint="eastAsia" w:cs="宋体"/>
          <w:color w:val="36363D"/>
        </w:rPr>
        <w:t>确保甲方建筑结构及屋顶电器设备的安全和完整，清洁文明施工；同时做好施工管理，合理安排时间，</w:t>
      </w:r>
      <w:r>
        <w:rPr>
          <w:rFonts w:cs="宋体"/>
          <w:color w:val="36363D"/>
        </w:rPr>
        <w:t>不能影响甲方正常</w:t>
      </w:r>
      <w:r>
        <w:rPr>
          <w:rFonts w:hint="eastAsia" w:cs="宋体"/>
          <w:color w:val="36363D"/>
        </w:rPr>
        <w:t>教学</w:t>
      </w:r>
      <w:r>
        <w:rPr>
          <w:rFonts w:cs="宋体"/>
          <w:color w:val="36363D"/>
        </w:rPr>
        <w:t xml:space="preserve">，同时要确保安全。 </w:t>
      </w:r>
    </w:p>
    <w:p w14:paraId="F422AF7E">
      <w:pPr>
        <w:pageBreakBefore w:val="0"/>
        <w:kinsoku/>
        <w:overflowPunct/>
        <w:topLinePunct w:val="0"/>
        <w:bidi w:val="0"/>
        <w:spacing w:after="0"/>
        <w:ind w:firstLine="0" w:firstLineChars="0"/>
        <w:rPr>
          <w:rFonts w:hint="eastAsia" w:cs="宋体"/>
          <w:color w:val="36363D"/>
        </w:rPr>
      </w:pPr>
      <w:r>
        <w:rPr>
          <w:rFonts w:hint="eastAsia" w:cs="宋体"/>
          <w:color w:val="36363D"/>
        </w:rPr>
        <w:t>5</w:t>
      </w:r>
      <w:r>
        <w:rPr>
          <w:rFonts w:cs="宋体"/>
          <w:color w:val="36363D"/>
        </w:rPr>
        <w:t>.5 乙方确保项目</w:t>
      </w:r>
      <w:r>
        <w:rPr>
          <w:rFonts w:hint="eastAsia" w:cs="宋体"/>
          <w:color w:val="36363D"/>
        </w:rPr>
        <w:t>建设质量</w:t>
      </w:r>
      <w:r>
        <w:rPr>
          <w:rFonts w:cs="宋体"/>
          <w:color w:val="36363D"/>
        </w:rPr>
        <w:t>符合国家相关验收标准</w:t>
      </w:r>
      <w:r>
        <w:rPr>
          <w:rFonts w:hint="eastAsia" w:cs="宋体"/>
          <w:color w:val="36363D"/>
        </w:rPr>
        <w:t>，按照工程规范做好防风防雷及接地。项目建设及运行期间，若因项目工程施工安全事故或设备运行安全事故，造成甲方人员受伤或造成甲方财产损失的，乙方承担所有赔偿责任</w:t>
      </w:r>
      <w:r>
        <w:rPr>
          <w:rFonts w:cs="宋体"/>
          <w:color w:val="36363D"/>
        </w:rPr>
        <w:t xml:space="preserve">。 </w:t>
      </w:r>
    </w:p>
    <w:p w14:paraId="E58E5F12">
      <w:pPr>
        <w:pStyle w:val="2"/>
        <w:pageBreakBefore w:val="0"/>
        <w:kinsoku/>
        <w:overflowPunct/>
        <w:topLinePunct w:val="0"/>
        <w:bidi w:val="0"/>
        <w:spacing w:after="0" w:line="360" w:lineRule="auto"/>
        <w:rPr>
          <w:rFonts w:hint="eastAsia" w:ascii="宋体" w:hAnsi="宋体" w:cs="宋体"/>
          <w:b w:val="0"/>
          <w:bCs w:val="0"/>
          <w:color w:val="36363D"/>
          <w:sz w:val="24"/>
        </w:rPr>
      </w:pPr>
      <w:r>
        <w:rPr>
          <w:rFonts w:hint="eastAsia" w:ascii="宋体" w:hAnsi="宋体" w:cs="宋体"/>
          <w:b w:val="0"/>
          <w:bCs w:val="0"/>
          <w:color w:val="36363D"/>
          <w:sz w:val="24"/>
        </w:rPr>
        <w:t>5.6项目运营期间，乙方如需对项目设备进行检修并可能影响甲方正常教学活动的，需提前7日书面通知甲方。</w:t>
      </w:r>
    </w:p>
    <w:p w14:paraId="23E316EB">
      <w:pPr>
        <w:pStyle w:val="2"/>
        <w:pageBreakBefore w:val="0"/>
        <w:kinsoku/>
        <w:overflowPunct/>
        <w:topLinePunct w:val="0"/>
        <w:bidi w:val="0"/>
        <w:spacing w:after="0" w:line="360" w:lineRule="auto"/>
        <w:rPr>
          <w:rFonts w:hint="eastAsia" w:ascii="宋体" w:hAnsi="宋体" w:cs="宋体"/>
          <w:b w:val="0"/>
          <w:bCs w:val="0"/>
          <w:color w:val="36363D"/>
          <w:sz w:val="24"/>
        </w:rPr>
      </w:pPr>
      <w:r>
        <w:rPr>
          <w:rFonts w:hint="eastAsia" w:ascii="宋体" w:hAnsi="宋体" w:cs="宋体"/>
          <w:b w:val="0"/>
          <w:bCs w:val="0"/>
          <w:color w:val="36363D"/>
          <w:sz w:val="24"/>
        </w:rPr>
        <w:t>5.7项目并网调试及运营期间，若由于本项目电能质量不合格造成甲方设备损坏，乙方及时修复，若不能修复，乙方应承担损毁设备的赔偿责任。</w:t>
      </w:r>
    </w:p>
    <w:p w14:paraId="D800AAA8">
      <w:pPr>
        <w:pStyle w:val="2"/>
        <w:pageBreakBefore w:val="0"/>
        <w:kinsoku/>
        <w:overflowPunct/>
        <w:topLinePunct w:val="0"/>
        <w:bidi w:val="0"/>
        <w:spacing w:after="0" w:line="360" w:lineRule="auto"/>
        <w:rPr>
          <w:rFonts w:hint="eastAsia" w:ascii="宋体" w:hAnsi="宋体" w:cs="宋体"/>
          <w:b w:val="0"/>
          <w:bCs w:val="0"/>
          <w:color w:val="36363D"/>
          <w:sz w:val="24"/>
        </w:rPr>
      </w:pPr>
      <w:r>
        <w:rPr>
          <w:rFonts w:hint="eastAsia" w:ascii="宋体" w:hAnsi="宋体" w:cs="宋体"/>
          <w:b w:val="0"/>
          <w:bCs w:val="0"/>
          <w:color w:val="36363D"/>
          <w:sz w:val="24"/>
        </w:rPr>
        <w:t>5.8乙方在本项目施工及维护保养期间的安全由乙方自行负责，甲方不承担任何责任。</w:t>
      </w:r>
    </w:p>
    <w:p w14:paraId="C46C3A03">
      <w:pPr>
        <w:pStyle w:val="2"/>
        <w:pageBreakBefore w:val="0"/>
        <w:kinsoku/>
        <w:overflowPunct/>
        <w:topLinePunct w:val="0"/>
        <w:bidi w:val="0"/>
        <w:spacing w:after="0" w:line="360" w:lineRule="auto"/>
        <w:rPr>
          <w:rFonts w:hint="eastAsia" w:ascii="宋体" w:hAnsi="宋体" w:cs="宋体"/>
          <w:b w:val="0"/>
          <w:bCs w:val="0"/>
          <w:color w:val="36363D"/>
          <w:sz w:val="24"/>
        </w:rPr>
      </w:pPr>
      <w:r>
        <w:rPr>
          <w:rFonts w:hint="eastAsia" w:ascii="宋体" w:hAnsi="宋体" w:cs="宋体"/>
          <w:b w:val="0"/>
          <w:bCs w:val="0"/>
          <w:color w:val="36363D"/>
          <w:sz w:val="24"/>
        </w:rPr>
        <w:t>5.9未经甲方书面同意，乙方不得将本项目转让给任何第三方。</w:t>
      </w:r>
    </w:p>
    <w:p w14:paraId="50E80D10">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bCs/>
          <w:color w:val="36363D"/>
          <w:szCs w:val="24"/>
        </w:rPr>
        <w:t>六、</w:t>
      </w:r>
      <w:r>
        <w:rPr>
          <w:rFonts w:ascii="宋体" w:hAnsi="宋体" w:cs="宋体"/>
          <w:color w:val="36363D"/>
          <w:szCs w:val="24"/>
        </w:rPr>
        <w:t>验收</w:t>
      </w:r>
      <w:r>
        <w:rPr>
          <w:rFonts w:hint="eastAsia" w:cs="宋体"/>
          <w:color w:val="36363D"/>
          <w:szCs w:val="24"/>
        </w:rPr>
        <w:t>。</w:t>
      </w:r>
    </w:p>
    <w:p w14:paraId="0ECB10A2">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hint="eastAsia" w:ascii="宋体" w:hAnsi="宋体" w:cs="宋体"/>
          <w:color w:val="36363D"/>
          <w:szCs w:val="24"/>
        </w:rPr>
        <w:t>6</w:t>
      </w:r>
      <w:r>
        <w:rPr>
          <w:rFonts w:ascii="宋体" w:hAnsi="宋体" w:cs="宋体"/>
          <w:color w:val="36363D"/>
          <w:szCs w:val="24"/>
        </w:rPr>
        <w:t xml:space="preserve">.1 验收以招标文件和技术文件、投标文件、合同及安装技术要求为依据。 </w:t>
      </w:r>
    </w:p>
    <w:p w14:paraId="D07B90D1">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ascii="宋体" w:hAnsi="宋体" w:cs="宋体"/>
          <w:color w:val="36363D"/>
          <w:szCs w:val="24"/>
        </w:rPr>
        <w:t xml:space="preserve">6.2 验收必须符合国家、地方有关规范、标准及设计要求。 </w:t>
      </w:r>
    </w:p>
    <w:p w14:paraId="B05F9B3E">
      <w:pPr>
        <w:pStyle w:val="42"/>
        <w:pageBreakBefore w:val="0"/>
        <w:kinsoku/>
        <w:overflowPunct/>
        <w:topLinePunct w:val="0"/>
        <w:bidi w:val="0"/>
        <w:spacing w:before="0" w:after="0" w:line="360" w:lineRule="auto"/>
        <w:ind w:firstLine="0" w:firstLineChars="0"/>
        <w:rPr>
          <w:rFonts w:hint="eastAsia" w:ascii="宋体" w:hAnsi="宋体" w:cs="宋体"/>
          <w:color w:val="36363D"/>
          <w:szCs w:val="24"/>
        </w:rPr>
      </w:pPr>
      <w:r>
        <w:rPr>
          <w:rFonts w:hint="eastAsia" w:ascii="宋体" w:hAnsi="宋体" w:cs="宋体"/>
          <w:color w:val="36363D"/>
          <w:szCs w:val="24"/>
        </w:rPr>
        <w:t>6</w:t>
      </w:r>
      <w:r>
        <w:rPr>
          <w:rFonts w:ascii="宋体" w:hAnsi="宋体" w:cs="宋体"/>
          <w:color w:val="36363D"/>
          <w:szCs w:val="24"/>
        </w:rPr>
        <w:t xml:space="preserve">.3 </w:t>
      </w:r>
      <w:r>
        <w:rPr>
          <w:rFonts w:hint="eastAsia" w:ascii="宋体" w:hAnsi="宋体" w:cs="宋体"/>
          <w:color w:val="36363D"/>
          <w:szCs w:val="24"/>
        </w:rPr>
        <w:t>项目竣工后，甲、乙双方共同进行验收，以确认本项目施工质量及施工过程中是否给甲方造成损失</w:t>
      </w:r>
      <w:r>
        <w:rPr>
          <w:rFonts w:ascii="宋体" w:hAnsi="宋体" w:cs="宋体"/>
          <w:color w:val="36363D"/>
          <w:szCs w:val="24"/>
        </w:rPr>
        <w:t>。</w:t>
      </w:r>
    </w:p>
    <w:p w14:paraId="C25D4E82">
      <w:pPr>
        <w:pStyle w:val="42"/>
        <w:pageBreakBefore w:val="0"/>
        <w:kinsoku/>
        <w:overflowPunct/>
        <w:topLinePunct w:val="0"/>
        <w:bidi w:val="0"/>
        <w:spacing w:before="0" w:after="0" w:line="360" w:lineRule="auto"/>
        <w:ind w:firstLine="0" w:firstLineChars="0"/>
        <w:rPr>
          <w:bCs/>
          <w:color w:val="36363D"/>
        </w:rPr>
      </w:pPr>
      <w:r>
        <w:rPr>
          <w:bCs/>
          <w:color w:val="36363D"/>
          <w:szCs w:val="24"/>
        </w:rPr>
        <w:t>七.转包或分包</w:t>
      </w:r>
    </w:p>
    <w:p w14:paraId="31FC600E">
      <w:pPr>
        <w:pageBreakBefore w:val="0"/>
        <w:kinsoku/>
        <w:overflowPunct/>
        <w:topLinePunct w:val="0"/>
        <w:bidi w:val="0"/>
        <w:spacing w:after="0"/>
        <w:ind w:firstLine="0" w:firstLineChars="0"/>
        <w:rPr>
          <w:rFonts w:ascii="Times New Roman" w:hAnsi="Times New Roman"/>
          <w:bCs/>
          <w:color w:val="36363D"/>
        </w:rPr>
      </w:pPr>
      <w:r>
        <w:rPr>
          <w:rFonts w:hint="eastAsia" w:ascii="Times New Roman" w:hAnsi="Times New Roman"/>
          <w:bCs/>
          <w:color w:val="36363D"/>
        </w:rPr>
        <w:t>本项目不得分包或转包，若乙方有转包或分包行为，甲方有权终止合同。</w:t>
      </w:r>
    </w:p>
    <w:p w14:paraId="30A8AA18">
      <w:pPr>
        <w:pageBreakBefore w:val="0"/>
        <w:kinsoku/>
        <w:overflowPunct/>
        <w:topLinePunct w:val="0"/>
        <w:bidi w:val="0"/>
        <w:spacing w:after="0"/>
        <w:ind w:firstLine="0" w:firstLineChars="0"/>
        <w:rPr>
          <w:rFonts w:ascii="Times New Roman" w:hAnsi="Times New Roman"/>
          <w:bCs/>
          <w:color w:val="36363D"/>
        </w:rPr>
      </w:pPr>
      <w:r>
        <w:rPr>
          <w:rFonts w:hint="eastAsia" w:ascii="Times New Roman" w:hAnsi="Times New Roman"/>
          <w:bCs/>
          <w:color w:val="36363D"/>
        </w:rPr>
        <w:t>八、</w:t>
      </w:r>
      <w:r>
        <w:rPr>
          <w:rFonts w:ascii="Times New Roman" w:hAnsi="Times New Roman"/>
          <w:bCs/>
          <w:color w:val="36363D"/>
        </w:rPr>
        <w:t>税</w:t>
      </w:r>
    </w:p>
    <w:p w14:paraId="D53E2C38">
      <w:pPr>
        <w:pStyle w:val="42"/>
        <w:pageBreakBefore w:val="0"/>
        <w:kinsoku/>
        <w:overflowPunct/>
        <w:topLinePunct w:val="0"/>
        <w:bidi w:val="0"/>
        <w:spacing w:before="0" w:after="0" w:line="360" w:lineRule="auto"/>
        <w:ind w:firstLine="0" w:firstLineChars="0"/>
        <w:rPr>
          <w:bCs/>
          <w:color w:val="36363D"/>
        </w:rPr>
      </w:pPr>
      <w:r>
        <w:rPr>
          <w:bCs/>
          <w:color w:val="36363D"/>
          <w:szCs w:val="24"/>
        </w:rPr>
        <w:t>本合同执行中相关的一切税费均由</w:t>
      </w:r>
      <w:r>
        <w:rPr>
          <w:rFonts w:hint="eastAsia"/>
          <w:bCs/>
          <w:color w:val="36363D"/>
          <w:szCs w:val="24"/>
        </w:rPr>
        <w:t>乙方</w:t>
      </w:r>
      <w:r>
        <w:rPr>
          <w:bCs/>
          <w:color w:val="36363D"/>
          <w:szCs w:val="24"/>
        </w:rPr>
        <w:t>负担。</w:t>
      </w:r>
    </w:p>
    <w:p w14:paraId="6514BB9A">
      <w:pPr>
        <w:pageBreakBefore w:val="0"/>
        <w:kinsoku/>
        <w:overflowPunct/>
        <w:topLinePunct w:val="0"/>
        <w:bidi w:val="0"/>
        <w:spacing w:after="0"/>
        <w:ind w:firstLine="0" w:firstLineChars="0"/>
        <w:rPr>
          <w:rFonts w:ascii="Times New Roman" w:hAnsi="Times New Roman"/>
          <w:bCs/>
          <w:color w:val="36363D"/>
        </w:rPr>
      </w:pPr>
      <w:r>
        <w:rPr>
          <w:rFonts w:hint="eastAsia" w:ascii="Times New Roman" w:hAnsi="Times New Roman"/>
          <w:bCs/>
          <w:color w:val="36363D"/>
        </w:rPr>
        <w:t>九</w:t>
      </w:r>
      <w:r>
        <w:rPr>
          <w:rFonts w:ascii="Times New Roman" w:hAnsi="Times New Roman"/>
          <w:bCs/>
          <w:color w:val="36363D"/>
        </w:rPr>
        <w:t>、不可抗力事件处理</w:t>
      </w:r>
    </w:p>
    <w:p w14:paraId="E2B8464D">
      <w:pPr>
        <w:pStyle w:val="42"/>
        <w:pageBreakBefore w:val="0"/>
        <w:kinsoku/>
        <w:overflowPunct/>
        <w:topLinePunct w:val="0"/>
        <w:bidi w:val="0"/>
        <w:spacing w:before="0" w:after="0" w:line="360" w:lineRule="auto"/>
        <w:ind w:firstLine="0" w:firstLineChars="0"/>
        <w:rPr>
          <w:bCs/>
          <w:color w:val="36363D"/>
        </w:rPr>
      </w:pPr>
      <w:r>
        <w:rPr>
          <w:bCs/>
          <w:color w:val="36363D"/>
          <w:szCs w:val="24"/>
        </w:rPr>
        <w:t>9.1 在合同有效期内，任何一方因不可抗力事件导致不能履行合同，则合同履行期可延长，其延长期与不可抗力影响期相同。</w:t>
      </w:r>
    </w:p>
    <w:p w14:paraId="E9D12B15">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9.2 不可抗力事件发生后，应立即通知对方，并寄送有关权威机构出具的证明。</w:t>
      </w:r>
    </w:p>
    <w:p w14:paraId="5EE12159">
      <w:pPr>
        <w:pStyle w:val="42"/>
        <w:pageBreakBefore w:val="0"/>
        <w:kinsoku/>
        <w:overflowPunct/>
        <w:topLinePunct w:val="0"/>
        <w:bidi w:val="0"/>
        <w:spacing w:before="0" w:after="0" w:line="360" w:lineRule="auto"/>
        <w:ind w:firstLine="0" w:firstLineChars="0"/>
        <w:rPr>
          <w:bCs/>
          <w:color w:val="36363D"/>
          <w:szCs w:val="24"/>
        </w:rPr>
      </w:pPr>
      <w:r>
        <w:rPr>
          <w:bCs/>
          <w:color w:val="36363D"/>
          <w:szCs w:val="24"/>
        </w:rPr>
        <w:t>9.3 不可抗力事件延续120天以上，双方应通过友好协商，确定是否继续履行合同。</w:t>
      </w:r>
    </w:p>
    <w:p w14:paraId="44F64908">
      <w:pPr>
        <w:pStyle w:val="16"/>
        <w:pageBreakBefore w:val="0"/>
        <w:kinsoku/>
        <w:overflowPunct/>
        <w:topLinePunct w:val="0"/>
        <w:bidi w:val="0"/>
        <w:spacing w:after="0" w:line="360" w:lineRule="auto"/>
        <w:ind w:firstLine="0" w:firstLineChars="0"/>
        <w:rPr>
          <w:rFonts w:hAnsi="Times New Roman" w:eastAsia="宋体" w:cs="Times New Roman"/>
          <w:bCs/>
          <w:color w:val="36363D"/>
          <w:spacing w:val="0"/>
          <w:sz w:val="24"/>
        </w:rPr>
      </w:pPr>
      <w:r>
        <w:rPr>
          <w:rFonts w:hint="eastAsia" w:hAnsi="Times New Roman" w:eastAsia="宋体" w:cs="Times New Roman"/>
          <w:bCs/>
          <w:color w:val="36363D"/>
          <w:spacing w:val="0"/>
          <w:sz w:val="24"/>
        </w:rPr>
        <w:t>十、违约责任</w:t>
      </w:r>
    </w:p>
    <w:p w14:paraId="78392DC4">
      <w:pPr>
        <w:pStyle w:val="17"/>
        <w:pageBreakBefore w:val="0"/>
        <w:kinsoku/>
        <w:overflowPunct/>
        <w:topLinePunct w:val="0"/>
        <w:bidi w:val="0"/>
        <w:spacing w:after="0" w:line="360" w:lineRule="auto"/>
        <w:ind w:left="0"/>
        <w:rPr>
          <w:color w:val="36363D"/>
        </w:rPr>
      </w:pPr>
      <w:r>
        <w:rPr>
          <w:rFonts w:hint="eastAsia"/>
          <w:color w:val="36363D"/>
        </w:rPr>
        <w:t>10.1双方应依据诚实信用原则认真履行本协议，除法律法规另有规定或本协议另有约定外，任何一方不得单方面中止、终止或解除协议。若一方违反本协议项下负有的任一义务，违约方应赔偿守约方因此遭受的损失。</w:t>
      </w:r>
    </w:p>
    <w:p w14:paraId="6A263346">
      <w:pPr>
        <w:pageBreakBefore w:val="0"/>
        <w:kinsoku/>
        <w:overflowPunct/>
        <w:topLinePunct w:val="0"/>
        <w:bidi w:val="0"/>
        <w:spacing w:after="0"/>
        <w:ind w:firstLine="0" w:firstLineChars="0"/>
        <w:rPr>
          <w:rFonts w:hint="eastAsia"/>
          <w:color w:val="36363D"/>
        </w:rPr>
      </w:pPr>
      <w:r>
        <w:rPr>
          <w:rFonts w:hint="eastAsia"/>
          <w:color w:val="36363D"/>
        </w:rPr>
        <w:t>10.2本合同所称之损失包括实际损失和协议履行后可以获得的利益及合理的调查费、担保费、保全费、律师费、差旅费等相关法律费用。</w:t>
      </w:r>
    </w:p>
    <w:p w14:paraId="F93E8FA1">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十</w:t>
      </w:r>
      <w:r>
        <w:rPr>
          <w:rFonts w:hint="eastAsia" w:ascii="Times New Roman" w:hAnsi="Times New Roman"/>
          <w:bCs/>
          <w:color w:val="36363D"/>
        </w:rPr>
        <w:t>一</w:t>
      </w:r>
      <w:r>
        <w:rPr>
          <w:rFonts w:ascii="Times New Roman" w:hAnsi="Times New Roman"/>
          <w:bCs/>
          <w:color w:val="36363D"/>
        </w:rPr>
        <w:t>、</w:t>
      </w:r>
      <w:r>
        <w:rPr>
          <w:rFonts w:hint="eastAsia" w:ascii="Times New Roman" w:hAnsi="Times New Roman"/>
          <w:bCs/>
          <w:color w:val="36363D"/>
        </w:rPr>
        <w:t>争议解决</w:t>
      </w:r>
    </w:p>
    <w:p w14:paraId="0F2B4A29">
      <w:pPr>
        <w:pStyle w:val="42"/>
        <w:pageBreakBefore w:val="0"/>
        <w:kinsoku/>
        <w:overflowPunct/>
        <w:topLinePunct w:val="0"/>
        <w:bidi w:val="0"/>
        <w:spacing w:before="0" w:after="0" w:line="360" w:lineRule="auto"/>
        <w:ind w:firstLine="0" w:firstLineChars="0"/>
        <w:rPr>
          <w:bCs/>
          <w:color w:val="36363D"/>
        </w:rPr>
      </w:pPr>
      <w:r>
        <w:rPr>
          <w:bCs/>
          <w:color w:val="36363D"/>
          <w:szCs w:val="24"/>
        </w:rPr>
        <w:t>双方在执行合同中所发生的一切争议，应通过协商解决。如协商不成，可向合同签订地法院起诉，合同签订地在此约定为</w:t>
      </w:r>
      <w:r>
        <w:rPr>
          <w:rFonts w:hint="eastAsia"/>
          <w:bCs/>
          <w:color w:val="36363D"/>
          <w:szCs w:val="24"/>
        </w:rPr>
        <w:t>宁波</w:t>
      </w:r>
      <w:r>
        <w:rPr>
          <w:bCs/>
          <w:color w:val="36363D"/>
          <w:szCs w:val="24"/>
        </w:rPr>
        <w:t>市</w:t>
      </w:r>
      <w:r>
        <w:rPr>
          <w:rFonts w:hint="eastAsia"/>
          <w:bCs/>
          <w:color w:val="36363D"/>
          <w:szCs w:val="24"/>
        </w:rPr>
        <w:t>海曙区</w:t>
      </w:r>
      <w:r>
        <w:rPr>
          <w:bCs/>
          <w:color w:val="36363D"/>
          <w:szCs w:val="24"/>
        </w:rPr>
        <w:t>。</w:t>
      </w:r>
    </w:p>
    <w:p w14:paraId="A616A389">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十</w:t>
      </w:r>
      <w:r>
        <w:rPr>
          <w:rFonts w:hint="eastAsia" w:ascii="Times New Roman" w:hAnsi="Times New Roman"/>
          <w:bCs/>
          <w:color w:val="36363D"/>
        </w:rPr>
        <w:t>二</w:t>
      </w:r>
      <w:r>
        <w:rPr>
          <w:rFonts w:ascii="Times New Roman" w:hAnsi="Times New Roman"/>
          <w:bCs/>
          <w:color w:val="36363D"/>
        </w:rPr>
        <w:t>、合同生效及其它</w:t>
      </w:r>
    </w:p>
    <w:p w14:paraId="5F420D5B">
      <w:pPr>
        <w:pStyle w:val="42"/>
        <w:pageBreakBefore w:val="0"/>
        <w:kinsoku/>
        <w:overflowPunct/>
        <w:topLinePunct w:val="0"/>
        <w:bidi w:val="0"/>
        <w:spacing w:before="0" w:after="0" w:line="360" w:lineRule="auto"/>
        <w:ind w:firstLine="0" w:firstLineChars="0"/>
        <w:rPr>
          <w:bCs/>
          <w:color w:val="36363D"/>
        </w:rPr>
      </w:pPr>
      <w:r>
        <w:rPr>
          <w:bCs/>
          <w:color w:val="36363D"/>
          <w:szCs w:val="24"/>
        </w:rPr>
        <w:t>12.1 合同经双方法定代表人或授权委托代理人签字并加盖单位公章后生效。</w:t>
      </w:r>
    </w:p>
    <w:p w14:paraId="51FFC626">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12.2本合同未尽事宜，遵照《中华人民共和国民法典》有关条文执行。</w:t>
      </w:r>
    </w:p>
    <w:p w14:paraId="7A40FFC3">
      <w:pPr>
        <w:pStyle w:val="42"/>
        <w:pageBreakBefore w:val="0"/>
        <w:kinsoku/>
        <w:overflowPunct/>
        <w:topLinePunct w:val="0"/>
        <w:bidi w:val="0"/>
        <w:spacing w:before="0" w:after="0" w:line="360" w:lineRule="auto"/>
        <w:ind w:firstLine="0" w:firstLineChars="0"/>
        <w:rPr>
          <w:bCs/>
          <w:color w:val="36363D"/>
        </w:rPr>
      </w:pPr>
      <w:r>
        <w:rPr>
          <w:bCs/>
          <w:color w:val="36363D"/>
          <w:szCs w:val="24"/>
        </w:rPr>
        <w:t>12.3 本合同正本一式两份，具有同等法律效力，甲乙双方各执一份；副本    份，(用途)。</w:t>
      </w:r>
    </w:p>
    <w:p w14:paraId="29C5926E">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 xml:space="preserve">   </w:t>
      </w:r>
    </w:p>
    <w:p w14:paraId="AF604F11">
      <w:pPr>
        <w:pStyle w:val="42"/>
        <w:pageBreakBefore w:val="0"/>
        <w:kinsoku/>
        <w:overflowPunct/>
        <w:topLinePunct w:val="0"/>
        <w:bidi w:val="0"/>
        <w:spacing w:before="0" w:after="0" w:line="360" w:lineRule="auto"/>
        <w:ind w:firstLine="0" w:firstLineChars="0"/>
        <w:rPr>
          <w:bCs/>
          <w:color w:val="36363D"/>
        </w:rPr>
      </w:pPr>
      <w:r>
        <w:rPr>
          <w:bCs/>
          <w:color w:val="36363D"/>
          <w:szCs w:val="24"/>
        </w:rPr>
        <w:t xml:space="preserve">甲方：                                        乙方： </w:t>
      </w:r>
    </w:p>
    <w:p w14:paraId="077E1B38">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 xml:space="preserve">地址：                                        地址： </w:t>
      </w:r>
    </w:p>
    <w:p w14:paraId="7C1DBA06">
      <w:pPr>
        <w:pStyle w:val="42"/>
        <w:pageBreakBefore w:val="0"/>
        <w:kinsoku/>
        <w:overflowPunct/>
        <w:topLinePunct w:val="0"/>
        <w:bidi w:val="0"/>
        <w:spacing w:before="0" w:after="0" w:line="360" w:lineRule="auto"/>
        <w:ind w:firstLine="0" w:firstLineChars="0"/>
        <w:rPr>
          <w:bCs/>
          <w:color w:val="36363D"/>
        </w:rPr>
      </w:pPr>
      <w:r>
        <w:rPr>
          <w:bCs/>
          <w:color w:val="36363D"/>
          <w:szCs w:val="24"/>
        </w:rPr>
        <w:t>法定代表人：                                  法定代表人：</w:t>
      </w:r>
    </w:p>
    <w:p w14:paraId="96366621">
      <w:pPr>
        <w:pageBreakBefore w:val="0"/>
        <w:kinsoku/>
        <w:overflowPunct/>
        <w:topLinePunct w:val="0"/>
        <w:bidi w:val="0"/>
        <w:spacing w:after="0"/>
        <w:ind w:firstLine="0" w:firstLineChars="0"/>
        <w:rPr>
          <w:rFonts w:ascii="Times New Roman" w:hAnsi="Times New Roman"/>
          <w:bCs/>
          <w:color w:val="36363D"/>
        </w:rPr>
      </w:pPr>
      <w:r>
        <w:rPr>
          <w:rFonts w:ascii="Times New Roman" w:hAnsi="Times New Roman"/>
          <w:bCs/>
          <w:color w:val="36363D"/>
        </w:rPr>
        <w:t>签订地点：    年   月   日                    签订日期：    年   月   日</w:t>
      </w:r>
    </w:p>
    <w:p w14:paraId="7FE25CDC">
      <w:pPr>
        <w:pageBreakBefore w:val="0"/>
        <w:kinsoku/>
        <w:overflowPunct/>
        <w:topLinePunct w:val="0"/>
        <w:bidi w:val="0"/>
        <w:spacing w:after="0" w:line="460" w:lineRule="exact"/>
        <w:ind w:firstLine="539" w:firstLineChars="245"/>
        <w:rPr>
          <w:rFonts w:hint="eastAsia" w:ascii="新宋体" w:hAnsi="新宋体" w:eastAsia="新宋体"/>
          <w:color w:val="36363D"/>
          <w:sz w:val="22"/>
        </w:rPr>
      </w:pPr>
    </w:p>
    <w:p w14:paraId="AD178906">
      <w:pPr>
        <w:pageBreakBefore w:val="0"/>
        <w:kinsoku/>
        <w:overflowPunct/>
        <w:topLinePunct w:val="0"/>
        <w:bidi w:val="0"/>
        <w:spacing w:after="0"/>
        <w:ind w:firstLine="480"/>
        <w:rPr>
          <w:rFonts w:hint="eastAsia" w:cs="宋体"/>
          <w:color w:val="36363D"/>
        </w:rPr>
      </w:pPr>
    </w:p>
    <w:p w14:paraId="D596FE17">
      <w:pPr>
        <w:pStyle w:val="39"/>
        <w:pageBreakBefore w:val="0"/>
        <w:kinsoku/>
        <w:overflowPunct/>
        <w:topLinePunct w:val="0"/>
        <w:bidi w:val="0"/>
        <w:spacing w:before="0" w:beforeAutospacing="0" w:after="0" w:afterAutospacing="0" w:line="360" w:lineRule="auto"/>
        <w:rPr>
          <w:rFonts w:hint="eastAsia" w:cs="宋体"/>
          <w:color w:val="36363D"/>
        </w:rPr>
      </w:pPr>
    </w:p>
    <w:p w14:paraId="7D23709D">
      <w:pPr>
        <w:pStyle w:val="39"/>
        <w:pageBreakBefore w:val="0"/>
        <w:kinsoku/>
        <w:overflowPunct/>
        <w:topLinePunct w:val="0"/>
        <w:bidi w:val="0"/>
        <w:spacing w:before="0" w:beforeAutospacing="0" w:after="0" w:afterAutospacing="0" w:line="360" w:lineRule="auto"/>
        <w:rPr>
          <w:rFonts w:hint="eastAsia" w:cs="宋体"/>
          <w:color w:val="36363D"/>
        </w:rPr>
      </w:pPr>
    </w:p>
    <w:p w14:paraId="66646B98">
      <w:pPr>
        <w:pStyle w:val="39"/>
        <w:pageBreakBefore w:val="0"/>
        <w:kinsoku/>
        <w:overflowPunct/>
        <w:topLinePunct w:val="0"/>
        <w:bidi w:val="0"/>
        <w:spacing w:before="0" w:beforeAutospacing="0" w:after="0" w:afterAutospacing="0" w:line="360" w:lineRule="auto"/>
        <w:rPr>
          <w:rFonts w:hint="eastAsia" w:cs="宋体"/>
          <w:color w:val="36363D"/>
        </w:rPr>
      </w:pPr>
    </w:p>
    <w:p w14:paraId="B3096BE6">
      <w:pPr>
        <w:pStyle w:val="55"/>
        <w:pageBreakBefore w:val="0"/>
        <w:kinsoku/>
        <w:overflowPunct/>
        <w:topLinePunct w:val="0"/>
        <w:bidi w:val="0"/>
        <w:spacing w:after="0"/>
        <w:jc w:val="center"/>
        <w:rPr>
          <w:rStyle w:val="59"/>
          <w:rFonts w:hint="eastAsia"/>
          <w:color w:val="36363D"/>
        </w:rPr>
      </w:pPr>
      <w:bookmarkStart w:id="186" w:name="_Toc2644"/>
      <w:r>
        <w:rPr>
          <w:rStyle w:val="59"/>
          <w:rFonts w:hint="eastAsia"/>
          <w:color w:val="36363D"/>
        </w:rPr>
        <w:br w:type="page"/>
      </w:r>
    </w:p>
    <w:p w14:paraId="16697A6B">
      <w:pPr>
        <w:pStyle w:val="55"/>
        <w:pageBreakBefore w:val="0"/>
        <w:kinsoku/>
        <w:overflowPunct/>
        <w:topLinePunct w:val="0"/>
        <w:bidi w:val="0"/>
        <w:spacing w:after="0"/>
        <w:jc w:val="center"/>
        <w:rPr>
          <w:rStyle w:val="59"/>
          <w:rFonts w:hint="eastAsia"/>
          <w:color w:val="36363D"/>
        </w:rPr>
      </w:pPr>
      <w:bookmarkStart w:id="187" w:name="_Toc22978"/>
      <w:r>
        <w:rPr>
          <w:rStyle w:val="59"/>
          <w:rFonts w:hint="eastAsia"/>
          <w:color w:val="36363D"/>
        </w:rPr>
        <w:t>第六章 投标文件格式</w:t>
      </w:r>
      <w:bookmarkEnd w:id="183"/>
      <w:bookmarkEnd w:id="184"/>
      <w:bookmarkEnd w:id="185"/>
    </w:p>
    <w:bookmarkEnd w:id="186"/>
    <w:bookmarkEnd w:id="187"/>
    <w:p w14:paraId="F4571511">
      <w:pPr>
        <w:pStyle w:val="42"/>
        <w:pageBreakBefore w:val="0"/>
        <w:tabs>
          <w:tab w:val="left" w:pos="0"/>
          <w:tab w:val="left" w:pos="1260"/>
          <w:tab w:val="left" w:pos="1365"/>
        </w:tabs>
        <w:kinsoku/>
        <w:overflowPunct/>
        <w:topLinePunct w:val="0"/>
        <w:bidi w:val="0"/>
        <w:spacing w:before="0" w:after="0"/>
        <w:ind w:firstLine="602"/>
        <w:jc w:val="center"/>
        <w:textAlignment w:val="baseline"/>
        <w:rPr>
          <w:rFonts w:hint="eastAsia" w:ascii="宋体" w:hAnsi="宋体" w:cs="宋体"/>
          <w:b/>
          <w:bCs/>
          <w:color w:val="36363D"/>
          <w:sz w:val="30"/>
          <w:szCs w:val="30"/>
        </w:rPr>
      </w:pPr>
      <w:r>
        <w:rPr>
          <w:rFonts w:hint="eastAsia" w:ascii="宋体" w:hAnsi="宋体" w:cs="宋体"/>
          <w:b/>
          <w:bCs/>
          <w:color w:val="36363D"/>
          <w:sz w:val="30"/>
          <w:szCs w:val="30"/>
        </w:rPr>
        <w:t>A报价文件</w:t>
      </w:r>
    </w:p>
    <w:p w14:paraId="80AFEC2A">
      <w:pPr>
        <w:pStyle w:val="42"/>
        <w:pageBreakBefore w:val="0"/>
        <w:tabs>
          <w:tab w:val="left" w:pos="0"/>
          <w:tab w:val="left" w:pos="1260"/>
          <w:tab w:val="left" w:pos="1365"/>
        </w:tabs>
        <w:kinsoku/>
        <w:overflowPunct/>
        <w:topLinePunct w:val="0"/>
        <w:bidi w:val="0"/>
        <w:spacing w:before="0" w:after="0"/>
        <w:ind w:firstLine="643"/>
        <w:jc w:val="center"/>
        <w:textAlignment w:val="baseline"/>
        <w:rPr>
          <w:rFonts w:cs="宋体"/>
          <w:b/>
          <w:bCs/>
          <w:color w:val="36363D"/>
          <w:sz w:val="32"/>
        </w:rPr>
      </w:pPr>
      <w:r>
        <w:rPr>
          <w:rFonts w:hint="eastAsia" w:cs="宋体"/>
          <w:b/>
          <w:bCs/>
          <w:color w:val="36363D"/>
          <w:sz w:val="32"/>
        </w:rPr>
        <w:t>封面</w:t>
      </w:r>
    </w:p>
    <w:p w14:paraId="225EDB76">
      <w:pPr>
        <w:pageBreakBefore w:val="0"/>
        <w:kinsoku/>
        <w:overflowPunct/>
        <w:topLinePunct w:val="0"/>
        <w:bidi w:val="0"/>
        <w:snapToGrid w:val="0"/>
        <w:spacing w:after="0"/>
        <w:ind w:firstLine="2570" w:firstLineChars="800"/>
        <w:textAlignment w:val="baseline"/>
        <w:rPr>
          <w:rFonts w:hint="eastAsia" w:cs="宋体"/>
          <w:b/>
          <w:color w:val="36363D"/>
          <w:sz w:val="32"/>
          <w:szCs w:val="32"/>
        </w:rPr>
      </w:pPr>
      <w:r>
        <w:rPr>
          <w:rFonts w:hint="eastAsia" w:cs="宋体"/>
          <w:b/>
          <w:color w:val="36363D"/>
          <w:sz w:val="32"/>
          <w:szCs w:val="32"/>
        </w:rPr>
        <w:t>项目名称:浙江工商职业技术学院</w:t>
      </w:r>
    </w:p>
    <w:p w14:paraId="98559FA8">
      <w:pPr>
        <w:pageBreakBefore w:val="0"/>
        <w:kinsoku/>
        <w:overflowPunct/>
        <w:topLinePunct w:val="0"/>
        <w:bidi w:val="0"/>
        <w:snapToGrid w:val="0"/>
        <w:spacing w:after="0"/>
        <w:ind w:firstLine="961" w:firstLineChars="299"/>
        <w:jc w:val="center"/>
        <w:textAlignment w:val="baseline"/>
        <w:rPr>
          <w:rFonts w:hint="eastAsia" w:cs="宋体"/>
          <w:b/>
          <w:color w:val="36363D"/>
          <w:sz w:val="32"/>
          <w:szCs w:val="32"/>
        </w:rPr>
      </w:pPr>
      <w:r>
        <w:rPr>
          <w:rFonts w:hint="eastAsia" w:cs="宋体"/>
          <w:b/>
          <w:color w:val="36363D"/>
          <w:sz w:val="32"/>
          <w:szCs w:val="32"/>
        </w:rPr>
        <w:t>海曙校区、宁海校区光伏发电合同能源管理</w:t>
      </w:r>
      <w:r>
        <w:rPr>
          <w:rFonts w:cs="宋体"/>
          <w:b/>
          <w:color w:val="36363D"/>
          <w:sz w:val="32"/>
          <w:szCs w:val="32"/>
        </w:rPr>
        <w:t>项目</w:t>
      </w:r>
    </w:p>
    <w:p w14:paraId="B9AD61E8">
      <w:pPr>
        <w:pageBreakBefore w:val="0"/>
        <w:kinsoku/>
        <w:overflowPunct/>
        <w:topLinePunct w:val="0"/>
        <w:bidi w:val="0"/>
        <w:snapToGrid w:val="0"/>
        <w:spacing w:after="0"/>
        <w:ind w:firstLine="961" w:firstLineChars="299"/>
        <w:jc w:val="center"/>
        <w:textAlignment w:val="baseline"/>
        <w:rPr>
          <w:rFonts w:hint="eastAsia" w:cs="宋体"/>
          <w:b/>
          <w:color w:val="36363D"/>
          <w:sz w:val="32"/>
          <w:szCs w:val="32"/>
        </w:rPr>
      </w:pPr>
      <w:r>
        <w:rPr>
          <w:rFonts w:hint="eastAsia" w:cs="宋体"/>
          <w:b/>
          <w:color w:val="36363D"/>
          <w:sz w:val="32"/>
          <w:szCs w:val="32"/>
        </w:rPr>
        <w:t>招标编号:ZJZX-ZJGS202506G</w:t>
      </w:r>
    </w:p>
    <w:p w14:paraId="7D87CCC1">
      <w:pPr>
        <w:pageBreakBefore w:val="0"/>
        <w:kinsoku/>
        <w:overflowPunct/>
        <w:topLinePunct w:val="0"/>
        <w:bidi w:val="0"/>
        <w:snapToGrid w:val="0"/>
        <w:spacing w:after="0"/>
        <w:ind w:firstLine="643"/>
        <w:jc w:val="center"/>
        <w:textAlignment w:val="baseline"/>
        <w:rPr>
          <w:rFonts w:hint="eastAsia" w:cs="宋体"/>
          <w:b/>
          <w:color w:val="36363D"/>
          <w:sz w:val="32"/>
          <w:szCs w:val="32"/>
        </w:rPr>
      </w:pPr>
    </w:p>
    <w:p w14:paraId="D7E9DB33">
      <w:pPr>
        <w:pageBreakBefore w:val="0"/>
        <w:kinsoku/>
        <w:overflowPunct/>
        <w:topLinePunct w:val="0"/>
        <w:bidi w:val="0"/>
        <w:snapToGrid w:val="0"/>
        <w:spacing w:after="0"/>
        <w:ind w:firstLine="640"/>
        <w:jc w:val="center"/>
        <w:textAlignment w:val="baseline"/>
        <w:rPr>
          <w:rFonts w:hint="eastAsia" w:cs="宋体"/>
          <w:color w:val="36363D"/>
          <w:sz w:val="32"/>
          <w:szCs w:val="32"/>
        </w:rPr>
      </w:pPr>
      <w:r>
        <w:rPr>
          <w:rFonts w:hint="eastAsia" w:cs="宋体"/>
          <w:color w:val="36363D"/>
          <w:sz w:val="32"/>
          <w:szCs w:val="32"/>
        </w:rPr>
        <w:t>（报价文件）</w:t>
      </w:r>
    </w:p>
    <w:p w14:paraId="D46F038F">
      <w:pPr>
        <w:pageBreakBefore w:val="0"/>
        <w:kinsoku/>
        <w:overflowPunct/>
        <w:topLinePunct w:val="0"/>
        <w:bidi w:val="0"/>
        <w:snapToGrid w:val="0"/>
        <w:spacing w:after="0"/>
        <w:ind w:firstLine="400"/>
        <w:textAlignment w:val="baseline"/>
        <w:rPr>
          <w:rFonts w:hint="eastAsia" w:cs="宋体"/>
          <w:color w:val="36363D"/>
          <w:sz w:val="20"/>
        </w:rPr>
      </w:pPr>
    </w:p>
    <w:p w14:paraId="8CF191EE">
      <w:pPr>
        <w:pageBreakBefore w:val="0"/>
        <w:kinsoku/>
        <w:overflowPunct/>
        <w:topLinePunct w:val="0"/>
        <w:bidi w:val="0"/>
        <w:snapToGrid w:val="0"/>
        <w:spacing w:after="0"/>
        <w:ind w:firstLine="1446"/>
        <w:jc w:val="center"/>
        <w:textAlignment w:val="baseline"/>
        <w:rPr>
          <w:rFonts w:hint="eastAsia" w:cs="宋体"/>
          <w:b/>
          <w:color w:val="36363D"/>
          <w:sz w:val="72"/>
          <w:szCs w:val="72"/>
        </w:rPr>
      </w:pPr>
      <w:r>
        <w:rPr>
          <w:rFonts w:hint="eastAsia" w:cs="宋体"/>
          <w:b/>
          <w:color w:val="36363D"/>
          <w:sz w:val="72"/>
          <w:szCs w:val="72"/>
        </w:rPr>
        <w:t>投</w:t>
      </w:r>
    </w:p>
    <w:p w14:paraId="5D5EEDD5">
      <w:pPr>
        <w:pageBreakBefore w:val="0"/>
        <w:kinsoku/>
        <w:overflowPunct/>
        <w:topLinePunct w:val="0"/>
        <w:bidi w:val="0"/>
        <w:snapToGrid w:val="0"/>
        <w:spacing w:after="0"/>
        <w:ind w:firstLine="1446"/>
        <w:jc w:val="center"/>
        <w:textAlignment w:val="baseline"/>
        <w:rPr>
          <w:rFonts w:hint="eastAsia" w:cs="宋体"/>
          <w:b/>
          <w:color w:val="36363D"/>
          <w:sz w:val="72"/>
          <w:szCs w:val="72"/>
        </w:rPr>
      </w:pPr>
      <w:r>
        <w:rPr>
          <w:rFonts w:hint="eastAsia" w:cs="宋体"/>
          <w:b/>
          <w:color w:val="36363D"/>
          <w:sz w:val="72"/>
          <w:szCs w:val="72"/>
        </w:rPr>
        <w:t>标</w:t>
      </w:r>
    </w:p>
    <w:p w14:paraId="1CBC8492">
      <w:pPr>
        <w:pageBreakBefore w:val="0"/>
        <w:kinsoku/>
        <w:overflowPunct/>
        <w:topLinePunct w:val="0"/>
        <w:bidi w:val="0"/>
        <w:snapToGrid w:val="0"/>
        <w:spacing w:after="0"/>
        <w:ind w:firstLine="1446"/>
        <w:jc w:val="center"/>
        <w:textAlignment w:val="baseline"/>
        <w:rPr>
          <w:rFonts w:hint="eastAsia" w:cs="宋体"/>
          <w:b/>
          <w:color w:val="36363D"/>
          <w:sz w:val="72"/>
          <w:szCs w:val="72"/>
        </w:rPr>
      </w:pPr>
      <w:r>
        <w:rPr>
          <w:rFonts w:hint="eastAsia" w:cs="宋体"/>
          <w:b/>
          <w:color w:val="36363D"/>
          <w:sz w:val="72"/>
          <w:szCs w:val="72"/>
        </w:rPr>
        <w:t>文</w:t>
      </w:r>
    </w:p>
    <w:p w14:paraId="BA55AD06">
      <w:pPr>
        <w:pageBreakBefore w:val="0"/>
        <w:kinsoku/>
        <w:overflowPunct/>
        <w:topLinePunct w:val="0"/>
        <w:bidi w:val="0"/>
        <w:snapToGrid w:val="0"/>
        <w:spacing w:after="0"/>
        <w:ind w:firstLine="1446"/>
        <w:jc w:val="center"/>
        <w:textAlignment w:val="baseline"/>
        <w:rPr>
          <w:rFonts w:hint="eastAsia" w:cs="宋体"/>
          <w:b/>
          <w:color w:val="36363D"/>
          <w:sz w:val="72"/>
          <w:szCs w:val="72"/>
        </w:rPr>
      </w:pPr>
      <w:r>
        <w:rPr>
          <w:rFonts w:hint="eastAsia" w:cs="宋体"/>
          <w:b/>
          <w:color w:val="36363D"/>
          <w:sz w:val="72"/>
          <w:szCs w:val="72"/>
        </w:rPr>
        <w:t>件</w:t>
      </w:r>
    </w:p>
    <w:p w14:paraId="A57C04D8">
      <w:pPr>
        <w:pageBreakBefore w:val="0"/>
        <w:kinsoku/>
        <w:overflowPunct/>
        <w:topLinePunct w:val="0"/>
        <w:bidi w:val="0"/>
        <w:snapToGrid w:val="0"/>
        <w:spacing w:after="0"/>
        <w:ind w:firstLine="400"/>
        <w:textAlignment w:val="baseline"/>
        <w:rPr>
          <w:rFonts w:hint="eastAsia" w:cs="宋体"/>
          <w:color w:val="36363D"/>
          <w:sz w:val="20"/>
        </w:rPr>
      </w:pPr>
    </w:p>
    <w:p w14:paraId="716C7C07">
      <w:pPr>
        <w:pageBreakBefore w:val="0"/>
        <w:kinsoku/>
        <w:overflowPunct/>
        <w:topLinePunct w:val="0"/>
        <w:bidi w:val="0"/>
        <w:snapToGrid w:val="0"/>
        <w:spacing w:after="0"/>
        <w:ind w:firstLine="560"/>
        <w:textAlignment w:val="baseline"/>
        <w:rPr>
          <w:rFonts w:hint="eastAsia" w:cs="宋体"/>
          <w:color w:val="36363D"/>
          <w:sz w:val="28"/>
          <w:szCs w:val="28"/>
        </w:rPr>
      </w:pPr>
      <w:r>
        <w:rPr>
          <w:rFonts w:hint="eastAsia" w:cs="宋体"/>
          <w:color w:val="36363D"/>
          <w:sz w:val="28"/>
          <w:szCs w:val="28"/>
        </w:rPr>
        <w:t>项目名称:________________________</w:t>
      </w:r>
    </w:p>
    <w:p w14:paraId="85D5E9B5">
      <w:pPr>
        <w:pageBreakBefore w:val="0"/>
        <w:kinsoku/>
        <w:overflowPunct/>
        <w:topLinePunct w:val="0"/>
        <w:bidi w:val="0"/>
        <w:snapToGrid w:val="0"/>
        <w:spacing w:after="0"/>
        <w:ind w:firstLine="560"/>
        <w:textAlignment w:val="baseline"/>
        <w:rPr>
          <w:rFonts w:hint="eastAsia" w:cs="宋体"/>
          <w:color w:val="36363D"/>
          <w:sz w:val="28"/>
          <w:szCs w:val="28"/>
        </w:rPr>
      </w:pPr>
      <w:r>
        <w:rPr>
          <w:rFonts w:hint="eastAsia" w:cs="宋体"/>
          <w:color w:val="36363D"/>
          <w:sz w:val="28"/>
          <w:szCs w:val="28"/>
        </w:rPr>
        <w:t>投 标 人:________________________</w:t>
      </w:r>
    </w:p>
    <w:p w14:paraId="72BBF01A">
      <w:pPr>
        <w:pageBreakBefore w:val="0"/>
        <w:kinsoku/>
        <w:overflowPunct/>
        <w:topLinePunct w:val="0"/>
        <w:bidi w:val="0"/>
        <w:snapToGrid w:val="0"/>
        <w:spacing w:after="0"/>
        <w:ind w:firstLine="560"/>
        <w:textAlignment w:val="baseline"/>
        <w:rPr>
          <w:rFonts w:hint="eastAsia" w:cs="宋体"/>
          <w:color w:val="36363D"/>
          <w:sz w:val="28"/>
          <w:szCs w:val="28"/>
        </w:rPr>
      </w:pPr>
      <w:r>
        <w:rPr>
          <w:rFonts w:hint="eastAsia" w:cs="宋体"/>
          <w:color w:val="36363D"/>
          <w:sz w:val="28"/>
          <w:szCs w:val="28"/>
        </w:rPr>
        <w:t>投标人地址：_____________________</w:t>
      </w:r>
    </w:p>
    <w:p w14:paraId="AF12D6DB">
      <w:pPr>
        <w:pageBreakBefore w:val="0"/>
        <w:kinsoku/>
        <w:overflowPunct/>
        <w:topLinePunct w:val="0"/>
        <w:bidi w:val="0"/>
        <w:snapToGrid w:val="0"/>
        <w:spacing w:after="0"/>
        <w:ind w:left="3825" w:firstLine="560"/>
        <w:textAlignment w:val="baseline"/>
        <w:rPr>
          <w:rFonts w:hint="eastAsia" w:cs="宋体"/>
          <w:color w:val="36363D"/>
          <w:sz w:val="28"/>
          <w:szCs w:val="28"/>
        </w:rPr>
      </w:pPr>
      <w:r>
        <w:rPr>
          <w:rFonts w:hint="eastAsia" w:cs="宋体"/>
          <w:color w:val="36363D"/>
          <w:sz w:val="28"/>
          <w:szCs w:val="28"/>
        </w:rPr>
        <w:t>年月日</w:t>
      </w:r>
    </w:p>
    <w:p w14:paraId="9D026898">
      <w:pPr>
        <w:pStyle w:val="15"/>
        <w:pageBreakBefore w:val="0"/>
        <w:kinsoku/>
        <w:overflowPunct/>
        <w:topLinePunct w:val="0"/>
        <w:bidi w:val="0"/>
        <w:snapToGrid w:val="0"/>
        <w:spacing w:after="0"/>
        <w:textAlignment w:val="baseline"/>
        <w:rPr>
          <w:color w:val="36363D"/>
        </w:rPr>
      </w:pPr>
    </w:p>
    <w:p w14:paraId="93267888">
      <w:pPr>
        <w:pageBreakBefore w:val="0"/>
        <w:kinsoku/>
        <w:overflowPunct/>
        <w:topLinePunct w:val="0"/>
        <w:bidi w:val="0"/>
        <w:snapToGrid w:val="0"/>
        <w:spacing w:after="0"/>
        <w:ind w:firstLine="400"/>
        <w:textAlignment w:val="baseline"/>
        <w:rPr>
          <w:rFonts w:hint="eastAsia"/>
          <w:color w:val="36363D"/>
          <w:sz w:val="20"/>
        </w:rPr>
      </w:pPr>
    </w:p>
    <w:p w14:paraId="FC28C542">
      <w:pPr>
        <w:pageBreakBefore w:val="0"/>
        <w:kinsoku/>
        <w:overflowPunct/>
        <w:topLinePunct w:val="0"/>
        <w:bidi w:val="0"/>
        <w:snapToGrid w:val="0"/>
        <w:spacing w:after="0" w:line="400" w:lineRule="exact"/>
        <w:ind w:firstLine="482"/>
        <w:jc w:val="center"/>
        <w:textAlignment w:val="baseline"/>
        <w:rPr>
          <w:rFonts w:hint="eastAsia" w:cs="宋体"/>
          <w:b/>
          <w:color w:val="36363D"/>
          <w:sz w:val="20"/>
        </w:rPr>
      </w:pPr>
      <w:r>
        <w:rPr>
          <w:rFonts w:hint="eastAsia" w:cs="宋体"/>
          <w:b/>
          <w:color w:val="36363D"/>
        </w:rPr>
        <w:t>A1开标一览表</w:t>
      </w:r>
    </w:p>
    <w:p w14:paraId="39240E70">
      <w:pPr>
        <w:pageBreakBefore w:val="0"/>
        <w:kinsoku/>
        <w:overflowPunct/>
        <w:topLinePunct w:val="0"/>
        <w:bidi w:val="0"/>
        <w:snapToGrid w:val="0"/>
        <w:spacing w:after="0"/>
        <w:ind w:firstLine="400"/>
        <w:textAlignment w:val="baseline"/>
        <w:rPr>
          <w:rFonts w:hint="eastAsia" w:cs="宋体"/>
          <w:color w:val="36363D"/>
          <w:sz w:val="20"/>
        </w:rPr>
      </w:pPr>
    </w:p>
    <w:p w14:paraId="9F9F67F4">
      <w:pPr>
        <w:pageBreakBefore w:val="0"/>
        <w:kinsoku/>
        <w:overflowPunct/>
        <w:topLinePunct w:val="0"/>
        <w:bidi w:val="0"/>
        <w:snapToGrid w:val="0"/>
        <w:spacing w:after="0"/>
        <w:ind w:firstLine="480"/>
        <w:textAlignment w:val="baseline"/>
        <w:rPr>
          <w:rFonts w:hint="eastAsia" w:cs="宋体"/>
          <w:color w:val="36363D"/>
        </w:rPr>
      </w:pPr>
      <w:r>
        <w:rPr>
          <w:rFonts w:hint="eastAsia" w:cs="宋体"/>
          <w:color w:val="36363D"/>
        </w:rPr>
        <w:t>招标项目名称：浙江工商职业技术学院海曙校区、宁海校区光伏发电合同能源管理项目</w:t>
      </w:r>
    </w:p>
    <w:p w14:paraId="5E82859B">
      <w:pPr>
        <w:pageBreakBefore w:val="0"/>
        <w:kinsoku/>
        <w:overflowPunct/>
        <w:topLinePunct w:val="0"/>
        <w:bidi w:val="0"/>
        <w:snapToGrid w:val="0"/>
        <w:spacing w:after="0"/>
        <w:ind w:firstLine="480"/>
        <w:textAlignment w:val="baseline"/>
        <w:rPr>
          <w:rFonts w:hint="eastAsia" w:cs="宋体"/>
          <w:color w:val="36363D"/>
          <w:sz w:val="20"/>
        </w:rPr>
      </w:pPr>
      <w:r>
        <w:rPr>
          <w:rFonts w:hint="eastAsia" w:cs="宋体"/>
          <w:color w:val="36363D"/>
        </w:rPr>
        <w:t xml:space="preserve">招标编号：                </w:t>
      </w:r>
    </w:p>
    <w:tbl>
      <w:tblPr>
        <w:tblStyle w:val="43"/>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14:paraId="7874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vAlign w:val="center"/>
          </w:tcPr>
          <w:p w14:paraId="EBE025C5">
            <w:pPr>
              <w:pageBreakBefore w:val="0"/>
              <w:kinsoku/>
              <w:overflowPunct/>
              <w:topLinePunct w:val="0"/>
              <w:bidi w:val="0"/>
              <w:snapToGrid w:val="0"/>
              <w:spacing w:after="0"/>
              <w:ind w:firstLine="0" w:firstLineChars="0"/>
              <w:jc w:val="center"/>
              <w:textAlignment w:val="baseline"/>
              <w:rPr>
                <w:rFonts w:hint="eastAsia" w:cs="宋体"/>
                <w:color w:val="36363D"/>
                <w:sz w:val="20"/>
              </w:rPr>
            </w:pPr>
            <w:r>
              <w:rPr>
                <w:rFonts w:hint="eastAsia" w:cs="宋体"/>
                <w:color w:val="36363D"/>
              </w:rPr>
              <w:t>标项号</w:t>
            </w:r>
          </w:p>
        </w:tc>
        <w:tc>
          <w:tcPr>
            <w:tcW w:w="3247" w:type="dxa"/>
            <w:vAlign w:val="center"/>
          </w:tcPr>
          <w:p w14:paraId="20D1A9DF">
            <w:pPr>
              <w:pageBreakBefore w:val="0"/>
              <w:kinsoku/>
              <w:overflowPunct/>
              <w:topLinePunct w:val="0"/>
              <w:bidi w:val="0"/>
              <w:snapToGrid w:val="0"/>
              <w:spacing w:after="0"/>
              <w:ind w:firstLine="0" w:firstLineChars="0"/>
              <w:jc w:val="center"/>
              <w:textAlignment w:val="baseline"/>
              <w:rPr>
                <w:rFonts w:hint="eastAsia" w:cs="宋体"/>
                <w:color w:val="36363D"/>
              </w:rPr>
            </w:pPr>
            <w:r>
              <w:rPr>
                <w:rFonts w:hint="eastAsia" w:cs="宋体"/>
                <w:color w:val="36363D"/>
              </w:rPr>
              <w:t>费用项目名称</w:t>
            </w:r>
          </w:p>
        </w:tc>
        <w:tc>
          <w:tcPr>
            <w:tcW w:w="5213" w:type="dxa"/>
            <w:vAlign w:val="center"/>
          </w:tcPr>
          <w:p w14:paraId="4251290A">
            <w:pPr>
              <w:pageBreakBefore w:val="0"/>
              <w:kinsoku/>
              <w:overflowPunct/>
              <w:topLinePunct w:val="0"/>
              <w:bidi w:val="0"/>
              <w:snapToGrid w:val="0"/>
              <w:spacing w:after="0"/>
              <w:ind w:firstLine="0" w:firstLineChars="0"/>
              <w:jc w:val="center"/>
              <w:textAlignment w:val="baseline"/>
              <w:rPr>
                <w:rFonts w:hint="eastAsia" w:cs="宋体"/>
                <w:color w:val="36363D"/>
              </w:rPr>
            </w:pPr>
            <w:r>
              <w:rPr>
                <w:rFonts w:hint="eastAsia" w:cs="宋体"/>
                <w:color w:val="36363D"/>
              </w:rPr>
              <w:t>费率</w:t>
            </w:r>
          </w:p>
        </w:tc>
      </w:tr>
      <w:tr w14:paraId="2D11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1080" w:type="dxa"/>
            <w:vAlign w:val="center"/>
          </w:tcPr>
          <w:p w14:paraId="64F193FE">
            <w:pPr>
              <w:pageBreakBefore w:val="0"/>
              <w:kinsoku/>
              <w:overflowPunct/>
              <w:topLinePunct w:val="0"/>
              <w:bidi w:val="0"/>
              <w:snapToGrid w:val="0"/>
              <w:spacing w:after="0"/>
              <w:ind w:firstLine="0" w:firstLineChars="0"/>
              <w:jc w:val="center"/>
              <w:textAlignment w:val="baseline"/>
              <w:rPr>
                <w:rFonts w:hint="eastAsia" w:cs="宋体"/>
                <w:color w:val="36363D"/>
                <w:sz w:val="20"/>
              </w:rPr>
            </w:pPr>
            <w:r>
              <w:rPr>
                <w:rFonts w:hint="eastAsia" w:cs="宋体"/>
                <w:color w:val="36363D"/>
              </w:rPr>
              <w:t>一</w:t>
            </w:r>
          </w:p>
        </w:tc>
        <w:tc>
          <w:tcPr>
            <w:tcW w:w="3247" w:type="dxa"/>
            <w:vAlign w:val="center"/>
          </w:tcPr>
          <w:p w14:paraId="970231E0">
            <w:pPr>
              <w:pageBreakBefore w:val="0"/>
              <w:kinsoku/>
              <w:overflowPunct/>
              <w:topLinePunct w:val="0"/>
              <w:bidi w:val="0"/>
              <w:snapToGrid w:val="0"/>
              <w:spacing w:after="0"/>
              <w:ind w:firstLine="0" w:firstLineChars="0"/>
              <w:jc w:val="center"/>
              <w:textAlignment w:val="baseline"/>
              <w:rPr>
                <w:rFonts w:hint="eastAsia" w:cs="宋体"/>
                <w:color w:val="36363D"/>
              </w:rPr>
            </w:pPr>
            <w:r>
              <w:rPr>
                <w:rFonts w:hint="eastAsia" w:cs="宋体"/>
                <w:color w:val="36363D"/>
              </w:rPr>
              <w:t>电价收费费率</w:t>
            </w:r>
          </w:p>
        </w:tc>
        <w:tc>
          <w:tcPr>
            <w:tcW w:w="5213" w:type="dxa"/>
            <w:vAlign w:val="center"/>
          </w:tcPr>
          <w:p w14:paraId="9FF3E65D">
            <w:pPr>
              <w:pageBreakBefore w:val="0"/>
              <w:kinsoku/>
              <w:overflowPunct/>
              <w:topLinePunct w:val="0"/>
              <w:bidi w:val="0"/>
              <w:snapToGrid w:val="0"/>
              <w:spacing w:after="0"/>
              <w:ind w:firstLine="0" w:firstLineChars="0"/>
              <w:jc w:val="center"/>
              <w:textAlignment w:val="baseline"/>
              <w:rPr>
                <w:rFonts w:hint="eastAsia" w:cs="宋体"/>
                <w:color w:val="36363D"/>
              </w:rPr>
            </w:pPr>
            <w:r>
              <w:rPr>
                <w:rFonts w:hint="eastAsia" w:cs="宋体"/>
                <w:color w:val="36363D"/>
                <w:u w:val="single"/>
              </w:rPr>
              <w:t xml:space="preserve">     </w:t>
            </w:r>
            <w:r>
              <w:rPr>
                <w:rFonts w:hint="eastAsia" w:cs="宋体"/>
                <w:color w:val="36363D"/>
              </w:rPr>
              <w:t>%</w:t>
            </w:r>
          </w:p>
        </w:tc>
      </w:tr>
      <w:tr w14:paraId="A8AA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14:paraId="67A0E378">
            <w:pPr>
              <w:pageBreakBefore w:val="0"/>
              <w:kinsoku/>
              <w:overflowPunct/>
              <w:topLinePunct w:val="0"/>
              <w:bidi w:val="0"/>
              <w:snapToGrid w:val="0"/>
              <w:spacing w:after="0"/>
              <w:ind w:firstLine="0" w:firstLineChars="0"/>
              <w:jc w:val="center"/>
              <w:textAlignment w:val="baseline"/>
              <w:rPr>
                <w:rFonts w:hint="eastAsia" w:cs="宋体"/>
                <w:color w:val="36363D"/>
                <w:sz w:val="20"/>
              </w:rPr>
            </w:pPr>
            <w:r>
              <w:rPr>
                <w:rFonts w:hint="eastAsia" w:cs="宋体"/>
                <w:color w:val="36363D"/>
              </w:rPr>
              <w:t>投</w:t>
            </w:r>
          </w:p>
          <w:p w14:paraId="316C1175">
            <w:pPr>
              <w:pageBreakBefore w:val="0"/>
              <w:kinsoku/>
              <w:overflowPunct/>
              <w:topLinePunct w:val="0"/>
              <w:bidi w:val="0"/>
              <w:snapToGrid w:val="0"/>
              <w:spacing w:after="0"/>
              <w:ind w:firstLine="0" w:firstLineChars="0"/>
              <w:jc w:val="center"/>
              <w:textAlignment w:val="baseline"/>
              <w:rPr>
                <w:rFonts w:hint="eastAsia" w:cs="宋体"/>
                <w:color w:val="36363D"/>
                <w:sz w:val="20"/>
              </w:rPr>
            </w:pPr>
            <w:r>
              <w:rPr>
                <w:rFonts w:hint="eastAsia" w:cs="宋体"/>
                <w:color w:val="36363D"/>
              </w:rPr>
              <w:t>标</w:t>
            </w:r>
          </w:p>
          <w:p w14:paraId="611E81AA">
            <w:pPr>
              <w:pageBreakBefore w:val="0"/>
              <w:kinsoku/>
              <w:overflowPunct/>
              <w:topLinePunct w:val="0"/>
              <w:bidi w:val="0"/>
              <w:snapToGrid w:val="0"/>
              <w:spacing w:after="0"/>
              <w:ind w:firstLine="0" w:firstLineChars="0"/>
              <w:jc w:val="center"/>
              <w:textAlignment w:val="baseline"/>
              <w:rPr>
                <w:rFonts w:hint="eastAsia" w:cs="宋体"/>
                <w:color w:val="36363D"/>
                <w:sz w:val="20"/>
              </w:rPr>
            </w:pPr>
            <w:r>
              <w:rPr>
                <w:rFonts w:hint="eastAsia" w:cs="宋体"/>
                <w:color w:val="36363D"/>
              </w:rPr>
              <w:t>人</w:t>
            </w:r>
          </w:p>
          <w:p w14:paraId="432E07BF">
            <w:pPr>
              <w:pageBreakBefore w:val="0"/>
              <w:kinsoku/>
              <w:overflowPunct/>
              <w:topLinePunct w:val="0"/>
              <w:bidi w:val="0"/>
              <w:snapToGrid w:val="0"/>
              <w:spacing w:after="0"/>
              <w:ind w:firstLine="0" w:firstLineChars="0"/>
              <w:jc w:val="center"/>
              <w:textAlignment w:val="baseline"/>
              <w:rPr>
                <w:rFonts w:hint="eastAsia" w:cs="宋体"/>
                <w:color w:val="36363D"/>
                <w:sz w:val="20"/>
              </w:rPr>
            </w:pPr>
            <w:r>
              <w:rPr>
                <w:rFonts w:hint="eastAsia" w:cs="宋体"/>
                <w:color w:val="36363D"/>
              </w:rPr>
              <w:t>申</w:t>
            </w:r>
          </w:p>
          <w:p w14:paraId="442F2BE4">
            <w:pPr>
              <w:pageBreakBefore w:val="0"/>
              <w:kinsoku/>
              <w:overflowPunct/>
              <w:topLinePunct w:val="0"/>
              <w:bidi w:val="0"/>
              <w:snapToGrid w:val="0"/>
              <w:spacing w:after="0"/>
              <w:ind w:firstLine="0" w:firstLineChars="0"/>
              <w:jc w:val="center"/>
              <w:textAlignment w:val="baseline"/>
              <w:rPr>
                <w:rFonts w:hint="eastAsia" w:cs="宋体"/>
                <w:color w:val="36363D"/>
                <w:sz w:val="20"/>
              </w:rPr>
            </w:pPr>
            <w:r>
              <w:rPr>
                <w:rFonts w:hint="eastAsia" w:cs="宋体"/>
                <w:color w:val="36363D"/>
              </w:rPr>
              <w:t>明</w:t>
            </w:r>
          </w:p>
        </w:tc>
        <w:tc>
          <w:tcPr>
            <w:tcW w:w="8460" w:type="dxa"/>
            <w:gridSpan w:val="2"/>
          </w:tcPr>
          <w:p w14:paraId="96C6EA24">
            <w:pPr>
              <w:pageBreakBefore w:val="0"/>
              <w:kinsoku/>
              <w:overflowPunct/>
              <w:topLinePunct w:val="0"/>
              <w:bidi w:val="0"/>
              <w:snapToGrid w:val="0"/>
              <w:spacing w:after="0"/>
              <w:ind w:firstLine="0" w:firstLineChars="0"/>
              <w:jc w:val="center"/>
              <w:textAlignment w:val="baseline"/>
              <w:rPr>
                <w:rFonts w:hint="eastAsia" w:cs="宋体"/>
                <w:color w:val="36363D"/>
                <w:sz w:val="20"/>
              </w:rPr>
            </w:pPr>
          </w:p>
          <w:p w14:paraId="338DDB99">
            <w:pPr>
              <w:pageBreakBefore w:val="0"/>
              <w:kinsoku/>
              <w:overflowPunct/>
              <w:topLinePunct w:val="0"/>
              <w:bidi w:val="0"/>
              <w:snapToGrid w:val="0"/>
              <w:spacing w:after="0"/>
              <w:ind w:firstLine="0" w:firstLineChars="0"/>
              <w:jc w:val="center"/>
              <w:textAlignment w:val="baseline"/>
              <w:rPr>
                <w:rFonts w:hint="eastAsia" w:cs="宋体"/>
                <w:color w:val="36363D"/>
                <w:sz w:val="20"/>
              </w:rPr>
            </w:pPr>
          </w:p>
          <w:p w14:paraId="54CAEEE8">
            <w:pPr>
              <w:pageBreakBefore w:val="0"/>
              <w:kinsoku/>
              <w:overflowPunct/>
              <w:topLinePunct w:val="0"/>
              <w:bidi w:val="0"/>
              <w:snapToGrid w:val="0"/>
              <w:spacing w:after="0"/>
              <w:ind w:firstLine="0" w:firstLineChars="0"/>
              <w:jc w:val="center"/>
              <w:textAlignment w:val="baseline"/>
              <w:rPr>
                <w:rFonts w:hint="eastAsia" w:cs="宋体"/>
                <w:color w:val="36363D"/>
                <w:sz w:val="20"/>
              </w:rPr>
            </w:pPr>
          </w:p>
          <w:p w14:paraId="6AEDAD2B">
            <w:pPr>
              <w:pageBreakBefore w:val="0"/>
              <w:kinsoku/>
              <w:overflowPunct/>
              <w:topLinePunct w:val="0"/>
              <w:bidi w:val="0"/>
              <w:snapToGrid w:val="0"/>
              <w:spacing w:after="0"/>
              <w:ind w:firstLine="0" w:firstLineChars="0"/>
              <w:jc w:val="center"/>
              <w:textAlignment w:val="baseline"/>
              <w:rPr>
                <w:rFonts w:hint="eastAsia" w:cs="宋体"/>
                <w:color w:val="36363D"/>
                <w:sz w:val="20"/>
              </w:rPr>
            </w:pPr>
          </w:p>
          <w:p w14:paraId="3301EAE9">
            <w:pPr>
              <w:pageBreakBefore w:val="0"/>
              <w:kinsoku/>
              <w:overflowPunct/>
              <w:topLinePunct w:val="0"/>
              <w:bidi w:val="0"/>
              <w:snapToGrid w:val="0"/>
              <w:spacing w:after="0"/>
              <w:ind w:firstLine="0" w:firstLineChars="0"/>
              <w:jc w:val="center"/>
              <w:textAlignment w:val="baseline"/>
              <w:rPr>
                <w:rFonts w:hint="eastAsia" w:cs="宋体"/>
                <w:color w:val="36363D"/>
                <w:sz w:val="20"/>
              </w:rPr>
            </w:pPr>
          </w:p>
        </w:tc>
      </w:tr>
    </w:tbl>
    <w:p w14:paraId="DAC87347">
      <w:pPr>
        <w:pageBreakBefore w:val="0"/>
        <w:kinsoku/>
        <w:overflowPunct/>
        <w:topLinePunct w:val="0"/>
        <w:bidi w:val="0"/>
        <w:snapToGrid w:val="0"/>
        <w:spacing w:after="0"/>
        <w:ind w:firstLine="400"/>
        <w:textAlignment w:val="baseline"/>
        <w:rPr>
          <w:rFonts w:hint="eastAsia" w:cs="宋体"/>
          <w:color w:val="36363D"/>
          <w:sz w:val="20"/>
        </w:rPr>
      </w:pPr>
    </w:p>
    <w:p w14:paraId="989E0FF5">
      <w:pPr>
        <w:pageBreakBefore w:val="0"/>
        <w:kinsoku/>
        <w:overflowPunct/>
        <w:topLinePunct w:val="0"/>
        <w:bidi w:val="0"/>
        <w:snapToGrid w:val="0"/>
        <w:spacing w:after="0"/>
        <w:ind w:firstLine="480"/>
        <w:textAlignment w:val="baseline"/>
        <w:rPr>
          <w:rFonts w:hint="eastAsia" w:cs="宋体"/>
          <w:color w:val="36363D"/>
          <w:sz w:val="20"/>
        </w:rPr>
      </w:pPr>
      <w:r>
        <w:rPr>
          <w:rFonts w:hint="eastAsia" w:cs="宋体"/>
          <w:color w:val="36363D"/>
        </w:rPr>
        <w:t>投标人（盖章）：</w:t>
      </w:r>
    </w:p>
    <w:p w14:paraId="7E9057E0">
      <w:pPr>
        <w:pageBreakBefore w:val="0"/>
        <w:kinsoku/>
        <w:overflowPunct/>
        <w:topLinePunct w:val="0"/>
        <w:bidi w:val="0"/>
        <w:snapToGrid w:val="0"/>
        <w:spacing w:after="0"/>
        <w:ind w:firstLine="480"/>
        <w:textAlignment w:val="baseline"/>
        <w:rPr>
          <w:rFonts w:hint="eastAsia" w:cs="宋体"/>
          <w:color w:val="36363D"/>
          <w:sz w:val="20"/>
        </w:rPr>
      </w:pPr>
      <w:r>
        <w:rPr>
          <w:rFonts w:hint="eastAsia" w:cs="宋体"/>
          <w:color w:val="36363D"/>
        </w:rPr>
        <w:t>授权代表签字：</w:t>
      </w:r>
    </w:p>
    <w:p w14:paraId="9B53C468">
      <w:pPr>
        <w:pageBreakBefore w:val="0"/>
        <w:kinsoku/>
        <w:overflowPunct/>
        <w:topLinePunct w:val="0"/>
        <w:bidi w:val="0"/>
        <w:snapToGrid w:val="0"/>
        <w:spacing w:after="0"/>
        <w:ind w:firstLine="480"/>
        <w:textAlignment w:val="baseline"/>
        <w:rPr>
          <w:rFonts w:hint="eastAsia" w:cs="宋体"/>
          <w:color w:val="36363D"/>
          <w:sz w:val="20"/>
        </w:rPr>
      </w:pPr>
      <w:r>
        <w:rPr>
          <w:rFonts w:hint="eastAsia" w:cs="宋体"/>
          <w:color w:val="36363D"/>
        </w:rPr>
        <w:t>日  期：</w:t>
      </w:r>
    </w:p>
    <w:p w14:paraId="35EFB3FB">
      <w:pPr>
        <w:pageBreakBefore w:val="0"/>
        <w:kinsoku/>
        <w:overflowPunct/>
        <w:topLinePunct w:val="0"/>
        <w:bidi w:val="0"/>
        <w:snapToGrid w:val="0"/>
        <w:spacing w:after="0"/>
        <w:ind w:firstLine="402"/>
        <w:textAlignment w:val="baseline"/>
        <w:rPr>
          <w:rFonts w:hint="eastAsia" w:cs="宋体"/>
          <w:b/>
          <w:i/>
          <w:iCs/>
          <w:color w:val="36363D"/>
          <w:sz w:val="20"/>
          <w:szCs w:val="21"/>
        </w:rPr>
      </w:pPr>
    </w:p>
    <w:p w14:paraId="D76114A9">
      <w:pPr>
        <w:pageBreakBefore w:val="0"/>
        <w:kinsoku/>
        <w:overflowPunct/>
        <w:topLinePunct w:val="0"/>
        <w:bidi w:val="0"/>
        <w:snapToGrid w:val="0"/>
        <w:spacing w:after="0"/>
        <w:ind w:firstLine="600"/>
        <w:textAlignment w:val="baseline"/>
        <w:rPr>
          <w:rFonts w:hint="eastAsia" w:cs="宋体"/>
          <w:color w:val="36363D"/>
          <w:sz w:val="30"/>
        </w:rPr>
      </w:pPr>
    </w:p>
    <w:p w14:paraId="EA62104B">
      <w:pPr>
        <w:pageBreakBefore w:val="0"/>
        <w:kinsoku/>
        <w:overflowPunct/>
        <w:topLinePunct w:val="0"/>
        <w:bidi w:val="0"/>
        <w:snapToGrid w:val="0"/>
        <w:spacing w:after="0" w:line="400" w:lineRule="exact"/>
        <w:ind w:firstLine="643"/>
        <w:jc w:val="center"/>
        <w:textAlignment w:val="baseline"/>
        <w:rPr>
          <w:rFonts w:hint="eastAsia" w:cs="宋体"/>
          <w:b/>
          <w:color w:val="36363D"/>
          <w:sz w:val="32"/>
        </w:rPr>
        <w:sectPr>
          <w:pgSz w:w="11906" w:h="16838"/>
          <w:pgMar w:top="1440" w:right="1106" w:bottom="1440" w:left="1622" w:header="851" w:footer="851" w:gutter="0"/>
          <w:cols w:space="720" w:num="1"/>
          <w:docGrid w:linePitch="312" w:charSpace="0"/>
        </w:sectPr>
      </w:pPr>
    </w:p>
    <w:p w14:paraId="8523694F">
      <w:pPr>
        <w:pageBreakBefore w:val="0"/>
        <w:kinsoku/>
        <w:overflowPunct/>
        <w:topLinePunct w:val="0"/>
        <w:bidi w:val="0"/>
        <w:snapToGrid w:val="0"/>
        <w:spacing w:after="0"/>
        <w:ind w:firstLine="643"/>
        <w:jc w:val="center"/>
        <w:textAlignment w:val="baseline"/>
        <w:rPr>
          <w:rFonts w:hint="eastAsia" w:cs="宋体"/>
          <w:b/>
          <w:bCs/>
          <w:color w:val="36363D"/>
          <w:sz w:val="32"/>
        </w:rPr>
      </w:pPr>
      <w:r>
        <w:rPr>
          <w:rFonts w:hint="eastAsia" w:cs="宋体"/>
          <w:b/>
          <w:bCs/>
          <w:color w:val="36363D"/>
          <w:sz w:val="32"/>
        </w:rPr>
        <w:t>B资格商务技术文件</w:t>
      </w:r>
    </w:p>
    <w:p w14:paraId="8B3CF12A">
      <w:pPr>
        <w:pageBreakBefore w:val="0"/>
        <w:kinsoku/>
        <w:overflowPunct/>
        <w:topLinePunct w:val="0"/>
        <w:bidi w:val="0"/>
        <w:snapToGrid w:val="0"/>
        <w:spacing w:after="0"/>
        <w:ind w:firstLine="643"/>
        <w:jc w:val="center"/>
        <w:textAlignment w:val="baseline"/>
        <w:rPr>
          <w:rFonts w:hint="eastAsia" w:cs="宋体"/>
          <w:b/>
          <w:bCs/>
          <w:color w:val="36363D"/>
          <w:sz w:val="32"/>
        </w:rPr>
      </w:pPr>
      <w:r>
        <w:rPr>
          <w:rFonts w:hint="eastAsia" w:cs="宋体"/>
          <w:b/>
          <w:bCs/>
          <w:color w:val="36363D"/>
          <w:sz w:val="32"/>
        </w:rPr>
        <w:t>封面</w:t>
      </w:r>
    </w:p>
    <w:p w14:paraId="A14195A0">
      <w:pPr>
        <w:pageBreakBefore w:val="0"/>
        <w:kinsoku/>
        <w:overflowPunct/>
        <w:topLinePunct w:val="0"/>
        <w:bidi w:val="0"/>
        <w:snapToGrid w:val="0"/>
        <w:spacing w:after="0"/>
        <w:ind w:firstLine="640"/>
        <w:jc w:val="right"/>
        <w:textAlignment w:val="baseline"/>
        <w:rPr>
          <w:rFonts w:hint="eastAsia" w:cs="宋体"/>
          <w:color w:val="36363D"/>
          <w:sz w:val="32"/>
        </w:rPr>
      </w:pPr>
    </w:p>
    <w:p w14:paraId="FF77E897">
      <w:pPr>
        <w:pageBreakBefore w:val="0"/>
        <w:kinsoku/>
        <w:overflowPunct/>
        <w:topLinePunct w:val="0"/>
        <w:bidi w:val="0"/>
        <w:snapToGrid w:val="0"/>
        <w:spacing w:after="0"/>
        <w:ind w:firstLine="961" w:firstLineChars="299"/>
        <w:jc w:val="center"/>
        <w:textAlignment w:val="baseline"/>
        <w:rPr>
          <w:rFonts w:hint="eastAsia" w:cs="宋体"/>
          <w:b/>
          <w:color w:val="36363D"/>
          <w:sz w:val="32"/>
          <w:szCs w:val="32"/>
        </w:rPr>
      </w:pPr>
      <w:r>
        <w:rPr>
          <w:rFonts w:hint="eastAsia" w:cs="宋体"/>
          <w:b/>
          <w:color w:val="36363D"/>
          <w:sz w:val="32"/>
          <w:szCs w:val="32"/>
        </w:rPr>
        <w:t>项目名称:浙江工商职业技术学院</w:t>
      </w:r>
    </w:p>
    <w:p w14:paraId="EAE5BF4D">
      <w:pPr>
        <w:pageBreakBefore w:val="0"/>
        <w:kinsoku/>
        <w:overflowPunct/>
        <w:topLinePunct w:val="0"/>
        <w:bidi w:val="0"/>
        <w:snapToGrid w:val="0"/>
        <w:spacing w:after="0"/>
        <w:ind w:firstLine="961" w:firstLineChars="299"/>
        <w:jc w:val="center"/>
        <w:textAlignment w:val="baseline"/>
        <w:rPr>
          <w:rFonts w:hint="eastAsia" w:cs="宋体"/>
          <w:b/>
          <w:color w:val="36363D"/>
          <w:sz w:val="32"/>
          <w:szCs w:val="32"/>
        </w:rPr>
      </w:pPr>
      <w:r>
        <w:rPr>
          <w:rFonts w:hint="eastAsia" w:cs="宋体"/>
          <w:b/>
          <w:color w:val="36363D"/>
          <w:sz w:val="32"/>
          <w:szCs w:val="32"/>
        </w:rPr>
        <w:t>海曙校区、宁海校区光伏发电合同能源管理</w:t>
      </w:r>
      <w:r>
        <w:rPr>
          <w:rFonts w:cs="宋体"/>
          <w:b/>
          <w:color w:val="36363D"/>
          <w:sz w:val="32"/>
          <w:szCs w:val="32"/>
        </w:rPr>
        <w:t>项目</w:t>
      </w:r>
    </w:p>
    <w:p w14:paraId="29755A3A">
      <w:pPr>
        <w:pageBreakBefore w:val="0"/>
        <w:kinsoku/>
        <w:overflowPunct/>
        <w:topLinePunct w:val="0"/>
        <w:bidi w:val="0"/>
        <w:snapToGrid w:val="0"/>
        <w:spacing w:after="0"/>
        <w:ind w:firstLine="961" w:firstLineChars="299"/>
        <w:jc w:val="center"/>
        <w:textAlignment w:val="baseline"/>
        <w:rPr>
          <w:rFonts w:hint="eastAsia" w:cs="宋体"/>
          <w:b/>
          <w:color w:val="36363D"/>
          <w:sz w:val="32"/>
          <w:szCs w:val="32"/>
        </w:rPr>
      </w:pPr>
      <w:r>
        <w:rPr>
          <w:rFonts w:hint="eastAsia" w:cs="宋体"/>
          <w:b/>
          <w:color w:val="36363D"/>
          <w:sz w:val="32"/>
          <w:szCs w:val="32"/>
        </w:rPr>
        <w:t>招标编号:ZJZX-ZJGS202506G</w:t>
      </w:r>
    </w:p>
    <w:p w14:paraId="3D541838">
      <w:pPr>
        <w:pageBreakBefore w:val="0"/>
        <w:kinsoku/>
        <w:overflowPunct/>
        <w:topLinePunct w:val="0"/>
        <w:bidi w:val="0"/>
        <w:snapToGrid w:val="0"/>
        <w:spacing w:after="0"/>
        <w:ind w:firstLine="643"/>
        <w:jc w:val="center"/>
        <w:textAlignment w:val="baseline"/>
        <w:rPr>
          <w:rFonts w:hint="eastAsia" w:cs="宋体"/>
          <w:b/>
          <w:color w:val="36363D"/>
          <w:sz w:val="32"/>
          <w:szCs w:val="32"/>
        </w:rPr>
      </w:pPr>
    </w:p>
    <w:p w14:paraId="697921C4">
      <w:pPr>
        <w:pageBreakBefore w:val="0"/>
        <w:kinsoku/>
        <w:overflowPunct/>
        <w:topLinePunct w:val="0"/>
        <w:bidi w:val="0"/>
        <w:snapToGrid w:val="0"/>
        <w:spacing w:after="0"/>
        <w:ind w:firstLine="640"/>
        <w:jc w:val="center"/>
        <w:textAlignment w:val="baseline"/>
        <w:rPr>
          <w:rFonts w:hint="eastAsia" w:cs="宋体"/>
          <w:color w:val="36363D"/>
          <w:sz w:val="32"/>
          <w:szCs w:val="32"/>
        </w:rPr>
      </w:pPr>
      <w:r>
        <w:rPr>
          <w:rFonts w:hint="eastAsia" w:cs="宋体"/>
          <w:color w:val="36363D"/>
          <w:sz w:val="32"/>
          <w:szCs w:val="32"/>
        </w:rPr>
        <w:t>（资格商务技术文件）</w:t>
      </w:r>
    </w:p>
    <w:p w14:paraId="4041F625">
      <w:pPr>
        <w:pageBreakBefore w:val="0"/>
        <w:kinsoku/>
        <w:overflowPunct/>
        <w:topLinePunct w:val="0"/>
        <w:bidi w:val="0"/>
        <w:snapToGrid w:val="0"/>
        <w:spacing w:after="0"/>
        <w:ind w:firstLine="400"/>
        <w:textAlignment w:val="baseline"/>
        <w:rPr>
          <w:rFonts w:hint="eastAsia" w:cs="宋体"/>
          <w:color w:val="36363D"/>
          <w:sz w:val="20"/>
        </w:rPr>
      </w:pPr>
    </w:p>
    <w:p w14:paraId="02D4F8B2">
      <w:pPr>
        <w:pageBreakBefore w:val="0"/>
        <w:kinsoku/>
        <w:overflowPunct/>
        <w:topLinePunct w:val="0"/>
        <w:bidi w:val="0"/>
        <w:snapToGrid w:val="0"/>
        <w:spacing w:after="0"/>
        <w:ind w:firstLine="400"/>
        <w:textAlignment w:val="baseline"/>
        <w:rPr>
          <w:rFonts w:hint="eastAsia" w:cs="宋体"/>
          <w:color w:val="36363D"/>
          <w:sz w:val="20"/>
        </w:rPr>
      </w:pPr>
    </w:p>
    <w:p w14:paraId="709A93BC">
      <w:pPr>
        <w:pageBreakBefore w:val="0"/>
        <w:kinsoku/>
        <w:overflowPunct/>
        <w:topLinePunct w:val="0"/>
        <w:bidi w:val="0"/>
        <w:snapToGrid w:val="0"/>
        <w:spacing w:after="0"/>
        <w:ind w:firstLine="1446"/>
        <w:jc w:val="center"/>
        <w:textAlignment w:val="baseline"/>
        <w:rPr>
          <w:rFonts w:hint="eastAsia" w:cs="宋体"/>
          <w:b/>
          <w:color w:val="36363D"/>
          <w:sz w:val="72"/>
          <w:szCs w:val="72"/>
        </w:rPr>
      </w:pPr>
      <w:r>
        <w:rPr>
          <w:rFonts w:hint="eastAsia" w:cs="宋体"/>
          <w:b/>
          <w:color w:val="36363D"/>
          <w:sz w:val="72"/>
          <w:szCs w:val="72"/>
        </w:rPr>
        <w:t>投</w:t>
      </w:r>
    </w:p>
    <w:p w14:paraId="88E3914C">
      <w:pPr>
        <w:pageBreakBefore w:val="0"/>
        <w:kinsoku/>
        <w:overflowPunct/>
        <w:topLinePunct w:val="0"/>
        <w:bidi w:val="0"/>
        <w:snapToGrid w:val="0"/>
        <w:spacing w:after="0"/>
        <w:ind w:firstLine="1446"/>
        <w:jc w:val="center"/>
        <w:textAlignment w:val="baseline"/>
        <w:rPr>
          <w:rFonts w:hint="eastAsia" w:cs="宋体"/>
          <w:b/>
          <w:color w:val="36363D"/>
          <w:sz w:val="72"/>
          <w:szCs w:val="72"/>
        </w:rPr>
      </w:pPr>
      <w:r>
        <w:rPr>
          <w:rFonts w:hint="eastAsia" w:cs="宋体"/>
          <w:b/>
          <w:color w:val="36363D"/>
          <w:sz w:val="72"/>
          <w:szCs w:val="72"/>
        </w:rPr>
        <w:t>标</w:t>
      </w:r>
    </w:p>
    <w:p w14:paraId="5FF18A10">
      <w:pPr>
        <w:pageBreakBefore w:val="0"/>
        <w:kinsoku/>
        <w:overflowPunct/>
        <w:topLinePunct w:val="0"/>
        <w:bidi w:val="0"/>
        <w:snapToGrid w:val="0"/>
        <w:spacing w:after="0"/>
        <w:ind w:firstLine="1446"/>
        <w:jc w:val="center"/>
        <w:textAlignment w:val="baseline"/>
        <w:rPr>
          <w:rFonts w:hint="eastAsia" w:cs="宋体"/>
          <w:b/>
          <w:color w:val="36363D"/>
          <w:sz w:val="72"/>
          <w:szCs w:val="72"/>
        </w:rPr>
      </w:pPr>
      <w:r>
        <w:rPr>
          <w:rFonts w:hint="eastAsia" w:cs="宋体"/>
          <w:b/>
          <w:color w:val="36363D"/>
          <w:sz w:val="72"/>
          <w:szCs w:val="72"/>
        </w:rPr>
        <w:t>文</w:t>
      </w:r>
    </w:p>
    <w:p w14:paraId="33FFE3A9">
      <w:pPr>
        <w:pageBreakBefore w:val="0"/>
        <w:kinsoku/>
        <w:overflowPunct/>
        <w:topLinePunct w:val="0"/>
        <w:bidi w:val="0"/>
        <w:snapToGrid w:val="0"/>
        <w:spacing w:after="0"/>
        <w:ind w:firstLine="1446"/>
        <w:jc w:val="center"/>
        <w:textAlignment w:val="baseline"/>
        <w:rPr>
          <w:rFonts w:hint="eastAsia" w:cs="宋体"/>
          <w:b/>
          <w:color w:val="36363D"/>
          <w:sz w:val="72"/>
          <w:szCs w:val="72"/>
        </w:rPr>
      </w:pPr>
      <w:r>
        <w:rPr>
          <w:rFonts w:hint="eastAsia" w:cs="宋体"/>
          <w:b/>
          <w:color w:val="36363D"/>
          <w:sz w:val="72"/>
          <w:szCs w:val="72"/>
        </w:rPr>
        <w:t>件</w:t>
      </w:r>
    </w:p>
    <w:p w14:paraId="13FB27BC">
      <w:pPr>
        <w:pageBreakBefore w:val="0"/>
        <w:kinsoku/>
        <w:overflowPunct/>
        <w:topLinePunct w:val="0"/>
        <w:bidi w:val="0"/>
        <w:snapToGrid w:val="0"/>
        <w:spacing w:after="0"/>
        <w:ind w:firstLine="400"/>
        <w:textAlignment w:val="baseline"/>
        <w:rPr>
          <w:rFonts w:hint="eastAsia" w:cs="宋体"/>
          <w:color w:val="36363D"/>
          <w:sz w:val="20"/>
        </w:rPr>
      </w:pPr>
    </w:p>
    <w:p w14:paraId="E21C6F0D">
      <w:pPr>
        <w:pageBreakBefore w:val="0"/>
        <w:kinsoku/>
        <w:overflowPunct/>
        <w:topLinePunct w:val="0"/>
        <w:bidi w:val="0"/>
        <w:snapToGrid w:val="0"/>
        <w:spacing w:after="0"/>
        <w:ind w:firstLine="560"/>
        <w:textAlignment w:val="baseline"/>
        <w:rPr>
          <w:rFonts w:hint="eastAsia" w:cs="宋体"/>
          <w:color w:val="36363D"/>
          <w:sz w:val="28"/>
          <w:szCs w:val="28"/>
        </w:rPr>
      </w:pPr>
      <w:r>
        <w:rPr>
          <w:rFonts w:hint="eastAsia" w:cs="宋体"/>
          <w:color w:val="36363D"/>
          <w:sz w:val="28"/>
          <w:szCs w:val="28"/>
        </w:rPr>
        <w:t>项目名称:________________________</w:t>
      </w:r>
    </w:p>
    <w:p w14:paraId="BE4B0043">
      <w:pPr>
        <w:pageBreakBefore w:val="0"/>
        <w:kinsoku/>
        <w:overflowPunct/>
        <w:topLinePunct w:val="0"/>
        <w:bidi w:val="0"/>
        <w:snapToGrid w:val="0"/>
        <w:spacing w:after="0"/>
        <w:ind w:firstLine="560"/>
        <w:textAlignment w:val="baseline"/>
        <w:rPr>
          <w:rFonts w:hint="eastAsia" w:cs="宋体"/>
          <w:color w:val="36363D"/>
          <w:sz w:val="28"/>
          <w:szCs w:val="28"/>
        </w:rPr>
      </w:pPr>
      <w:r>
        <w:rPr>
          <w:rFonts w:hint="eastAsia" w:cs="宋体"/>
          <w:color w:val="36363D"/>
          <w:sz w:val="28"/>
          <w:szCs w:val="28"/>
        </w:rPr>
        <w:t>投 标 人:________________________</w:t>
      </w:r>
    </w:p>
    <w:p w14:paraId="02F62FDE">
      <w:pPr>
        <w:pageBreakBefore w:val="0"/>
        <w:kinsoku/>
        <w:overflowPunct/>
        <w:topLinePunct w:val="0"/>
        <w:bidi w:val="0"/>
        <w:snapToGrid w:val="0"/>
        <w:spacing w:after="0"/>
        <w:ind w:firstLine="560"/>
        <w:textAlignment w:val="baseline"/>
        <w:rPr>
          <w:rFonts w:hint="eastAsia" w:cs="宋体"/>
          <w:color w:val="36363D"/>
          <w:sz w:val="28"/>
          <w:szCs w:val="28"/>
        </w:rPr>
      </w:pPr>
      <w:r>
        <w:rPr>
          <w:rFonts w:hint="eastAsia" w:cs="宋体"/>
          <w:color w:val="36363D"/>
          <w:sz w:val="28"/>
          <w:szCs w:val="28"/>
        </w:rPr>
        <w:t>投标人地址：_____________________</w:t>
      </w:r>
    </w:p>
    <w:p w14:paraId="2CC4C1C3">
      <w:pPr>
        <w:pageBreakBefore w:val="0"/>
        <w:kinsoku/>
        <w:overflowPunct/>
        <w:topLinePunct w:val="0"/>
        <w:bidi w:val="0"/>
        <w:spacing w:after="0"/>
        <w:ind w:firstLine="560"/>
        <w:rPr>
          <w:rFonts w:hint="eastAsia" w:cs="宋体"/>
          <w:iCs/>
          <w:color w:val="36363D"/>
        </w:rPr>
      </w:pPr>
      <w:r>
        <w:rPr>
          <w:rFonts w:hint="eastAsia" w:cs="宋体"/>
          <w:color w:val="36363D"/>
          <w:sz w:val="28"/>
          <w:szCs w:val="28"/>
        </w:rPr>
        <w:t>年月日</w:t>
      </w:r>
    </w:p>
    <w:p w14:paraId="D9F6AA76">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附件一</w:t>
      </w:r>
    </w:p>
    <w:p w14:paraId="92295351">
      <w:pPr>
        <w:pageBreakBefore w:val="0"/>
        <w:kinsoku/>
        <w:overflowPunct/>
        <w:topLinePunct w:val="0"/>
        <w:bidi w:val="0"/>
        <w:snapToGrid w:val="0"/>
        <w:spacing w:after="0"/>
        <w:ind w:firstLine="3935" w:firstLineChars="1400"/>
        <w:rPr>
          <w:rFonts w:hint="eastAsia" w:cs="宋体"/>
          <w:color w:val="36363D"/>
          <w:sz w:val="28"/>
          <w:szCs w:val="28"/>
        </w:rPr>
      </w:pPr>
      <w:r>
        <w:rPr>
          <w:rFonts w:hint="eastAsia" w:cs="宋体"/>
          <w:b/>
          <w:color w:val="36363D"/>
          <w:kern w:val="0"/>
          <w:sz w:val="28"/>
          <w:szCs w:val="28"/>
        </w:rPr>
        <w:t>投标响应</w:t>
      </w:r>
      <w:r>
        <w:rPr>
          <w:rFonts w:hint="eastAsia" w:cs="宋体"/>
          <w:b/>
          <w:color w:val="36363D"/>
          <w:sz w:val="28"/>
          <w:szCs w:val="28"/>
        </w:rPr>
        <w:t>函</w:t>
      </w:r>
    </w:p>
    <w:p w14:paraId="870CFF04">
      <w:pPr>
        <w:pageBreakBefore w:val="0"/>
        <w:kinsoku/>
        <w:overflowPunct/>
        <w:topLinePunct w:val="0"/>
        <w:bidi w:val="0"/>
        <w:spacing w:after="0"/>
        <w:ind w:firstLine="0" w:firstLineChars="0"/>
        <w:rPr>
          <w:rFonts w:hint="eastAsia" w:cs="宋体"/>
          <w:color w:val="36363D"/>
        </w:rPr>
      </w:pPr>
      <w:r>
        <w:rPr>
          <w:rFonts w:hint="eastAsia" w:cs="宋体"/>
          <w:color w:val="36363D"/>
        </w:rPr>
        <w:t>致：（采购人）（代理机构）</w:t>
      </w:r>
    </w:p>
    <w:p w14:paraId="F1C5B086">
      <w:pPr>
        <w:pageBreakBefore w:val="0"/>
        <w:kinsoku/>
        <w:overflowPunct/>
        <w:topLinePunct w:val="0"/>
        <w:bidi w:val="0"/>
        <w:snapToGrid w:val="0"/>
        <w:spacing w:after="0"/>
        <w:ind w:firstLine="480"/>
        <w:rPr>
          <w:rFonts w:hint="eastAsia" w:cs="宋体"/>
          <w:color w:val="36363D"/>
        </w:rPr>
      </w:pPr>
      <w:r>
        <w:rPr>
          <w:rFonts w:hint="eastAsia" w:cs="宋体"/>
          <w:color w:val="36363D"/>
        </w:rPr>
        <w:t>(投标人全称)授权(全权代表姓名)(职务、职称)为全权代表，参加贵方组织的</w:t>
      </w:r>
      <w:r>
        <w:rPr>
          <w:rFonts w:hint="eastAsia" w:cs="宋体"/>
          <w:color w:val="36363D"/>
          <w:u w:val="single"/>
        </w:rPr>
        <w:t>（项目名称）（项目编号）</w:t>
      </w:r>
      <w:r>
        <w:rPr>
          <w:rFonts w:hint="eastAsia" w:cs="宋体"/>
          <w:color w:val="36363D"/>
        </w:rPr>
        <w:t>招标的有关活动，并对此项目进行投标。为此：</w:t>
      </w:r>
    </w:p>
    <w:p w14:paraId="9D8C1BF1">
      <w:pPr>
        <w:pageBreakBefore w:val="0"/>
        <w:kinsoku/>
        <w:overflowPunct/>
        <w:topLinePunct w:val="0"/>
        <w:bidi w:val="0"/>
        <w:snapToGrid w:val="0"/>
        <w:spacing w:after="0"/>
        <w:ind w:firstLine="480"/>
        <w:rPr>
          <w:rFonts w:hint="eastAsia" w:cs="宋体"/>
          <w:color w:val="36363D"/>
        </w:rPr>
      </w:pPr>
      <w:r>
        <w:rPr>
          <w:rFonts w:hint="eastAsia" w:cs="宋体"/>
          <w:color w:val="36363D"/>
        </w:rPr>
        <w:t>1、我方同意在投标人</w:t>
      </w:r>
      <w:r>
        <w:rPr>
          <w:rFonts w:hint="eastAsia" w:cs="宋体"/>
          <w:color w:val="36363D"/>
          <w:kern w:val="44"/>
        </w:rPr>
        <w:t>编制和提交</w:t>
      </w:r>
      <w:r>
        <w:rPr>
          <w:rFonts w:hint="eastAsia" w:cs="宋体"/>
          <w:color w:val="36363D"/>
        </w:rPr>
        <w:t>招标</w:t>
      </w:r>
      <w:r>
        <w:rPr>
          <w:rFonts w:hint="eastAsia" w:cs="宋体"/>
          <w:color w:val="36363D"/>
          <w:kern w:val="44"/>
        </w:rPr>
        <w:t>投标文件须知</w:t>
      </w:r>
      <w:r>
        <w:rPr>
          <w:rFonts w:hint="eastAsia" w:cs="宋体"/>
          <w:color w:val="36363D"/>
        </w:rPr>
        <w:t>规定的开标日期起遵守本投标文件中的承诺且在投标有效期满之前均具有约束力。</w:t>
      </w:r>
    </w:p>
    <w:p w14:paraId="E6554796">
      <w:pPr>
        <w:pageBreakBefore w:val="0"/>
        <w:kinsoku/>
        <w:overflowPunct/>
        <w:topLinePunct w:val="0"/>
        <w:bidi w:val="0"/>
        <w:snapToGrid w:val="0"/>
        <w:spacing w:after="0"/>
        <w:ind w:firstLine="480"/>
        <w:rPr>
          <w:rFonts w:hint="eastAsia" w:cs="宋体"/>
          <w:color w:val="36363D"/>
        </w:rPr>
      </w:pPr>
      <w:r>
        <w:rPr>
          <w:rFonts w:hint="eastAsia" w:cs="宋体"/>
          <w:color w:val="36363D"/>
        </w:rPr>
        <w:t>2、我方承诺已经具备相关法律规定的参加招标活动的投标人应当具备的条件：</w:t>
      </w:r>
    </w:p>
    <w:p w14:paraId="8E1A2FA6">
      <w:pPr>
        <w:pageBreakBefore w:val="0"/>
        <w:kinsoku/>
        <w:overflowPunct/>
        <w:topLinePunct w:val="0"/>
        <w:bidi w:val="0"/>
        <w:snapToGrid w:val="0"/>
        <w:spacing w:after="0"/>
        <w:ind w:firstLine="480"/>
        <w:rPr>
          <w:rFonts w:hint="eastAsia" w:cs="宋体"/>
          <w:color w:val="36363D"/>
        </w:rPr>
      </w:pPr>
      <w:r>
        <w:rPr>
          <w:rFonts w:hint="eastAsia" w:cs="宋体"/>
          <w:color w:val="36363D"/>
        </w:rPr>
        <w:t>(1)具有独立承担民事责任的能力；</w:t>
      </w:r>
    </w:p>
    <w:p w14:paraId="D9D9B9D0">
      <w:pPr>
        <w:pageBreakBefore w:val="0"/>
        <w:kinsoku/>
        <w:overflowPunct/>
        <w:topLinePunct w:val="0"/>
        <w:bidi w:val="0"/>
        <w:snapToGrid w:val="0"/>
        <w:spacing w:after="0"/>
        <w:ind w:firstLine="480"/>
        <w:rPr>
          <w:rFonts w:hint="eastAsia" w:cs="宋体"/>
          <w:color w:val="36363D"/>
        </w:rPr>
      </w:pPr>
      <w:r>
        <w:rPr>
          <w:rFonts w:hint="eastAsia" w:cs="宋体"/>
          <w:color w:val="36363D"/>
        </w:rPr>
        <w:t>(2)遵守国家法律、行政法规，具有良好的信誉和商业道德；</w:t>
      </w:r>
    </w:p>
    <w:p w14:paraId="1AE578CA">
      <w:pPr>
        <w:pageBreakBefore w:val="0"/>
        <w:kinsoku/>
        <w:overflowPunct/>
        <w:topLinePunct w:val="0"/>
        <w:bidi w:val="0"/>
        <w:snapToGrid w:val="0"/>
        <w:spacing w:after="0"/>
        <w:ind w:firstLine="480"/>
        <w:rPr>
          <w:rFonts w:hint="eastAsia" w:cs="宋体"/>
          <w:color w:val="36363D"/>
        </w:rPr>
      </w:pPr>
      <w:r>
        <w:rPr>
          <w:rFonts w:hint="eastAsia" w:cs="宋体"/>
          <w:color w:val="36363D"/>
        </w:rPr>
        <w:t>(3)具有履行合同的能力和良好的履行合同记录；</w:t>
      </w:r>
    </w:p>
    <w:p w14:paraId="950FE9D4">
      <w:pPr>
        <w:pageBreakBefore w:val="0"/>
        <w:kinsoku/>
        <w:overflowPunct/>
        <w:topLinePunct w:val="0"/>
        <w:bidi w:val="0"/>
        <w:snapToGrid w:val="0"/>
        <w:spacing w:after="0"/>
        <w:ind w:firstLine="480"/>
        <w:rPr>
          <w:rFonts w:hint="eastAsia" w:cs="宋体"/>
          <w:color w:val="36363D"/>
        </w:rPr>
      </w:pPr>
      <w:r>
        <w:rPr>
          <w:rFonts w:hint="eastAsia" w:cs="宋体"/>
          <w:color w:val="36363D"/>
        </w:rPr>
        <w:t>(4)良好的资金、财务状况；</w:t>
      </w:r>
    </w:p>
    <w:p w14:paraId="7D2E085E">
      <w:pPr>
        <w:pageBreakBefore w:val="0"/>
        <w:kinsoku/>
        <w:overflowPunct/>
        <w:topLinePunct w:val="0"/>
        <w:bidi w:val="0"/>
        <w:snapToGrid w:val="0"/>
        <w:spacing w:after="0"/>
        <w:ind w:firstLine="480"/>
        <w:rPr>
          <w:rFonts w:hint="eastAsia" w:cs="宋体"/>
          <w:color w:val="36363D"/>
        </w:rPr>
      </w:pPr>
      <w:r>
        <w:rPr>
          <w:rFonts w:hint="eastAsia" w:cs="宋体"/>
          <w:color w:val="36363D"/>
        </w:rPr>
        <w:t>(5)产品及生产所需装备符合中国规定的相应技术标准和环保标准；</w:t>
      </w:r>
    </w:p>
    <w:p w14:paraId="523E3CCA">
      <w:pPr>
        <w:pageBreakBefore w:val="0"/>
        <w:kinsoku/>
        <w:overflowPunct/>
        <w:topLinePunct w:val="0"/>
        <w:bidi w:val="0"/>
        <w:snapToGrid w:val="0"/>
        <w:spacing w:after="0"/>
        <w:ind w:firstLine="480"/>
        <w:rPr>
          <w:rFonts w:hint="eastAsia" w:cs="宋体"/>
          <w:color w:val="36363D"/>
        </w:rPr>
      </w:pPr>
      <w:r>
        <w:rPr>
          <w:rFonts w:hint="eastAsia" w:cs="宋体"/>
          <w:color w:val="36363D"/>
        </w:rPr>
        <w:t>(6)没有违反招标法规、政策的记录；</w:t>
      </w:r>
    </w:p>
    <w:p w14:paraId="960BD5D7">
      <w:pPr>
        <w:pageBreakBefore w:val="0"/>
        <w:kinsoku/>
        <w:overflowPunct/>
        <w:topLinePunct w:val="0"/>
        <w:bidi w:val="0"/>
        <w:snapToGrid w:val="0"/>
        <w:spacing w:after="0"/>
        <w:ind w:firstLine="480"/>
        <w:rPr>
          <w:rFonts w:hint="eastAsia" w:cs="宋体"/>
          <w:color w:val="36363D"/>
        </w:rPr>
      </w:pPr>
      <w:r>
        <w:rPr>
          <w:rFonts w:hint="eastAsia" w:cs="宋体"/>
          <w:color w:val="36363D"/>
        </w:rPr>
        <w:t>(7)没有发生重大经济纠纷和走私犯罪记录。</w:t>
      </w:r>
    </w:p>
    <w:p w14:paraId="5EC3587D">
      <w:pPr>
        <w:pStyle w:val="22"/>
        <w:pageBreakBefore w:val="0"/>
        <w:kinsoku/>
        <w:overflowPunct/>
        <w:topLinePunct w:val="0"/>
        <w:bidi w:val="0"/>
        <w:snapToGrid w:val="0"/>
        <w:spacing w:after="0" w:line="360" w:lineRule="auto"/>
        <w:ind w:firstLine="480" w:firstLineChars="200"/>
        <w:rPr>
          <w:rFonts w:hint="eastAsia" w:hAnsi="宋体" w:cs="宋体"/>
          <w:color w:val="36363D"/>
          <w:sz w:val="24"/>
          <w:szCs w:val="24"/>
        </w:rPr>
      </w:pPr>
      <w:r>
        <w:rPr>
          <w:rFonts w:hint="eastAsia" w:hAnsi="宋体" w:cs="宋体"/>
          <w:color w:val="36363D"/>
          <w:sz w:val="24"/>
          <w:szCs w:val="24"/>
        </w:rPr>
        <w:t>3、提供</w:t>
      </w:r>
      <w:r>
        <w:rPr>
          <w:rFonts w:hint="eastAsia" w:hAnsi="宋体" w:cs="宋体"/>
          <w:color w:val="36363D"/>
          <w:kern w:val="44"/>
          <w:sz w:val="24"/>
          <w:szCs w:val="24"/>
        </w:rPr>
        <w:t>编制和提交</w:t>
      </w:r>
      <w:r>
        <w:rPr>
          <w:rFonts w:hint="eastAsia" w:hAnsi="宋体" w:cs="宋体"/>
          <w:color w:val="36363D"/>
          <w:sz w:val="24"/>
          <w:szCs w:val="24"/>
        </w:rPr>
        <w:t>招标</w:t>
      </w:r>
      <w:r>
        <w:rPr>
          <w:rFonts w:hint="eastAsia" w:hAnsi="宋体" w:cs="宋体"/>
          <w:color w:val="36363D"/>
          <w:kern w:val="44"/>
          <w:sz w:val="24"/>
          <w:szCs w:val="24"/>
        </w:rPr>
        <w:t>投标文件须知</w:t>
      </w:r>
      <w:r>
        <w:rPr>
          <w:rFonts w:hint="eastAsia" w:hAnsi="宋体" w:cs="宋体"/>
          <w:color w:val="36363D"/>
          <w:sz w:val="24"/>
          <w:szCs w:val="24"/>
        </w:rPr>
        <w:t>规定的全部投标文件，包括</w:t>
      </w:r>
      <w:r>
        <w:rPr>
          <w:rFonts w:hint="eastAsia" w:hAnsi="宋体" w:cs="宋体"/>
          <w:b/>
          <w:color w:val="36363D"/>
          <w:sz w:val="24"/>
          <w:szCs w:val="24"/>
        </w:rPr>
        <w:t>报价文件正本1份，副本四份；资格商务技术文件正本1份，副本四份；电子版1份。</w:t>
      </w:r>
      <w:r>
        <w:rPr>
          <w:rFonts w:hint="eastAsia" w:hAnsi="宋体" w:cs="宋体"/>
          <w:color w:val="36363D"/>
          <w:sz w:val="24"/>
          <w:szCs w:val="24"/>
        </w:rPr>
        <w:t>具体内容为：</w:t>
      </w:r>
    </w:p>
    <w:p w14:paraId="879296F6">
      <w:pPr>
        <w:pageBreakBefore w:val="0"/>
        <w:kinsoku/>
        <w:overflowPunct/>
        <w:topLinePunct w:val="0"/>
        <w:bidi w:val="0"/>
        <w:snapToGrid w:val="0"/>
        <w:spacing w:after="0"/>
        <w:ind w:firstLine="480"/>
        <w:rPr>
          <w:rFonts w:hint="eastAsia" w:cs="宋体"/>
          <w:color w:val="36363D"/>
        </w:rPr>
      </w:pPr>
      <w:r>
        <w:rPr>
          <w:rFonts w:hint="eastAsia" w:cs="宋体"/>
          <w:color w:val="36363D"/>
        </w:rPr>
        <w:t>(1)资格商务技术</w:t>
      </w:r>
      <w:r>
        <w:rPr>
          <w:rFonts w:hint="eastAsia" w:cs="宋体"/>
          <w:color w:val="36363D"/>
          <w:kern w:val="0"/>
          <w:lang w:val="zh-CN"/>
        </w:rPr>
        <w:t>文件和</w:t>
      </w:r>
      <w:r>
        <w:rPr>
          <w:rFonts w:hint="eastAsia" w:cs="宋体"/>
          <w:color w:val="36363D"/>
          <w:lang w:val="zh-CN"/>
        </w:rPr>
        <w:t>资格</w:t>
      </w:r>
      <w:r>
        <w:rPr>
          <w:rFonts w:hint="eastAsia" w:cs="宋体"/>
          <w:color w:val="36363D"/>
        </w:rPr>
        <w:t>证明</w:t>
      </w:r>
      <w:r>
        <w:rPr>
          <w:rFonts w:hint="eastAsia" w:cs="宋体"/>
          <w:color w:val="36363D"/>
          <w:lang w:val="zh-CN"/>
        </w:rPr>
        <w:t>文件</w:t>
      </w:r>
      <w:r>
        <w:rPr>
          <w:rFonts w:hint="eastAsia" w:cs="宋体"/>
          <w:color w:val="36363D"/>
        </w:rPr>
        <w:t>；</w:t>
      </w:r>
    </w:p>
    <w:p w14:paraId="C9AD0127">
      <w:pPr>
        <w:pageBreakBefore w:val="0"/>
        <w:kinsoku/>
        <w:overflowPunct/>
        <w:topLinePunct w:val="0"/>
        <w:bidi w:val="0"/>
        <w:snapToGrid w:val="0"/>
        <w:spacing w:after="0"/>
        <w:ind w:firstLine="480"/>
        <w:rPr>
          <w:rFonts w:hint="eastAsia" w:cs="宋体"/>
          <w:color w:val="36363D"/>
        </w:rPr>
      </w:pPr>
      <w:r>
        <w:rPr>
          <w:rFonts w:hint="eastAsia" w:cs="宋体"/>
          <w:color w:val="36363D"/>
        </w:rPr>
        <w:t>(2)</w:t>
      </w:r>
      <w:r>
        <w:rPr>
          <w:rFonts w:hint="eastAsia" w:cs="宋体"/>
          <w:color w:val="36363D"/>
          <w:kern w:val="44"/>
        </w:rPr>
        <w:t>编制和提交</w:t>
      </w:r>
      <w:r>
        <w:rPr>
          <w:rFonts w:hint="eastAsia" w:cs="宋体"/>
          <w:color w:val="36363D"/>
        </w:rPr>
        <w:t>招标</w:t>
      </w:r>
      <w:r>
        <w:rPr>
          <w:rFonts w:hint="eastAsia" w:cs="宋体"/>
          <w:color w:val="36363D"/>
          <w:kern w:val="44"/>
        </w:rPr>
        <w:t>投标文件须知</w:t>
      </w:r>
      <w:r>
        <w:rPr>
          <w:rFonts w:hint="eastAsia" w:cs="宋体"/>
          <w:color w:val="36363D"/>
        </w:rPr>
        <w:t>要求投标人提交的全部文件；</w:t>
      </w:r>
    </w:p>
    <w:p w14:paraId="AC095CDF">
      <w:pPr>
        <w:pageBreakBefore w:val="0"/>
        <w:kinsoku/>
        <w:overflowPunct/>
        <w:topLinePunct w:val="0"/>
        <w:bidi w:val="0"/>
        <w:snapToGrid w:val="0"/>
        <w:spacing w:after="0"/>
        <w:ind w:firstLine="480"/>
        <w:rPr>
          <w:rFonts w:hint="eastAsia" w:cs="宋体"/>
          <w:color w:val="36363D"/>
        </w:rPr>
      </w:pPr>
      <w:r>
        <w:rPr>
          <w:rFonts w:hint="eastAsia" w:cs="宋体"/>
          <w:color w:val="36363D"/>
        </w:rPr>
        <w:t>(3)保证忠实地执行双方所签订的合同，并承担合同规定的责任和义务；</w:t>
      </w:r>
    </w:p>
    <w:p w14:paraId="320BADE1">
      <w:pPr>
        <w:pageBreakBefore w:val="0"/>
        <w:kinsoku/>
        <w:overflowPunct/>
        <w:topLinePunct w:val="0"/>
        <w:bidi w:val="0"/>
        <w:snapToGrid w:val="0"/>
        <w:spacing w:after="0"/>
        <w:ind w:firstLine="480"/>
        <w:rPr>
          <w:rFonts w:hint="eastAsia" w:cs="宋体"/>
          <w:color w:val="36363D"/>
        </w:rPr>
      </w:pPr>
      <w:r>
        <w:rPr>
          <w:rFonts w:hint="eastAsia" w:cs="宋体"/>
          <w:color w:val="36363D"/>
        </w:rPr>
        <w:t>(4)保证遵守招标文件中的其他有关规定。</w:t>
      </w:r>
    </w:p>
    <w:p w14:paraId="DFD21C19">
      <w:pPr>
        <w:pageBreakBefore w:val="0"/>
        <w:kinsoku/>
        <w:overflowPunct/>
        <w:topLinePunct w:val="0"/>
        <w:bidi w:val="0"/>
        <w:snapToGrid w:val="0"/>
        <w:spacing w:after="0"/>
        <w:ind w:firstLine="480"/>
        <w:rPr>
          <w:rFonts w:hint="eastAsia" w:cs="宋体"/>
          <w:color w:val="36363D"/>
        </w:rPr>
      </w:pPr>
      <w:r>
        <w:rPr>
          <w:rFonts w:hint="eastAsia" w:cs="宋体"/>
          <w:color w:val="36363D"/>
        </w:rPr>
        <w:t>4、我方承诺投标有效期从提交投标文件的截止之日起</w:t>
      </w:r>
      <w:r>
        <w:rPr>
          <w:rFonts w:hint="eastAsia" w:cs="宋体"/>
          <w:color w:val="36363D"/>
          <w:u w:val="single"/>
        </w:rPr>
        <w:t xml:space="preserve"> 90</w:t>
      </w:r>
      <w:r>
        <w:rPr>
          <w:rFonts w:hint="eastAsia" w:cs="宋体"/>
          <w:color w:val="36363D"/>
        </w:rPr>
        <w:t>天，不少于招标文件中载明的投标有效期（从提交投标文件的截止之日起90天）。</w:t>
      </w:r>
    </w:p>
    <w:p w14:paraId="54E9DAE3">
      <w:pPr>
        <w:pageBreakBefore w:val="0"/>
        <w:kinsoku/>
        <w:overflowPunct/>
        <w:topLinePunct w:val="0"/>
        <w:bidi w:val="0"/>
        <w:snapToGrid w:val="0"/>
        <w:spacing w:after="0"/>
        <w:ind w:firstLine="480"/>
        <w:rPr>
          <w:rFonts w:hint="eastAsia" w:cs="宋体"/>
          <w:color w:val="36363D"/>
        </w:rPr>
      </w:pPr>
      <w:r>
        <w:rPr>
          <w:rFonts w:hint="eastAsia" w:cs="宋体"/>
          <w:color w:val="36363D"/>
        </w:rPr>
        <w:t>5、我方完全理解贵方不一定要接受最低价的投标。</w:t>
      </w:r>
    </w:p>
    <w:p w14:paraId="2C735AB7">
      <w:pPr>
        <w:pageBreakBefore w:val="0"/>
        <w:kinsoku/>
        <w:overflowPunct/>
        <w:topLinePunct w:val="0"/>
        <w:bidi w:val="0"/>
        <w:snapToGrid w:val="0"/>
        <w:spacing w:after="0"/>
        <w:ind w:firstLine="480"/>
        <w:rPr>
          <w:rFonts w:hint="eastAsia" w:cs="宋体"/>
          <w:color w:val="36363D"/>
        </w:rPr>
      </w:pPr>
      <w:r>
        <w:rPr>
          <w:rFonts w:hint="eastAsia" w:cs="宋体"/>
          <w:color w:val="36363D"/>
        </w:rPr>
        <w:t>6、我方愿意向贵方提供任何与该项投标有关的数据、情况和技术资料。若贵方需要，我方愿意提供我方作出的一切承诺的证明材料。</w:t>
      </w:r>
    </w:p>
    <w:p w14:paraId="CFDA5ECA">
      <w:pPr>
        <w:pageBreakBefore w:val="0"/>
        <w:kinsoku/>
        <w:overflowPunct/>
        <w:topLinePunct w:val="0"/>
        <w:bidi w:val="0"/>
        <w:snapToGrid w:val="0"/>
        <w:spacing w:after="0"/>
        <w:ind w:firstLine="480"/>
        <w:rPr>
          <w:rFonts w:hint="eastAsia" w:cs="宋体"/>
          <w:color w:val="36363D"/>
        </w:rPr>
      </w:pPr>
      <w:r>
        <w:rPr>
          <w:rFonts w:hint="eastAsia" w:cs="宋体"/>
          <w:color w:val="36363D"/>
        </w:rPr>
        <w:t>7、我方已详细审核全部招标文件，包括招标文件修改书(如果有)、参考资料及有关附件，确认无误。</w:t>
      </w:r>
    </w:p>
    <w:p w14:paraId="3399E58E">
      <w:pPr>
        <w:pageBreakBefore w:val="0"/>
        <w:kinsoku/>
        <w:overflowPunct/>
        <w:topLinePunct w:val="0"/>
        <w:bidi w:val="0"/>
        <w:snapToGrid w:val="0"/>
        <w:spacing w:after="0"/>
        <w:ind w:firstLine="480"/>
        <w:rPr>
          <w:rFonts w:hint="eastAsia" w:cs="宋体"/>
          <w:color w:val="36363D"/>
        </w:rPr>
      </w:pPr>
      <w:r>
        <w:rPr>
          <w:rFonts w:hint="eastAsia" w:cs="宋体"/>
          <w:color w:val="36363D"/>
        </w:rPr>
        <w:t>8、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14:paraId="B04A0DAE">
      <w:pPr>
        <w:pageBreakBefore w:val="0"/>
        <w:kinsoku/>
        <w:overflowPunct/>
        <w:topLinePunct w:val="0"/>
        <w:bidi w:val="0"/>
        <w:snapToGrid w:val="0"/>
        <w:spacing w:after="0"/>
        <w:ind w:firstLine="480"/>
        <w:rPr>
          <w:rFonts w:hint="eastAsia" w:cs="宋体"/>
          <w:color w:val="36363D"/>
        </w:rPr>
      </w:pPr>
      <w:r>
        <w:rPr>
          <w:rFonts w:hint="eastAsia" w:cs="宋体"/>
          <w:color w:val="36363D"/>
        </w:rPr>
        <w:t>a)提供虚假材料谋取中标、成交的；</w:t>
      </w:r>
    </w:p>
    <w:p w14:paraId="3943DE59">
      <w:pPr>
        <w:pageBreakBefore w:val="0"/>
        <w:kinsoku/>
        <w:overflowPunct/>
        <w:topLinePunct w:val="0"/>
        <w:bidi w:val="0"/>
        <w:snapToGrid w:val="0"/>
        <w:spacing w:after="0"/>
        <w:ind w:firstLine="480"/>
        <w:rPr>
          <w:rFonts w:hint="eastAsia" w:cs="宋体"/>
          <w:color w:val="36363D"/>
        </w:rPr>
      </w:pPr>
      <w:r>
        <w:rPr>
          <w:rFonts w:hint="eastAsia" w:cs="宋体"/>
          <w:color w:val="36363D"/>
        </w:rPr>
        <w:t>b)采取不正当手段诋毁、排挤其他投标人的；</w:t>
      </w:r>
    </w:p>
    <w:p w14:paraId="AD80043B">
      <w:pPr>
        <w:pageBreakBefore w:val="0"/>
        <w:kinsoku/>
        <w:overflowPunct/>
        <w:topLinePunct w:val="0"/>
        <w:bidi w:val="0"/>
        <w:snapToGrid w:val="0"/>
        <w:spacing w:after="0"/>
        <w:ind w:firstLine="480"/>
        <w:rPr>
          <w:rFonts w:hint="eastAsia" w:cs="宋体"/>
          <w:color w:val="36363D"/>
        </w:rPr>
      </w:pPr>
      <w:r>
        <w:rPr>
          <w:rFonts w:hint="eastAsia" w:cs="宋体"/>
          <w:color w:val="36363D"/>
        </w:rPr>
        <w:t>c)与采购人、其它投标人或者招标代理机构恶意串通的；</w:t>
      </w:r>
    </w:p>
    <w:p w14:paraId="F9EB4F16">
      <w:pPr>
        <w:pageBreakBefore w:val="0"/>
        <w:kinsoku/>
        <w:overflowPunct/>
        <w:topLinePunct w:val="0"/>
        <w:bidi w:val="0"/>
        <w:snapToGrid w:val="0"/>
        <w:spacing w:after="0"/>
        <w:ind w:firstLine="480"/>
        <w:rPr>
          <w:rFonts w:hint="eastAsia" w:cs="宋体"/>
          <w:color w:val="36363D"/>
        </w:rPr>
      </w:pPr>
      <w:r>
        <w:rPr>
          <w:rFonts w:hint="eastAsia" w:cs="宋体"/>
          <w:color w:val="36363D"/>
        </w:rPr>
        <w:t>d)向采购人、招标代理机构行贿或者提供其他不正当利益的；</w:t>
      </w:r>
    </w:p>
    <w:p w14:paraId="48951DDF">
      <w:pPr>
        <w:pageBreakBefore w:val="0"/>
        <w:kinsoku/>
        <w:overflowPunct/>
        <w:topLinePunct w:val="0"/>
        <w:bidi w:val="0"/>
        <w:snapToGrid w:val="0"/>
        <w:spacing w:after="0"/>
        <w:ind w:firstLine="480"/>
        <w:rPr>
          <w:rFonts w:hint="eastAsia" w:cs="宋体"/>
          <w:color w:val="36363D"/>
        </w:rPr>
      </w:pPr>
      <w:r>
        <w:rPr>
          <w:rFonts w:hint="eastAsia" w:cs="宋体"/>
          <w:color w:val="36363D"/>
        </w:rPr>
        <w:t>e)在招标过程中与采购人进行协商谈判的；</w:t>
      </w:r>
    </w:p>
    <w:p w14:paraId="DB15EBB7">
      <w:pPr>
        <w:pageBreakBefore w:val="0"/>
        <w:kinsoku/>
        <w:overflowPunct/>
        <w:topLinePunct w:val="0"/>
        <w:bidi w:val="0"/>
        <w:snapToGrid w:val="0"/>
        <w:spacing w:after="0"/>
        <w:ind w:firstLine="480"/>
        <w:rPr>
          <w:rFonts w:hint="eastAsia" w:cs="宋体"/>
          <w:color w:val="36363D"/>
        </w:rPr>
      </w:pPr>
      <w:r>
        <w:rPr>
          <w:rFonts w:hint="eastAsia" w:cs="宋体"/>
          <w:color w:val="36363D"/>
        </w:rPr>
        <w:t>f)拒绝有关部门监督检查或提供虚假情况的。</w:t>
      </w:r>
    </w:p>
    <w:p w14:paraId="CCFA5690">
      <w:pPr>
        <w:pageBreakBefore w:val="0"/>
        <w:kinsoku/>
        <w:overflowPunct/>
        <w:topLinePunct w:val="0"/>
        <w:bidi w:val="0"/>
        <w:snapToGrid w:val="0"/>
        <w:spacing w:after="0"/>
        <w:ind w:firstLine="480"/>
        <w:rPr>
          <w:rFonts w:hint="eastAsia" w:cs="宋体"/>
          <w:color w:val="36363D"/>
        </w:rPr>
      </w:pPr>
      <w:r>
        <w:rPr>
          <w:rFonts w:hint="eastAsia" w:cs="宋体"/>
          <w:color w:val="36363D"/>
        </w:rPr>
        <w:t>投标人有前款第a)至e)项情形之一的，中标、成交无效。</w:t>
      </w:r>
    </w:p>
    <w:p w14:paraId="45E4741D">
      <w:pPr>
        <w:pageBreakBefore w:val="0"/>
        <w:kinsoku/>
        <w:overflowPunct/>
        <w:topLinePunct w:val="0"/>
        <w:bidi w:val="0"/>
        <w:spacing w:after="0"/>
        <w:ind w:firstLine="480"/>
        <w:rPr>
          <w:rFonts w:hint="eastAsia" w:cs="宋体"/>
          <w:color w:val="36363D"/>
        </w:rPr>
      </w:pPr>
      <w:r>
        <w:rPr>
          <w:rFonts w:hint="eastAsia" w:cs="宋体"/>
          <w:color w:val="36363D"/>
        </w:rPr>
        <w:t>投标人名称（公章）：</w:t>
      </w:r>
    </w:p>
    <w:p w14:paraId="C0E18320">
      <w:pPr>
        <w:pageBreakBefore w:val="0"/>
        <w:kinsoku/>
        <w:overflowPunct/>
        <w:topLinePunct w:val="0"/>
        <w:bidi w:val="0"/>
        <w:spacing w:after="0"/>
        <w:ind w:firstLine="480"/>
        <w:rPr>
          <w:rFonts w:hint="eastAsia" w:cs="宋体"/>
          <w:color w:val="36363D"/>
        </w:rPr>
      </w:pPr>
      <w:r>
        <w:rPr>
          <w:rFonts w:hint="eastAsia" w:cs="宋体"/>
          <w:color w:val="36363D"/>
        </w:rPr>
        <w:t>法定代表人或其全权代表（签字或盖章）：</w:t>
      </w:r>
    </w:p>
    <w:p w14:paraId="5EA966A6">
      <w:pPr>
        <w:pageBreakBefore w:val="0"/>
        <w:kinsoku/>
        <w:overflowPunct/>
        <w:topLinePunct w:val="0"/>
        <w:bidi w:val="0"/>
        <w:spacing w:after="0"/>
        <w:ind w:firstLine="480"/>
        <w:rPr>
          <w:rFonts w:hint="eastAsia" w:cs="宋体"/>
          <w:color w:val="36363D"/>
        </w:rPr>
      </w:pPr>
      <w:r>
        <w:rPr>
          <w:rFonts w:hint="eastAsia" w:cs="宋体"/>
          <w:color w:val="36363D"/>
        </w:rPr>
        <w:t>日期：  年   月   日</w:t>
      </w:r>
    </w:p>
    <w:p w14:paraId="CB21C3C1">
      <w:pPr>
        <w:pageBreakBefore w:val="0"/>
        <w:kinsoku/>
        <w:overflowPunct/>
        <w:topLinePunct w:val="0"/>
        <w:bidi w:val="0"/>
        <w:spacing w:after="0"/>
        <w:ind w:firstLine="480"/>
        <w:rPr>
          <w:rFonts w:hint="eastAsia" w:cs="宋体"/>
          <w:color w:val="36363D"/>
          <w:lang w:val="zh-CN"/>
        </w:rPr>
      </w:pPr>
      <w:r>
        <w:rPr>
          <w:rFonts w:hint="eastAsia" w:cs="宋体"/>
          <w:color w:val="36363D"/>
          <w:lang w:val="zh-CN"/>
        </w:rPr>
        <w:t xml:space="preserve">联系人：            </w:t>
      </w:r>
    </w:p>
    <w:p w14:paraId="723DABB3">
      <w:pPr>
        <w:pageBreakBefore w:val="0"/>
        <w:kinsoku/>
        <w:overflowPunct/>
        <w:topLinePunct w:val="0"/>
        <w:bidi w:val="0"/>
        <w:spacing w:after="0"/>
        <w:ind w:firstLine="480"/>
        <w:rPr>
          <w:rFonts w:hint="eastAsia" w:cs="宋体"/>
          <w:color w:val="36363D"/>
        </w:rPr>
      </w:pPr>
      <w:r>
        <w:rPr>
          <w:rFonts w:hint="eastAsia" w:cs="宋体"/>
          <w:color w:val="36363D"/>
          <w:lang w:val="zh-CN"/>
        </w:rPr>
        <w:t xml:space="preserve">联系电话：                 </w:t>
      </w:r>
    </w:p>
    <w:p w14:paraId="E8836F31">
      <w:pPr>
        <w:pageBreakBefore w:val="0"/>
        <w:kinsoku/>
        <w:overflowPunct/>
        <w:topLinePunct w:val="0"/>
        <w:bidi w:val="0"/>
        <w:spacing w:after="0"/>
        <w:ind w:firstLine="480"/>
        <w:rPr>
          <w:rFonts w:hint="eastAsia" w:cs="宋体"/>
          <w:b/>
          <w:bCs/>
          <w:color w:val="36363D"/>
          <w:lang w:val="zh-CN"/>
        </w:rPr>
      </w:pPr>
      <w:r>
        <w:rPr>
          <w:rFonts w:hint="eastAsia" w:cs="宋体"/>
          <w:color w:val="36363D"/>
          <w:lang w:val="zh-CN"/>
        </w:rPr>
        <w:t xml:space="preserve">联系地址：                                                    </w:t>
      </w:r>
    </w:p>
    <w:p w14:paraId="3392E8F3">
      <w:pPr>
        <w:pageBreakBefore w:val="0"/>
        <w:kinsoku/>
        <w:overflowPunct/>
        <w:topLinePunct w:val="0"/>
        <w:bidi w:val="0"/>
        <w:spacing w:after="0"/>
        <w:ind w:firstLine="482"/>
        <w:rPr>
          <w:rFonts w:hint="eastAsia" w:cs="宋体"/>
          <w:b/>
          <w:bCs/>
          <w:color w:val="36363D"/>
          <w:lang w:val="zh-CN"/>
        </w:rPr>
      </w:pPr>
      <w:r>
        <w:rPr>
          <w:rFonts w:hint="eastAsia" w:cs="宋体"/>
          <w:b/>
          <w:bCs/>
          <w:color w:val="36363D"/>
          <w:lang w:val="zh-CN"/>
        </w:rPr>
        <w:t>注：未按照本投标响应函要求填报的将被视为非实质性响应投标，从而可能导致该投标被拒绝。</w:t>
      </w:r>
    </w:p>
    <w:p w14:paraId="7196A40F">
      <w:pPr>
        <w:pStyle w:val="55"/>
        <w:pageBreakBefore w:val="0"/>
        <w:kinsoku/>
        <w:overflowPunct/>
        <w:topLinePunct w:val="0"/>
        <w:bidi w:val="0"/>
        <w:spacing w:after="0"/>
        <w:rPr>
          <w:rFonts w:hint="eastAsia" w:ascii="宋体" w:hAnsi="宋体" w:eastAsia="宋体" w:cs="宋体"/>
          <w:b/>
          <w:color w:val="36363D"/>
          <w:lang w:val="zh-CN"/>
        </w:rPr>
      </w:pPr>
    </w:p>
    <w:p w14:paraId="E3A83D21">
      <w:pPr>
        <w:pStyle w:val="55"/>
        <w:pageBreakBefore w:val="0"/>
        <w:kinsoku/>
        <w:overflowPunct/>
        <w:topLinePunct w:val="0"/>
        <w:bidi w:val="0"/>
        <w:spacing w:after="0"/>
        <w:rPr>
          <w:rFonts w:hint="eastAsia" w:ascii="宋体" w:hAnsi="宋体" w:eastAsia="宋体" w:cs="宋体"/>
          <w:b/>
          <w:color w:val="36363D"/>
          <w:lang w:val="zh-CN"/>
        </w:rPr>
      </w:pPr>
    </w:p>
    <w:p w14:paraId="75106F53">
      <w:pPr>
        <w:pStyle w:val="5"/>
        <w:pageBreakBefore w:val="0"/>
        <w:kinsoku/>
        <w:overflowPunct/>
        <w:topLinePunct w:val="0"/>
        <w:bidi w:val="0"/>
        <w:spacing w:after="0"/>
        <w:rPr>
          <w:rFonts w:hint="eastAsia" w:cs="宋体"/>
          <w:color w:val="36363D"/>
          <w:szCs w:val="24"/>
        </w:rPr>
      </w:pPr>
      <w:r>
        <w:rPr>
          <w:rFonts w:hint="eastAsia" w:cs="宋体"/>
          <w:color w:val="36363D"/>
          <w:szCs w:val="24"/>
        </w:rPr>
        <w:br w:type="page"/>
      </w:r>
    </w:p>
    <w:p w14:paraId="58D96B4D">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附件二</w:t>
      </w:r>
    </w:p>
    <w:p w14:paraId="F06F23E2">
      <w:pPr>
        <w:pageBreakBefore w:val="0"/>
        <w:kinsoku/>
        <w:overflowPunct/>
        <w:topLinePunct w:val="0"/>
        <w:bidi w:val="0"/>
        <w:spacing w:after="0"/>
        <w:ind w:firstLine="3935" w:firstLineChars="1400"/>
        <w:rPr>
          <w:rFonts w:hint="eastAsia" w:cs="宋体"/>
          <w:b/>
          <w:bCs/>
          <w:color w:val="36363D"/>
          <w:sz w:val="28"/>
          <w:szCs w:val="28"/>
        </w:rPr>
      </w:pPr>
      <w:r>
        <w:rPr>
          <w:rFonts w:hint="eastAsia" w:cs="宋体"/>
          <w:b/>
          <w:bCs/>
          <w:color w:val="36363D"/>
          <w:sz w:val="28"/>
          <w:szCs w:val="28"/>
        </w:rPr>
        <w:t>投标声明书</w:t>
      </w:r>
    </w:p>
    <w:p w14:paraId="71F34FBE">
      <w:pPr>
        <w:pStyle w:val="3"/>
        <w:pageBreakBefore w:val="0"/>
        <w:kinsoku/>
        <w:overflowPunct/>
        <w:topLinePunct w:val="0"/>
        <w:bidi w:val="0"/>
        <w:spacing w:after="0"/>
        <w:rPr>
          <w:rFonts w:hint="eastAsia"/>
          <w:color w:val="36363D"/>
        </w:rPr>
      </w:pPr>
    </w:p>
    <w:p w14:paraId="3977FC12">
      <w:pPr>
        <w:pageBreakBefore w:val="0"/>
        <w:kinsoku/>
        <w:overflowPunct/>
        <w:topLinePunct w:val="0"/>
        <w:bidi w:val="0"/>
        <w:snapToGrid w:val="0"/>
        <w:spacing w:after="0"/>
        <w:ind w:firstLine="0" w:firstLineChars="0"/>
        <w:rPr>
          <w:rFonts w:hint="eastAsia" w:cs="宋体"/>
          <w:color w:val="36363D"/>
        </w:rPr>
      </w:pPr>
      <w:r>
        <w:rPr>
          <w:rFonts w:hint="eastAsia" w:cs="宋体"/>
          <w:color w:val="36363D"/>
        </w:rPr>
        <w:t>（采购人）（代理机构）：</w:t>
      </w:r>
    </w:p>
    <w:p w14:paraId="56B52D1C">
      <w:pPr>
        <w:pageBreakBefore w:val="0"/>
        <w:kinsoku/>
        <w:overflowPunct/>
        <w:topLinePunct w:val="0"/>
        <w:bidi w:val="0"/>
        <w:spacing w:after="0"/>
        <w:ind w:firstLine="480"/>
        <w:rPr>
          <w:rFonts w:hint="eastAsia" w:cs="宋体"/>
          <w:color w:val="36363D"/>
        </w:rPr>
      </w:pPr>
      <w:r>
        <w:rPr>
          <w:rFonts w:hint="eastAsia" w:cs="宋体"/>
          <w:color w:val="36363D"/>
          <w:kern w:val="0"/>
          <w:lang w:val="zh-CN"/>
        </w:rPr>
        <w:t>我公司</w:t>
      </w:r>
      <w:r>
        <w:rPr>
          <w:rFonts w:hint="eastAsia" w:cs="宋体"/>
          <w:color w:val="36363D"/>
        </w:rPr>
        <w:t>声明截止投标时间近三年以来，在招标</w:t>
      </w:r>
      <w:r>
        <w:rPr>
          <w:rFonts w:hint="eastAsia" w:cs="宋体"/>
          <w:color w:val="36363D"/>
          <w:kern w:val="0"/>
        </w:rPr>
        <w:t>领域中</w:t>
      </w:r>
      <w:r>
        <w:rPr>
          <w:rFonts w:hint="eastAsia" w:cs="宋体"/>
          <w:color w:val="36363D"/>
        </w:rPr>
        <w:t>，在项目招标、投标和合同履约期间无任何不良行为记录和违法、违规行为</w:t>
      </w:r>
      <w:r>
        <w:rPr>
          <w:rFonts w:hint="eastAsia" w:cs="宋体"/>
          <w:color w:val="36363D"/>
          <w:kern w:val="0"/>
          <w:lang w:val="zh-CN"/>
        </w:rPr>
        <w:t>。</w:t>
      </w:r>
    </w:p>
    <w:p w14:paraId="53120B6B">
      <w:pPr>
        <w:pageBreakBefore w:val="0"/>
        <w:kinsoku/>
        <w:overflowPunct/>
        <w:topLinePunct w:val="0"/>
        <w:bidi w:val="0"/>
        <w:spacing w:after="0"/>
        <w:ind w:firstLine="480"/>
        <w:rPr>
          <w:rFonts w:hint="eastAsia" w:cs="宋体"/>
          <w:color w:val="36363D"/>
        </w:rPr>
      </w:pPr>
      <w:r>
        <w:rPr>
          <w:rFonts w:hint="eastAsia" w:cs="宋体"/>
          <w:color w:val="36363D"/>
        </w:rPr>
        <w:t>我公司自愿参加</w:t>
      </w:r>
      <w:r>
        <w:rPr>
          <w:rFonts w:hint="eastAsia" w:cs="宋体"/>
          <w:color w:val="36363D"/>
          <w:u w:val="single"/>
        </w:rPr>
        <w:t xml:space="preserve">         </w:t>
      </w:r>
      <w:r>
        <w:rPr>
          <w:rFonts w:hint="eastAsia" w:cs="宋体"/>
          <w:color w:val="36363D"/>
        </w:rPr>
        <w:t>项目[招标编号：</w:t>
      </w:r>
      <w:r>
        <w:rPr>
          <w:rFonts w:hint="eastAsia" w:cs="宋体"/>
          <w:color w:val="36363D"/>
          <w:u w:val="single"/>
        </w:rPr>
        <w:t xml:space="preserve">            </w:t>
      </w:r>
      <w:r>
        <w:rPr>
          <w:rFonts w:hint="eastAsia" w:cs="宋体"/>
          <w:color w:val="36363D"/>
        </w:rPr>
        <w:t>]的投标，并保证投标文件中所列举的投标报价文件及相关资料和公司基本情况资料是真实的、合法的。</w:t>
      </w:r>
    </w:p>
    <w:p w14:paraId="05A42543">
      <w:pPr>
        <w:pageBreakBefore w:val="0"/>
        <w:kinsoku/>
        <w:overflowPunct/>
        <w:topLinePunct w:val="0"/>
        <w:bidi w:val="0"/>
        <w:spacing w:after="0"/>
        <w:ind w:firstLine="480"/>
        <w:rPr>
          <w:rFonts w:hint="eastAsia" w:cs="宋体"/>
          <w:color w:val="36363D"/>
          <w:kern w:val="0"/>
          <w:lang w:val="zh-CN"/>
        </w:rPr>
      </w:pPr>
      <w:r>
        <w:rPr>
          <w:rFonts w:hint="eastAsia" w:cs="宋体"/>
          <w:color w:val="36363D"/>
          <w:kern w:val="0"/>
          <w:lang w:val="zh-CN"/>
        </w:rPr>
        <w:t>我公司已详细阅读全部“招标文件”，包括修改文件（如果有）以及全部招标资料和相关附件，并已了解我公司在招投标过程中的权利和义务。</w:t>
      </w:r>
    </w:p>
    <w:p w14:paraId="B35D3A21">
      <w:pPr>
        <w:pageBreakBefore w:val="0"/>
        <w:kinsoku/>
        <w:overflowPunct/>
        <w:topLinePunct w:val="0"/>
        <w:bidi w:val="0"/>
        <w:spacing w:after="0"/>
        <w:ind w:firstLine="480"/>
        <w:rPr>
          <w:rFonts w:hint="eastAsia" w:cs="宋体"/>
          <w:color w:val="36363D"/>
        </w:rPr>
      </w:pPr>
      <w:r>
        <w:rPr>
          <w:rFonts w:hint="eastAsia" w:cs="宋体"/>
          <w:color w:val="36363D"/>
          <w:kern w:val="0"/>
          <w:lang w:val="zh-CN"/>
        </w:rPr>
        <w:t>我公司理解并接受招标文件的各项规定和要求，同意此次招标文件中的各项内容，</w:t>
      </w:r>
      <w:r>
        <w:rPr>
          <w:rFonts w:hint="eastAsia" w:cs="宋体"/>
          <w:color w:val="36363D"/>
          <w:kern w:val="0"/>
        </w:rPr>
        <w:t>并</w:t>
      </w:r>
      <w:r>
        <w:rPr>
          <w:rFonts w:hint="eastAsia" w:cs="宋体"/>
          <w:color w:val="36363D"/>
          <w:kern w:val="0"/>
          <w:lang w:val="zh-CN"/>
        </w:rPr>
        <w:t>同意提供按照贵方可能要求的与投标有关的一切数据或资料等。</w:t>
      </w:r>
    </w:p>
    <w:p w14:paraId="BE5C3059">
      <w:pPr>
        <w:pageBreakBefore w:val="0"/>
        <w:kinsoku/>
        <w:overflowPunct/>
        <w:topLinePunct w:val="0"/>
        <w:bidi w:val="0"/>
        <w:spacing w:after="0"/>
        <w:ind w:firstLine="480"/>
        <w:rPr>
          <w:rFonts w:hint="eastAsia" w:cs="宋体"/>
          <w:color w:val="36363D"/>
          <w:kern w:val="0"/>
          <w:lang w:val="zh-CN"/>
        </w:rPr>
      </w:pPr>
      <w:r>
        <w:rPr>
          <w:rFonts w:hint="eastAsia" w:cs="宋体"/>
          <w:color w:val="36363D"/>
          <w:kern w:val="0"/>
          <w:lang w:val="zh-CN"/>
        </w:rPr>
        <w:t>本公司如中标，保证按照投标文件的承诺与贵方签订合同，保证履行合同条款。</w:t>
      </w:r>
    </w:p>
    <w:p w14:paraId="93755468">
      <w:pPr>
        <w:pStyle w:val="55"/>
        <w:pageBreakBefore w:val="0"/>
        <w:kinsoku/>
        <w:overflowPunct/>
        <w:topLinePunct w:val="0"/>
        <w:bidi w:val="0"/>
        <w:spacing w:after="0"/>
        <w:rPr>
          <w:rFonts w:hint="eastAsia" w:ascii="宋体" w:hAnsi="宋体" w:eastAsia="宋体" w:cs="宋体"/>
          <w:color w:val="36363D"/>
          <w:lang w:val="zh-CN"/>
        </w:rPr>
      </w:pPr>
    </w:p>
    <w:p w14:paraId="86B044A8">
      <w:pPr>
        <w:pStyle w:val="55"/>
        <w:pageBreakBefore w:val="0"/>
        <w:kinsoku/>
        <w:overflowPunct/>
        <w:topLinePunct w:val="0"/>
        <w:bidi w:val="0"/>
        <w:spacing w:after="0"/>
        <w:rPr>
          <w:rFonts w:hint="eastAsia" w:ascii="宋体" w:hAnsi="宋体" w:eastAsia="宋体" w:cs="宋体"/>
          <w:color w:val="36363D"/>
          <w:lang w:val="zh-CN"/>
        </w:rPr>
      </w:pPr>
    </w:p>
    <w:p w14:paraId="5AA3E734">
      <w:pPr>
        <w:pStyle w:val="56"/>
        <w:pageBreakBefore w:val="0"/>
        <w:kinsoku/>
        <w:overflowPunct/>
        <w:topLinePunct w:val="0"/>
        <w:bidi w:val="0"/>
        <w:spacing w:after="0"/>
        <w:rPr>
          <w:rFonts w:hint="eastAsia" w:ascii="宋体" w:hAnsi="宋体" w:cs="宋体"/>
          <w:color w:val="36363D"/>
          <w:lang w:val="zh-CN"/>
        </w:rPr>
      </w:pPr>
    </w:p>
    <w:p w14:paraId="28F2E156">
      <w:pPr>
        <w:pageBreakBefore w:val="0"/>
        <w:kinsoku/>
        <w:overflowPunct/>
        <w:topLinePunct w:val="0"/>
        <w:bidi w:val="0"/>
        <w:spacing w:after="0"/>
        <w:ind w:firstLine="480"/>
        <w:rPr>
          <w:rFonts w:hint="eastAsia"/>
          <w:color w:val="36363D"/>
          <w:lang w:val="zh-CN"/>
        </w:rPr>
      </w:pPr>
    </w:p>
    <w:p w14:paraId="1AD77FE9">
      <w:pPr>
        <w:pStyle w:val="55"/>
        <w:pageBreakBefore w:val="0"/>
        <w:kinsoku/>
        <w:overflowPunct/>
        <w:topLinePunct w:val="0"/>
        <w:bidi w:val="0"/>
        <w:spacing w:after="0"/>
        <w:rPr>
          <w:rFonts w:hint="eastAsia" w:ascii="宋体" w:hAnsi="宋体" w:eastAsia="宋体" w:cs="宋体"/>
          <w:color w:val="36363D"/>
          <w:lang w:val="zh-CN"/>
        </w:rPr>
      </w:pPr>
    </w:p>
    <w:p w14:paraId="8E9E8895">
      <w:pPr>
        <w:pageBreakBefore w:val="0"/>
        <w:kinsoku/>
        <w:overflowPunct/>
        <w:topLinePunct w:val="0"/>
        <w:bidi w:val="0"/>
        <w:spacing w:after="0"/>
        <w:ind w:firstLine="480"/>
        <w:rPr>
          <w:rFonts w:hint="eastAsia" w:cs="宋体"/>
          <w:color w:val="36363D"/>
        </w:rPr>
      </w:pPr>
      <w:r>
        <w:rPr>
          <w:rFonts w:hint="eastAsia" w:cs="宋体"/>
          <w:color w:val="36363D"/>
        </w:rPr>
        <w:t>投标人名称（公章）：</w:t>
      </w:r>
    </w:p>
    <w:p w14:paraId="8B28D02C">
      <w:pPr>
        <w:pageBreakBefore w:val="0"/>
        <w:kinsoku/>
        <w:overflowPunct/>
        <w:topLinePunct w:val="0"/>
        <w:bidi w:val="0"/>
        <w:spacing w:after="0"/>
        <w:ind w:firstLine="480"/>
        <w:rPr>
          <w:rFonts w:hint="eastAsia" w:cs="宋体"/>
          <w:color w:val="36363D"/>
        </w:rPr>
      </w:pPr>
      <w:r>
        <w:rPr>
          <w:rFonts w:hint="eastAsia" w:cs="宋体"/>
          <w:color w:val="36363D"/>
        </w:rPr>
        <w:t>法定代表人或其全权代表（签字或盖章）：</w:t>
      </w:r>
    </w:p>
    <w:p w14:paraId="027221AE">
      <w:pPr>
        <w:pageBreakBefore w:val="0"/>
        <w:kinsoku/>
        <w:overflowPunct/>
        <w:topLinePunct w:val="0"/>
        <w:bidi w:val="0"/>
        <w:spacing w:after="0"/>
        <w:ind w:firstLine="480"/>
        <w:rPr>
          <w:rFonts w:hint="eastAsia" w:cs="宋体"/>
          <w:color w:val="36363D"/>
        </w:rPr>
      </w:pPr>
      <w:r>
        <w:rPr>
          <w:rFonts w:hint="eastAsia" w:cs="宋体"/>
          <w:color w:val="36363D"/>
        </w:rPr>
        <w:t>日期：  年   月   日</w:t>
      </w:r>
    </w:p>
    <w:p w14:paraId="8F1A22D2">
      <w:pPr>
        <w:pStyle w:val="55"/>
        <w:pageBreakBefore w:val="0"/>
        <w:kinsoku/>
        <w:overflowPunct/>
        <w:topLinePunct w:val="0"/>
        <w:bidi w:val="0"/>
        <w:spacing w:after="0"/>
        <w:rPr>
          <w:rFonts w:hint="eastAsia" w:ascii="宋体" w:hAnsi="宋体" w:eastAsia="宋体" w:cs="宋体"/>
          <w:color w:val="36363D"/>
        </w:rPr>
      </w:pPr>
    </w:p>
    <w:p w14:paraId="9B4F783D">
      <w:pPr>
        <w:pStyle w:val="55"/>
        <w:pageBreakBefore w:val="0"/>
        <w:kinsoku/>
        <w:overflowPunct/>
        <w:topLinePunct w:val="0"/>
        <w:bidi w:val="0"/>
        <w:spacing w:after="0"/>
        <w:rPr>
          <w:rFonts w:hint="eastAsia" w:ascii="宋体" w:hAnsi="宋体" w:eastAsia="宋体" w:cs="宋体"/>
          <w:color w:val="36363D"/>
        </w:rPr>
      </w:pPr>
    </w:p>
    <w:p w14:paraId="31DD788D">
      <w:pPr>
        <w:pStyle w:val="55"/>
        <w:pageBreakBefore w:val="0"/>
        <w:kinsoku/>
        <w:overflowPunct/>
        <w:topLinePunct w:val="0"/>
        <w:bidi w:val="0"/>
        <w:spacing w:after="0"/>
        <w:rPr>
          <w:rFonts w:hint="eastAsia" w:ascii="宋体" w:hAnsi="宋体" w:eastAsia="宋体" w:cs="宋体"/>
          <w:color w:val="36363D"/>
        </w:rPr>
      </w:pPr>
    </w:p>
    <w:p w14:paraId="559C06E6">
      <w:pPr>
        <w:pStyle w:val="55"/>
        <w:pageBreakBefore w:val="0"/>
        <w:kinsoku/>
        <w:overflowPunct/>
        <w:topLinePunct w:val="0"/>
        <w:bidi w:val="0"/>
        <w:spacing w:after="0"/>
        <w:rPr>
          <w:rFonts w:hint="eastAsia" w:ascii="宋体" w:hAnsi="宋体" w:eastAsia="宋体" w:cs="宋体"/>
          <w:color w:val="36363D"/>
        </w:rPr>
      </w:pPr>
    </w:p>
    <w:p w14:paraId="A68CC2F0">
      <w:pPr>
        <w:pStyle w:val="55"/>
        <w:pageBreakBefore w:val="0"/>
        <w:kinsoku/>
        <w:overflowPunct/>
        <w:topLinePunct w:val="0"/>
        <w:bidi w:val="0"/>
        <w:spacing w:after="0"/>
        <w:rPr>
          <w:rStyle w:val="59"/>
          <w:rFonts w:hint="eastAsia"/>
          <w:color w:val="36363D"/>
          <w:sz w:val="24"/>
          <w:szCs w:val="24"/>
        </w:rPr>
      </w:pPr>
      <w:bookmarkStart w:id="188" w:name="_Toc9746"/>
      <w:bookmarkStart w:id="189" w:name="_Toc2916"/>
      <w:bookmarkStart w:id="190" w:name="_Toc7536"/>
      <w:bookmarkStart w:id="191" w:name="_Toc4992"/>
      <w:bookmarkStart w:id="192" w:name="_Toc22818"/>
      <w:bookmarkStart w:id="193" w:name="_Toc19909"/>
      <w:r>
        <w:rPr>
          <w:rStyle w:val="59"/>
          <w:rFonts w:hint="eastAsia"/>
          <w:color w:val="36363D"/>
          <w:sz w:val="24"/>
          <w:szCs w:val="24"/>
        </w:rPr>
        <w:br w:type="page"/>
      </w:r>
    </w:p>
    <w:p w14:paraId="F796A6CF">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附件三</w:t>
      </w:r>
    </w:p>
    <w:bookmarkEnd w:id="188"/>
    <w:bookmarkEnd w:id="189"/>
    <w:bookmarkEnd w:id="190"/>
    <w:bookmarkEnd w:id="191"/>
    <w:bookmarkEnd w:id="192"/>
    <w:bookmarkEnd w:id="193"/>
    <w:p w14:paraId="878E0514">
      <w:pPr>
        <w:pageBreakBefore w:val="0"/>
        <w:kinsoku/>
        <w:overflowPunct/>
        <w:topLinePunct w:val="0"/>
        <w:bidi w:val="0"/>
        <w:snapToGrid w:val="0"/>
        <w:spacing w:after="0"/>
        <w:ind w:right="480" w:firstLine="562"/>
        <w:jc w:val="center"/>
        <w:rPr>
          <w:rFonts w:hint="eastAsia" w:cs="宋体"/>
          <w:b/>
          <w:color w:val="36363D"/>
          <w:kern w:val="0"/>
          <w:sz w:val="28"/>
          <w:szCs w:val="28"/>
        </w:rPr>
      </w:pPr>
      <w:r>
        <w:rPr>
          <w:rFonts w:hint="eastAsia" w:cs="宋体"/>
          <w:b/>
          <w:color w:val="36363D"/>
          <w:kern w:val="0"/>
          <w:sz w:val="28"/>
          <w:szCs w:val="28"/>
        </w:rPr>
        <w:t>符合参加采购活动应当具备的一般条件的承诺函</w:t>
      </w:r>
    </w:p>
    <w:p w14:paraId="C9EB7B1C">
      <w:pPr>
        <w:pageBreakBefore w:val="0"/>
        <w:kinsoku/>
        <w:overflowPunct/>
        <w:topLinePunct w:val="0"/>
        <w:bidi w:val="0"/>
        <w:snapToGrid w:val="0"/>
        <w:spacing w:after="0"/>
        <w:ind w:firstLine="480"/>
        <w:rPr>
          <w:rFonts w:hint="eastAsia" w:cs="宋体"/>
          <w:color w:val="36363D"/>
        </w:rPr>
      </w:pPr>
      <w:r>
        <w:rPr>
          <w:rFonts w:hint="eastAsia" w:cs="宋体"/>
          <w:color w:val="36363D"/>
        </w:rPr>
        <w:t>（采购人）、（招标代理机构）：</w:t>
      </w:r>
    </w:p>
    <w:p w14:paraId="66C204C3">
      <w:pPr>
        <w:pageBreakBefore w:val="0"/>
        <w:kinsoku/>
        <w:overflowPunct/>
        <w:topLinePunct w:val="0"/>
        <w:bidi w:val="0"/>
        <w:snapToGrid w:val="0"/>
        <w:spacing w:after="0"/>
        <w:ind w:firstLine="480"/>
        <w:rPr>
          <w:rFonts w:hint="eastAsia" w:cs="宋体"/>
          <w:color w:val="36363D"/>
        </w:rPr>
      </w:pPr>
      <w:r>
        <w:rPr>
          <w:rFonts w:hint="eastAsia" w:cs="宋体"/>
          <w:color w:val="36363D"/>
        </w:rPr>
        <w:t>我方参与（项目名称）（项目编号：）的招标活动，郑重承诺：</w:t>
      </w:r>
    </w:p>
    <w:p w14:paraId="C8867D50">
      <w:pPr>
        <w:pageBreakBefore w:val="0"/>
        <w:kinsoku/>
        <w:overflowPunct/>
        <w:topLinePunct w:val="0"/>
        <w:bidi w:val="0"/>
        <w:snapToGrid w:val="0"/>
        <w:spacing w:after="0"/>
        <w:ind w:firstLine="480"/>
        <w:rPr>
          <w:rFonts w:hint="eastAsia" w:cs="宋体"/>
          <w:color w:val="36363D"/>
        </w:rPr>
      </w:pPr>
      <w:r>
        <w:rPr>
          <w:rFonts w:hint="eastAsia" w:cs="宋体"/>
          <w:color w:val="36363D"/>
        </w:rPr>
        <w:t>（一）具备基本资格要求：</w:t>
      </w:r>
    </w:p>
    <w:p w14:paraId="A334F16D">
      <w:pPr>
        <w:pageBreakBefore w:val="0"/>
        <w:kinsoku/>
        <w:overflowPunct/>
        <w:topLinePunct w:val="0"/>
        <w:bidi w:val="0"/>
        <w:snapToGrid w:val="0"/>
        <w:spacing w:after="0"/>
        <w:ind w:firstLine="480"/>
        <w:rPr>
          <w:rFonts w:hint="eastAsia" w:cs="宋体"/>
          <w:color w:val="36363D"/>
        </w:rPr>
      </w:pPr>
      <w:r>
        <w:rPr>
          <w:rFonts w:hint="eastAsia" w:cs="宋体"/>
          <w:color w:val="36363D"/>
        </w:rPr>
        <w:t>1、具有独立承担民事责任的能力；</w:t>
      </w:r>
    </w:p>
    <w:p w14:paraId="EE4C35A2">
      <w:pPr>
        <w:pageBreakBefore w:val="0"/>
        <w:kinsoku/>
        <w:overflowPunct/>
        <w:topLinePunct w:val="0"/>
        <w:bidi w:val="0"/>
        <w:snapToGrid w:val="0"/>
        <w:spacing w:after="0"/>
        <w:ind w:firstLine="480"/>
        <w:rPr>
          <w:rFonts w:hint="eastAsia" w:cs="宋体"/>
          <w:color w:val="36363D"/>
        </w:rPr>
      </w:pPr>
      <w:r>
        <w:rPr>
          <w:rFonts w:hint="eastAsia" w:cs="宋体"/>
          <w:color w:val="36363D"/>
        </w:rPr>
        <w:t xml:space="preserve">2、具有良好的商业信誉和健全的财务会计制度； </w:t>
      </w:r>
    </w:p>
    <w:p w14:paraId="2A9378E6">
      <w:pPr>
        <w:pageBreakBefore w:val="0"/>
        <w:kinsoku/>
        <w:overflowPunct/>
        <w:topLinePunct w:val="0"/>
        <w:bidi w:val="0"/>
        <w:snapToGrid w:val="0"/>
        <w:spacing w:after="0"/>
        <w:ind w:firstLine="480"/>
        <w:rPr>
          <w:rFonts w:hint="eastAsia" w:cs="宋体"/>
          <w:color w:val="36363D"/>
        </w:rPr>
      </w:pPr>
      <w:r>
        <w:rPr>
          <w:rFonts w:hint="eastAsia" w:cs="宋体"/>
          <w:color w:val="36363D"/>
        </w:rPr>
        <w:t>3、具有履行合同所必需的设备和专业技术能力；</w:t>
      </w:r>
    </w:p>
    <w:p w14:paraId="E8A9C89A">
      <w:pPr>
        <w:pageBreakBefore w:val="0"/>
        <w:kinsoku/>
        <w:overflowPunct/>
        <w:topLinePunct w:val="0"/>
        <w:bidi w:val="0"/>
        <w:snapToGrid w:val="0"/>
        <w:spacing w:after="0"/>
        <w:ind w:firstLine="480"/>
        <w:rPr>
          <w:rFonts w:hint="eastAsia" w:cs="宋体"/>
          <w:color w:val="36363D"/>
        </w:rPr>
      </w:pPr>
      <w:r>
        <w:rPr>
          <w:rFonts w:hint="eastAsia" w:cs="宋体"/>
          <w:color w:val="36363D"/>
        </w:rPr>
        <w:t>4、有依法缴纳税收和社会保障资金的良好记录；</w:t>
      </w:r>
    </w:p>
    <w:p w14:paraId="37C9C42A">
      <w:pPr>
        <w:pageBreakBefore w:val="0"/>
        <w:kinsoku/>
        <w:overflowPunct/>
        <w:topLinePunct w:val="0"/>
        <w:bidi w:val="0"/>
        <w:snapToGrid w:val="0"/>
        <w:spacing w:after="0"/>
        <w:ind w:firstLine="480"/>
        <w:rPr>
          <w:rFonts w:hint="eastAsia" w:cs="宋体"/>
          <w:color w:val="36363D"/>
        </w:rPr>
      </w:pPr>
      <w:r>
        <w:rPr>
          <w:rFonts w:hint="eastAsia" w:cs="宋体"/>
          <w:color w:val="36363D"/>
        </w:rPr>
        <w:t>5、参加招标活动前三年内，在经营活动中没有重大违法记录；</w:t>
      </w:r>
    </w:p>
    <w:p w14:paraId="3866AC81">
      <w:pPr>
        <w:pageBreakBefore w:val="0"/>
        <w:kinsoku/>
        <w:overflowPunct/>
        <w:topLinePunct w:val="0"/>
        <w:bidi w:val="0"/>
        <w:snapToGrid w:val="0"/>
        <w:spacing w:after="0"/>
        <w:ind w:firstLine="480"/>
        <w:rPr>
          <w:rFonts w:hint="eastAsia" w:cs="宋体"/>
          <w:color w:val="36363D"/>
        </w:rPr>
      </w:pPr>
      <w:r>
        <w:rPr>
          <w:rFonts w:hint="eastAsia" w:cs="宋体"/>
          <w:color w:val="36363D"/>
        </w:rPr>
        <w:t>6、具有法律、行政法规规定的其他条件。</w:t>
      </w:r>
    </w:p>
    <w:p w14:paraId="4055DBE8">
      <w:pPr>
        <w:pageBreakBefore w:val="0"/>
        <w:kinsoku/>
        <w:overflowPunct/>
        <w:topLinePunct w:val="0"/>
        <w:bidi w:val="0"/>
        <w:snapToGrid w:val="0"/>
        <w:spacing w:after="0"/>
        <w:ind w:firstLine="480"/>
        <w:rPr>
          <w:rFonts w:hint="eastAsia" w:cs="宋体"/>
          <w:color w:val="36363D"/>
        </w:rPr>
      </w:pPr>
      <w:r>
        <w:rPr>
          <w:rFonts w:hint="eastAsia" w:cs="宋体"/>
          <w:color w:val="36363D"/>
        </w:rPr>
        <w:t>（二）不存在以下情况：</w:t>
      </w:r>
    </w:p>
    <w:p w14:paraId="51480B53">
      <w:pPr>
        <w:pageBreakBefore w:val="0"/>
        <w:kinsoku/>
        <w:overflowPunct/>
        <w:topLinePunct w:val="0"/>
        <w:bidi w:val="0"/>
        <w:snapToGrid w:val="0"/>
        <w:spacing w:after="0"/>
        <w:ind w:firstLine="480"/>
        <w:rPr>
          <w:rFonts w:hint="eastAsia" w:cs="宋体"/>
          <w:color w:val="36363D"/>
        </w:rPr>
      </w:pPr>
      <w:r>
        <w:rPr>
          <w:rFonts w:hint="eastAsia" w:cs="宋体"/>
          <w:color w:val="36363D"/>
        </w:rPr>
        <w:t>1、单位负责人为同一人或者存在直接控股、管理关系的不同投标人参加同一合同项下的招标活动的；</w:t>
      </w:r>
    </w:p>
    <w:p w14:paraId="29106A31">
      <w:pPr>
        <w:pageBreakBefore w:val="0"/>
        <w:kinsoku/>
        <w:overflowPunct/>
        <w:topLinePunct w:val="0"/>
        <w:bidi w:val="0"/>
        <w:snapToGrid w:val="0"/>
        <w:spacing w:after="0"/>
        <w:ind w:firstLine="480"/>
        <w:rPr>
          <w:rFonts w:hint="eastAsia" w:cs="宋体"/>
          <w:color w:val="36363D"/>
        </w:rPr>
      </w:pPr>
      <w:r>
        <w:rPr>
          <w:rFonts w:hint="eastAsia" w:cs="宋体"/>
          <w:color w:val="36363D"/>
        </w:rPr>
        <w:t>2、为招标项目提供整体设计、规范编制或者项目管理、监理、检测等服务后再参加该招标项目的其他招标活动的。</w:t>
      </w:r>
    </w:p>
    <w:p w14:paraId="71B0DA59">
      <w:pPr>
        <w:pStyle w:val="10"/>
        <w:pageBreakBefore w:val="0"/>
        <w:kinsoku/>
        <w:overflowPunct/>
        <w:topLinePunct w:val="0"/>
        <w:bidi w:val="0"/>
        <w:spacing w:before="0" w:after="0"/>
        <w:rPr>
          <w:rFonts w:hint="eastAsia" w:hAnsi="宋体" w:cs="宋体"/>
          <w:color w:val="36363D"/>
        </w:rPr>
      </w:pPr>
    </w:p>
    <w:p w14:paraId="BBD807D9">
      <w:pPr>
        <w:pageBreakBefore w:val="0"/>
        <w:kinsoku/>
        <w:overflowPunct/>
        <w:topLinePunct w:val="0"/>
        <w:bidi w:val="0"/>
        <w:spacing w:after="0"/>
        <w:ind w:firstLine="480"/>
        <w:rPr>
          <w:rFonts w:hint="eastAsia"/>
          <w:color w:val="36363D"/>
        </w:rPr>
      </w:pPr>
    </w:p>
    <w:p w14:paraId="043F88EB">
      <w:pPr>
        <w:pageBreakBefore w:val="0"/>
        <w:kinsoku/>
        <w:overflowPunct/>
        <w:topLinePunct w:val="0"/>
        <w:bidi w:val="0"/>
        <w:spacing w:after="0"/>
        <w:ind w:firstLine="0" w:firstLineChars="0"/>
        <w:rPr>
          <w:rFonts w:hint="eastAsia" w:cs="宋体"/>
          <w:color w:val="36363D"/>
        </w:rPr>
      </w:pPr>
      <w:r>
        <w:rPr>
          <w:rFonts w:hint="eastAsia" w:cs="宋体"/>
          <w:color w:val="36363D"/>
        </w:rPr>
        <w:t>投标人名称（公章）：</w:t>
      </w:r>
    </w:p>
    <w:p w14:paraId="47A21D9A">
      <w:pPr>
        <w:pageBreakBefore w:val="0"/>
        <w:kinsoku/>
        <w:overflowPunct/>
        <w:topLinePunct w:val="0"/>
        <w:bidi w:val="0"/>
        <w:spacing w:after="0"/>
        <w:ind w:firstLine="0" w:firstLineChars="0"/>
        <w:rPr>
          <w:rFonts w:hint="eastAsia" w:cs="宋体"/>
          <w:color w:val="36363D"/>
        </w:rPr>
      </w:pPr>
      <w:r>
        <w:rPr>
          <w:rFonts w:hint="eastAsia" w:cs="宋体"/>
          <w:color w:val="36363D"/>
        </w:rPr>
        <w:t>法定代表人或其全权代表（签字）：</w:t>
      </w:r>
    </w:p>
    <w:p w14:paraId="C2AD45DF">
      <w:pPr>
        <w:pageBreakBefore w:val="0"/>
        <w:kinsoku/>
        <w:overflowPunct/>
        <w:topLinePunct w:val="0"/>
        <w:bidi w:val="0"/>
        <w:spacing w:after="0"/>
        <w:ind w:firstLine="0" w:firstLineChars="0"/>
        <w:jc w:val="left"/>
        <w:rPr>
          <w:rFonts w:hint="eastAsia" w:cs="宋体"/>
          <w:color w:val="36363D"/>
        </w:rPr>
      </w:pPr>
      <w:r>
        <w:rPr>
          <w:rFonts w:hint="eastAsia" w:cs="宋体"/>
          <w:color w:val="36363D"/>
        </w:rPr>
        <w:t>日期：  年   月   日</w:t>
      </w:r>
    </w:p>
    <w:p w14:paraId="A994761A">
      <w:pPr>
        <w:pStyle w:val="55"/>
        <w:pageBreakBefore w:val="0"/>
        <w:kinsoku/>
        <w:overflowPunct/>
        <w:topLinePunct w:val="0"/>
        <w:bidi w:val="0"/>
        <w:spacing w:after="0"/>
        <w:rPr>
          <w:rFonts w:hint="eastAsia" w:ascii="宋体" w:hAnsi="宋体" w:eastAsia="宋体" w:cs="宋体"/>
          <w:color w:val="36363D"/>
        </w:rPr>
      </w:pPr>
    </w:p>
    <w:p w14:paraId="6D7E3214">
      <w:pPr>
        <w:pStyle w:val="57"/>
        <w:pageBreakBefore w:val="0"/>
        <w:kinsoku/>
        <w:overflowPunct/>
        <w:topLinePunct w:val="0"/>
        <w:bidi w:val="0"/>
        <w:spacing w:after="0"/>
        <w:ind w:left="0"/>
        <w:rPr>
          <w:rFonts w:hint="eastAsia" w:ascii="宋体" w:hAnsi="宋体" w:cs="宋体"/>
          <w:color w:val="36363D"/>
        </w:rPr>
      </w:pPr>
    </w:p>
    <w:p w14:paraId="04C49496">
      <w:pPr>
        <w:pStyle w:val="10"/>
        <w:pageBreakBefore w:val="0"/>
        <w:kinsoku/>
        <w:overflowPunct/>
        <w:topLinePunct w:val="0"/>
        <w:bidi w:val="0"/>
        <w:spacing w:before="0" w:after="0"/>
        <w:ind w:firstLine="0"/>
        <w:rPr>
          <w:rFonts w:hint="eastAsia" w:hAnsi="宋体" w:cs="宋体"/>
          <w:b/>
          <w:bCs/>
          <w:color w:val="36363D"/>
        </w:rPr>
      </w:pPr>
      <w:r>
        <w:rPr>
          <w:rFonts w:hint="eastAsia" w:hAnsi="宋体" w:cs="宋体"/>
          <w:b/>
          <w:bCs/>
          <w:color w:val="36363D"/>
        </w:rPr>
        <w:br w:type="page"/>
      </w:r>
    </w:p>
    <w:p w14:paraId="301C8BA2">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附件四</w:t>
      </w:r>
    </w:p>
    <w:p w14:paraId="A2ED5DEE">
      <w:pPr>
        <w:pageBreakBefore w:val="0"/>
        <w:kinsoku/>
        <w:overflowPunct/>
        <w:topLinePunct w:val="0"/>
        <w:bidi w:val="0"/>
        <w:spacing w:after="0"/>
        <w:ind w:firstLine="538"/>
        <w:jc w:val="center"/>
        <w:rPr>
          <w:rFonts w:hint="eastAsia" w:cs="宋体"/>
          <w:b/>
          <w:color w:val="36363D"/>
          <w:spacing w:val="-6"/>
          <w:sz w:val="28"/>
          <w:szCs w:val="28"/>
        </w:rPr>
      </w:pPr>
      <w:r>
        <w:rPr>
          <w:rFonts w:hint="eastAsia" w:cs="宋体"/>
          <w:b/>
          <w:color w:val="36363D"/>
          <w:spacing w:val="-6"/>
          <w:sz w:val="28"/>
          <w:szCs w:val="28"/>
        </w:rPr>
        <w:t>法定代表人有效身份证明书</w:t>
      </w:r>
    </w:p>
    <w:p w14:paraId="803D159B">
      <w:pPr>
        <w:pStyle w:val="10"/>
        <w:pageBreakBefore w:val="0"/>
        <w:kinsoku/>
        <w:overflowPunct/>
        <w:topLinePunct w:val="0"/>
        <w:bidi w:val="0"/>
        <w:spacing w:before="0" w:after="0"/>
        <w:rPr>
          <w:color w:val="36363D"/>
        </w:rPr>
      </w:pPr>
    </w:p>
    <w:p w14:paraId="2B800CA6">
      <w:pPr>
        <w:pageBreakBefore w:val="0"/>
        <w:kinsoku/>
        <w:overflowPunct/>
        <w:topLinePunct w:val="0"/>
        <w:bidi w:val="0"/>
        <w:spacing w:after="0"/>
        <w:ind w:firstLine="456"/>
        <w:rPr>
          <w:rFonts w:hint="eastAsia" w:cs="宋体"/>
          <w:bCs/>
          <w:color w:val="36363D"/>
          <w:spacing w:val="-6"/>
        </w:rPr>
      </w:pPr>
      <w:r>
        <w:rPr>
          <w:rFonts w:hint="eastAsia" w:cs="宋体"/>
          <w:bCs/>
          <w:color w:val="36363D"/>
          <w:spacing w:val="-6"/>
        </w:rPr>
        <w:t>致：（采购人）（代理机构）</w:t>
      </w:r>
    </w:p>
    <w:p w14:paraId="263C383F">
      <w:pPr>
        <w:pageBreakBefore w:val="0"/>
        <w:kinsoku/>
        <w:overflowPunct/>
        <w:topLinePunct w:val="0"/>
        <w:bidi w:val="0"/>
        <w:spacing w:after="0"/>
        <w:ind w:firstLine="456"/>
        <w:rPr>
          <w:rFonts w:hint="eastAsia" w:cs="宋体"/>
          <w:bCs/>
          <w:color w:val="36363D"/>
          <w:spacing w:val="-6"/>
        </w:rPr>
      </w:pPr>
      <w:r>
        <w:rPr>
          <w:rFonts w:hint="eastAsia" w:cs="宋体"/>
          <w:bCs/>
          <w:color w:val="36363D"/>
          <w:spacing w:val="-6"/>
        </w:rPr>
        <w:t>我</w:t>
      </w:r>
      <w:r>
        <w:rPr>
          <w:rFonts w:hint="eastAsia" w:cs="宋体"/>
          <w:color w:val="36363D"/>
          <w:spacing w:val="-6"/>
        </w:rPr>
        <w:t>____________</w:t>
      </w:r>
      <w:r>
        <w:rPr>
          <w:rFonts w:hint="eastAsia" w:cs="宋体"/>
          <w:bCs/>
          <w:color w:val="36363D"/>
          <w:spacing w:val="-6"/>
        </w:rPr>
        <w:t>（姓名）系_______________________（单位名称）的法定代表人，身份证号码：_________________________________。</w:t>
      </w:r>
    </w:p>
    <w:p w14:paraId="88A063A0">
      <w:pPr>
        <w:pageBreakBefore w:val="0"/>
        <w:kinsoku/>
        <w:overflowPunct/>
        <w:topLinePunct w:val="0"/>
        <w:bidi w:val="0"/>
        <w:spacing w:after="0"/>
        <w:ind w:firstLine="456"/>
        <w:rPr>
          <w:rFonts w:hint="eastAsia" w:cs="宋体"/>
          <w:bCs/>
          <w:color w:val="36363D"/>
          <w:spacing w:val="-6"/>
        </w:rPr>
      </w:pPr>
      <w:r>
        <w:rPr>
          <w:rFonts w:hint="eastAsia" w:cs="宋体"/>
          <w:bCs/>
          <w:color w:val="36363D"/>
          <w:spacing w:val="-6"/>
        </w:rPr>
        <w:t>特此证明。</w:t>
      </w:r>
    </w:p>
    <w:p w14:paraId="1FB6AF8E">
      <w:pPr>
        <w:pageBreakBefore w:val="0"/>
        <w:kinsoku/>
        <w:overflowPunct/>
        <w:topLinePunct w:val="0"/>
        <w:bidi w:val="0"/>
        <w:spacing w:after="0"/>
        <w:ind w:firstLine="456"/>
        <w:rPr>
          <w:rFonts w:hint="eastAsia" w:cs="宋体"/>
          <w:bCs/>
          <w:color w:val="36363D"/>
          <w:spacing w:val="-6"/>
        </w:rPr>
      </w:pPr>
    </w:p>
    <w:tbl>
      <w:tblPr>
        <w:tblStyle w:val="4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6FC5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tcPr>
          <w:p w14:paraId="1769A8DA">
            <w:pPr>
              <w:pageBreakBefore w:val="0"/>
              <w:kinsoku/>
              <w:overflowPunct/>
              <w:topLinePunct w:val="0"/>
              <w:bidi w:val="0"/>
              <w:spacing w:after="0"/>
              <w:ind w:firstLine="480"/>
              <w:rPr>
                <w:rFonts w:hint="eastAsia" w:cs="宋体"/>
                <w:color w:val="36363D"/>
              </w:rPr>
            </w:pPr>
          </w:p>
          <w:p w14:paraId="1B9CC430">
            <w:pPr>
              <w:pageBreakBefore w:val="0"/>
              <w:kinsoku/>
              <w:overflowPunct/>
              <w:topLinePunct w:val="0"/>
              <w:bidi w:val="0"/>
              <w:spacing w:after="0"/>
              <w:ind w:firstLine="480"/>
              <w:rPr>
                <w:rFonts w:hint="eastAsia" w:cs="宋体"/>
                <w:color w:val="36363D"/>
              </w:rPr>
            </w:pPr>
          </w:p>
          <w:p w14:paraId="3A2964B7">
            <w:pPr>
              <w:pageBreakBefore w:val="0"/>
              <w:kinsoku/>
              <w:overflowPunct/>
              <w:topLinePunct w:val="0"/>
              <w:bidi w:val="0"/>
              <w:spacing w:after="0"/>
              <w:ind w:firstLine="480"/>
              <w:rPr>
                <w:rFonts w:hint="eastAsia" w:cs="宋体"/>
                <w:color w:val="36363D"/>
              </w:rPr>
            </w:pPr>
          </w:p>
          <w:p w14:paraId="44217648">
            <w:pPr>
              <w:pageBreakBefore w:val="0"/>
              <w:kinsoku/>
              <w:overflowPunct/>
              <w:topLinePunct w:val="0"/>
              <w:bidi w:val="0"/>
              <w:spacing w:after="0"/>
              <w:ind w:firstLine="2409" w:firstLineChars="1000"/>
              <w:rPr>
                <w:rFonts w:hint="eastAsia" w:cs="宋体"/>
                <w:b/>
                <w:bCs/>
                <w:color w:val="36363D"/>
              </w:rPr>
            </w:pPr>
            <w:r>
              <w:rPr>
                <w:rFonts w:hint="eastAsia" w:cs="宋体"/>
                <w:b/>
                <w:bCs/>
                <w:color w:val="36363D"/>
              </w:rPr>
              <w:t>法定代表人有效身份证明复印件粘贴处</w:t>
            </w:r>
          </w:p>
          <w:p w14:paraId="B4578B6B">
            <w:pPr>
              <w:pageBreakBefore w:val="0"/>
              <w:kinsoku/>
              <w:overflowPunct/>
              <w:topLinePunct w:val="0"/>
              <w:bidi w:val="0"/>
              <w:spacing w:after="0"/>
              <w:ind w:firstLine="480"/>
              <w:rPr>
                <w:rFonts w:hint="eastAsia" w:cs="宋体"/>
                <w:color w:val="36363D"/>
              </w:rPr>
            </w:pPr>
          </w:p>
          <w:p w14:paraId="812DE319">
            <w:pPr>
              <w:pageBreakBefore w:val="0"/>
              <w:kinsoku/>
              <w:overflowPunct/>
              <w:topLinePunct w:val="0"/>
              <w:bidi w:val="0"/>
              <w:spacing w:after="0"/>
              <w:ind w:firstLine="480"/>
              <w:rPr>
                <w:rFonts w:hint="eastAsia" w:cs="宋体"/>
                <w:color w:val="36363D"/>
              </w:rPr>
            </w:pPr>
          </w:p>
          <w:p w14:paraId="90BFC403">
            <w:pPr>
              <w:pageBreakBefore w:val="0"/>
              <w:kinsoku/>
              <w:overflowPunct/>
              <w:topLinePunct w:val="0"/>
              <w:bidi w:val="0"/>
              <w:spacing w:after="0"/>
              <w:ind w:firstLine="456"/>
              <w:rPr>
                <w:rFonts w:hint="eastAsia" w:cs="宋体"/>
                <w:bCs/>
                <w:color w:val="36363D"/>
                <w:spacing w:val="-6"/>
              </w:rPr>
            </w:pPr>
          </w:p>
        </w:tc>
      </w:tr>
    </w:tbl>
    <w:p w14:paraId="97D9E08C">
      <w:pPr>
        <w:pageBreakBefore w:val="0"/>
        <w:kinsoku/>
        <w:overflowPunct/>
        <w:topLinePunct w:val="0"/>
        <w:bidi w:val="0"/>
        <w:spacing w:after="0"/>
        <w:ind w:firstLine="456"/>
        <w:rPr>
          <w:rFonts w:hint="eastAsia" w:cs="宋体"/>
          <w:bCs/>
          <w:color w:val="36363D"/>
          <w:spacing w:val="-6"/>
        </w:rPr>
      </w:pPr>
    </w:p>
    <w:p w14:paraId="2CBBD573">
      <w:pPr>
        <w:pageBreakBefore w:val="0"/>
        <w:kinsoku/>
        <w:overflowPunct/>
        <w:topLinePunct w:val="0"/>
        <w:bidi w:val="0"/>
        <w:spacing w:after="0"/>
        <w:ind w:right="456" w:firstLine="458"/>
        <w:rPr>
          <w:rFonts w:hint="eastAsia" w:cs="宋体"/>
          <w:b/>
          <w:bCs/>
          <w:color w:val="36363D"/>
          <w:spacing w:val="-6"/>
        </w:rPr>
      </w:pPr>
    </w:p>
    <w:p w14:paraId="6BCD2972">
      <w:pPr>
        <w:pageBreakBefore w:val="0"/>
        <w:kinsoku/>
        <w:overflowPunct/>
        <w:topLinePunct w:val="0"/>
        <w:bidi w:val="0"/>
        <w:spacing w:after="0"/>
        <w:ind w:right="456" w:firstLine="458"/>
        <w:rPr>
          <w:rFonts w:hint="eastAsia" w:cs="宋体"/>
          <w:b/>
          <w:bCs/>
          <w:color w:val="36363D"/>
          <w:spacing w:val="-6"/>
        </w:rPr>
      </w:pPr>
    </w:p>
    <w:p w14:paraId="9B157ED6">
      <w:pPr>
        <w:pageBreakBefore w:val="0"/>
        <w:kinsoku/>
        <w:overflowPunct/>
        <w:topLinePunct w:val="0"/>
        <w:bidi w:val="0"/>
        <w:spacing w:after="0"/>
        <w:ind w:right="456" w:firstLine="458"/>
        <w:rPr>
          <w:rFonts w:hint="eastAsia" w:cs="宋体"/>
          <w:b/>
          <w:bCs/>
          <w:color w:val="36363D"/>
          <w:spacing w:val="-6"/>
        </w:rPr>
      </w:pPr>
    </w:p>
    <w:p w14:paraId="95D852F5">
      <w:pPr>
        <w:pageBreakBefore w:val="0"/>
        <w:kinsoku/>
        <w:overflowPunct/>
        <w:topLinePunct w:val="0"/>
        <w:bidi w:val="0"/>
        <w:spacing w:after="0"/>
        <w:ind w:right="456" w:firstLine="458"/>
        <w:rPr>
          <w:rFonts w:hint="eastAsia" w:cs="宋体"/>
          <w:b/>
          <w:bCs/>
          <w:color w:val="36363D"/>
          <w:spacing w:val="-6"/>
        </w:rPr>
      </w:pPr>
    </w:p>
    <w:p w14:paraId="017B7E4C">
      <w:pPr>
        <w:pageBreakBefore w:val="0"/>
        <w:kinsoku/>
        <w:overflowPunct/>
        <w:topLinePunct w:val="0"/>
        <w:bidi w:val="0"/>
        <w:spacing w:after="0"/>
        <w:ind w:firstLine="480"/>
        <w:rPr>
          <w:rFonts w:hint="eastAsia" w:cs="宋体"/>
          <w:color w:val="36363D"/>
        </w:rPr>
      </w:pPr>
      <w:r>
        <w:rPr>
          <w:rFonts w:hint="eastAsia" w:cs="宋体"/>
          <w:color w:val="36363D"/>
        </w:rPr>
        <w:t>投标人名称（公章）：</w:t>
      </w:r>
    </w:p>
    <w:p w14:paraId="DB2D2A59">
      <w:pPr>
        <w:pageBreakBefore w:val="0"/>
        <w:kinsoku/>
        <w:overflowPunct/>
        <w:topLinePunct w:val="0"/>
        <w:bidi w:val="0"/>
        <w:spacing w:after="0"/>
        <w:ind w:firstLine="480"/>
        <w:rPr>
          <w:rFonts w:hint="eastAsia" w:cs="宋体"/>
          <w:color w:val="36363D"/>
        </w:rPr>
      </w:pPr>
      <w:r>
        <w:rPr>
          <w:rFonts w:hint="eastAsia" w:cs="宋体"/>
          <w:color w:val="36363D"/>
        </w:rPr>
        <w:t>法定代表人（签字或盖章）：</w:t>
      </w:r>
    </w:p>
    <w:p w14:paraId="2F142552">
      <w:pPr>
        <w:pageBreakBefore w:val="0"/>
        <w:kinsoku/>
        <w:overflowPunct/>
        <w:topLinePunct w:val="0"/>
        <w:bidi w:val="0"/>
        <w:spacing w:after="0"/>
        <w:ind w:firstLine="480"/>
        <w:rPr>
          <w:rFonts w:hint="eastAsia" w:cs="宋体"/>
          <w:color w:val="36363D"/>
        </w:rPr>
      </w:pPr>
      <w:r>
        <w:rPr>
          <w:rFonts w:hint="eastAsia" w:cs="宋体"/>
          <w:color w:val="36363D"/>
        </w:rPr>
        <w:t>日期：  年   月   日</w:t>
      </w:r>
    </w:p>
    <w:p w14:paraId="A4A71F92">
      <w:pPr>
        <w:pageBreakBefore w:val="0"/>
        <w:kinsoku/>
        <w:overflowPunct/>
        <w:topLinePunct w:val="0"/>
        <w:bidi w:val="0"/>
        <w:spacing w:after="0"/>
        <w:ind w:right="456" w:firstLine="456"/>
        <w:rPr>
          <w:rFonts w:hint="eastAsia" w:cs="宋体"/>
          <w:bCs/>
          <w:color w:val="36363D"/>
          <w:spacing w:val="-6"/>
        </w:rPr>
        <w:sectPr>
          <w:headerReference r:id="rId13" w:type="default"/>
          <w:footerReference r:id="rId14" w:type="default"/>
          <w:pgSz w:w="11907" w:h="16840"/>
          <w:pgMar w:top="1247" w:right="1304" w:bottom="1021" w:left="1304" w:header="720" w:footer="720" w:gutter="0"/>
          <w:cols w:space="720" w:num="1"/>
          <w:docGrid w:linePitch="286" w:charSpace="0"/>
        </w:sectPr>
      </w:pPr>
    </w:p>
    <w:p w14:paraId="84B253F5">
      <w:pPr>
        <w:pageBreakBefore w:val="0"/>
        <w:kinsoku/>
        <w:overflowPunct/>
        <w:topLinePunct w:val="0"/>
        <w:bidi w:val="0"/>
        <w:spacing w:after="0"/>
        <w:ind w:firstLine="0" w:firstLineChars="0"/>
        <w:rPr>
          <w:rFonts w:hint="eastAsia"/>
          <w:color w:val="36363D"/>
        </w:rPr>
      </w:pPr>
    </w:p>
    <w:p w14:paraId="8AA5B7A6">
      <w:pPr>
        <w:pStyle w:val="9"/>
        <w:pageBreakBefore w:val="0"/>
        <w:kinsoku/>
        <w:overflowPunct/>
        <w:topLinePunct w:val="0"/>
        <w:bidi w:val="0"/>
        <w:spacing w:after="0" w:line="480" w:lineRule="exact"/>
        <w:ind w:firstLine="2896" w:firstLineChars="880"/>
        <w:rPr>
          <w:rFonts w:cs="宋体"/>
          <w:b/>
          <w:bCs/>
          <w:color w:val="36363D"/>
          <w:spacing w:val="24"/>
          <w:sz w:val="28"/>
          <w:szCs w:val="28"/>
        </w:rPr>
      </w:pPr>
      <w:r>
        <w:rPr>
          <w:rFonts w:hint="eastAsia" w:cs="宋体"/>
          <w:b/>
          <w:bCs/>
          <w:color w:val="36363D"/>
          <w:spacing w:val="24"/>
          <w:sz w:val="28"/>
          <w:szCs w:val="28"/>
        </w:rPr>
        <w:t>法定代表人授权委托书</w:t>
      </w:r>
    </w:p>
    <w:p w14:paraId="B179343C">
      <w:pPr>
        <w:pageBreakBefore w:val="0"/>
        <w:kinsoku/>
        <w:overflowPunct/>
        <w:topLinePunct w:val="0"/>
        <w:bidi w:val="0"/>
        <w:spacing w:after="0" w:line="480" w:lineRule="exact"/>
        <w:ind w:firstLine="480"/>
        <w:rPr>
          <w:rFonts w:hint="eastAsia" w:cs="宋体"/>
          <w:color w:val="36363D"/>
        </w:rPr>
      </w:pPr>
    </w:p>
    <w:p w14:paraId="A61D0C4D">
      <w:pPr>
        <w:pageBreakBefore w:val="0"/>
        <w:kinsoku/>
        <w:overflowPunct/>
        <w:topLinePunct w:val="0"/>
        <w:bidi w:val="0"/>
        <w:spacing w:after="0" w:line="480" w:lineRule="exact"/>
        <w:ind w:firstLine="480"/>
        <w:rPr>
          <w:rFonts w:hint="eastAsia" w:cs="宋体"/>
          <w:color w:val="36363D"/>
        </w:rPr>
      </w:pPr>
      <w:r>
        <w:rPr>
          <w:rFonts w:hint="eastAsia" w:cs="宋体"/>
          <w:color w:val="36363D"/>
        </w:rPr>
        <w:t>本授权委托书声明，我（姓名）系（供应商名称）的法定代表人，现授权委托（姓名）为我单位授权代表，以本单位的名义参加（采购人）的项目的投标活动。授权代表在投标、开标、评标、合同谈判过程中所签署的一切文件和处理与之有关的一切事务，我均予以承认。</w:t>
      </w:r>
    </w:p>
    <w:p w14:paraId="835199A3">
      <w:pPr>
        <w:pageBreakBefore w:val="0"/>
        <w:kinsoku/>
        <w:overflowPunct/>
        <w:topLinePunct w:val="0"/>
        <w:bidi w:val="0"/>
        <w:spacing w:after="0" w:line="480" w:lineRule="exact"/>
        <w:ind w:firstLine="480"/>
        <w:rPr>
          <w:rFonts w:hint="eastAsia" w:cs="宋体"/>
          <w:color w:val="36363D"/>
        </w:rPr>
      </w:pPr>
      <w:r>
        <w:rPr>
          <w:rFonts w:hint="eastAsia" w:cs="宋体"/>
          <w:color w:val="36363D"/>
        </w:rPr>
        <w:t>被授权人无转委托权，特此委托。</w:t>
      </w:r>
    </w:p>
    <w:p w14:paraId="34C959C1">
      <w:pPr>
        <w:pageBreakBefore w:val="0"/>
        <w:kinsoku/>
        <w:overflowPunct/>
        <w:topLinePunct w:val="0"/>
        <w:bidi w:val="0"/>
        <w:spacing w:after="0" w:line="480" w:lineRule="exact"/>
        <w:ind w:firstLine="482"/>
        <w:rPr>
          <w:rFonts w:hint="eastAsia" w:cs="宋体"/>
          <w:b/>
          <w:color w:val="36363D"/>
        </w:rPr>
      </w:pPr>
    </w:p>
    <w:p w14:paraId="196AC9CC">
      <w:pPr>
        <w:pageBreakBefore w:val="0"/>
        <w:kinsoku/>
        <w:overflowPunct/>
        <w:topLinePunct w:val="0"/>
        <w:bidi w:val="0"/>
        <w:spacing w:after="0" w:line="480" w:lineRule="exact"/>
        <w:ind w:firstLine="480"/>
        <w:rPr>
          <w:rFonts w:hint="eastAsia" w:cs="宋体"/>
          <w:color w:val="36363D"/>
          <w:u w:val="single"/>
        </w:rPr>
      </w:pPr>
      <w:r>
        <w:rPr>
          <w:rFonts w:hint="eastAsia" w:cs="宋体"/>
          <w:color w:val="36363D"/>
        </w:rPr>
        <w:t>授权代表：</w:t>
      </w:r>
      <w:r>
        <w:rPr>
          <w:rFonts w:hint="eastAsia" w:cs="宋体"/>
          <w:color w:val="36363D"/>
          <w:u w:val="single"/>
        </w:rPr>
        <w:t xml:space="preserve">   （签字）   </w:t>
      </w:r>
    </w:p>
    <w:p w14:paraId="5B5C8800">
      <w:pPr>
        <w:pageBreakBefore w:val="0"/>
        <w:kinsoku/>
        <w:overflowPunct/>
        <w:topLinePunct w:val="0"/>
        <w:bidi w:val="0"/>
        <w:spacing w:after="0" w:line="480" w:lineRule="exact"/>
        <w:ind w:firstLine="480"/>
        <w:rPr>
          <w:rFonts w:hint="eastAsia" w:cs="宋体"/>
          <w:color w:val="36363D"/>
          <w:u w:val="single"/>
        </w:rPr>
      </w:pPr>
      <w:r>
        <w:rPr>
          <w:rFonts w:hint="eastAsia" w:cs="宋体"/>
          <w:color w:val="36363D"/>
        </w:rPr>
        <w:t>身份证号码：</w:t>
      </w:r>
    </w:p>
    <w:p w14:paraId="D73A7504">
      <w:pPr>
        <w:pageBreakBefore w:val="0"/>
        <w:kinsoku/>
        <w:overflowPunct/>
        <w:topLinePunct w:val="0"/>
        <w:bidi w:val="0"/>
        <w:spacing w:after="0" w:line="480" w:lineRule="exact"/>
        <w:ind w:firstLine="480"/>
        <w:rPr>
          <w:rFonts w:hint="eastAsia" w:cs="宋体"/>
          <w:color w:val="36363D"/>
          <w:u w:val="single"/>
        </w:rPr>
      </w:pPr>
      <w:r>
        <w:rPr>
          <w:rFonts w:hint="eastAsia" w:cs="宋体"/>
          <w:color w:val="36363D"/>
        </w:rPr>
        <w:t>职务：</w:t>
      </w:r>
    </w:p>
    <w:p w14:paraId="044C276A">
      <w:pPr>
        <w:pageBreakBefore w:val="0"/>
        <w:kinsoku/>
        <w:overflowPunct/>
        <w:topLinePunct w:val="0"/>
        <w:bidi w:val="0"/>
        <w:spacing w:after="0" w:line="480" w:lineRule="exact"/>
        <w:ind w:firstLine="480"/>
        <w:rPr>
          <w:rFonts w:hint="eastAsia" w:cs="宋体"/>
          <w:color w:val="36363D"/>
        </w:rPr>
      </w:pPr>
      <w:r>
        <w:rPr>
          <w:rFonts w:hint="eastAsia" w:cs="宋体"/>
          <w:color w:val="36363D"/>
        </w:rPr>
        <w:t>投标人名称：</w:t>
      </w:r>
      <w:r>
        <w:rPr>
          <w:rFonts w:hint="eastAsia" w:cs="宋体"/>
          <w:color w:val="36363D"/>
          <w:u w:val="single"/>
        </w:rPr>
        <w:t xml:space="preserve">                 （盖章）</w:t>
      </w:r>
    </w:p>
    <w:p w14:paraId="1D3792E2">
      <w:pPr>
        <w:pageBreakBefore w:val="0"/>
        <w:kinsoku/>
        <w:overflowPunct/>
        <w:topLinePunct w:val="0"/>
        <w:bidi w:val="0"/>
        <w:spacing w:after="0" w:line="480" w:lineRule="exact"/>
        <w:ind w:firstLine="480"/>
        <w:rPr>
          <w:rFonts w:hint="eastAsia" w:cs="宋体"/>
          <w:color w:val="36363D"/>
        </w:rPr>
      </w:pPr>
      <w:r>
        <w:rPr>
          <w:rFonts w:hint="eastAsia" w:cs="宋体"/>
          <w:color w:val="36363D"/>
        </w:rPr>
        <w:t>法定代表人：</w:t>
      </w:r>
      <w:r>
        <w:rPr>
          <w:rFonts w:hint="eastAsia" w:cs="宋体"/>
          <w:color w:val="36363D"/>
          <w:u w:val="single"/>
        </w:rPr>
        <w:t xml:space="preserve">                （签名或盖章）</w:t>
      </w:r>
    </w:p>
    <w:p w14:paraId="449BA627">
      <w:pPr>
        <w:pStyle w:val="9"/>
        <w:pageBreakBefore w:val="0"/>
        <w:kinsoku/>
        <w:overflowPunct/>
        <w:topLinePunct w:val="0"/>
        <w:bidi w:val="0"/>
        <w:spacing w:after="0" w:line="480" w:lineRule="exact"/>
        <w:ind w:firstLine="0"/>
        <w:rPr>
          <w:rFonts w:cs="宋体"/>
          <w:color w:val="36363D"/>
          <w:sz w:val="24"/>
        </w:rPr>
      </w:pPr>
      <w:r>
        <w:rPr>
          <w:rFonts w:hint="eastAsia" w:cs="宋体"/>
          <w:color w:val="36363D"/>
          <w:sz w:val="24"/>
        </w:rPr>
        <w:t>日期：    年   月   日</w:t>
      </w:r>
    </w:p>
    <w:p w14:paraId="A8B437C2">
      <w:pPr>
        <w:pStyle w:val="9"/>
        <w:pageBreakBefore w:val="0"/>
        <w:kinsoku/>
        <w:overflowPunct/>
        <w:topLinePunct w:val="0"/>
        <w:bidi w:val="0"/>
        <w:spacing w:after="0" w:line="480" w:lineRule="exact"/>
        <w:ind w:firstLine="0"/>
        <w:rPr>
          <w:rFonts w:cs="宋体"/>
          <w:color w:val="36363D"/>
          <w:sz w:val="24"/>
        </w:rPr>
      </w:pPr>
    </w:p>
    <w:p w14:paraId="E6FFF9A8">
      <w:pPr>
        <w:pStyle w:val="9"/>
        <w:pageBreakBefore w:val="0"/>
        <w:kinsoku/>
        <w:overflowPunct/>
        <w:topLinePunct w:val="0"/>
        <w:bidi w:val="0"/>
        <w:spacing w:after="0" w:line="480" w:lineRule="exact"/>
        <w:ind w:firstLine="0"/>
        <w:rPr>
          <w:rFonts w:cs="宋体"/>
          <w:color w:val="36363D"/>
          <w:sz w:val="24"/>
        </w:rPr>
      </w:pPr>
      <w:r>
        <w:rPr>
          <w:rFonts w:hint="eastAsia" w:cs="宋体"/>
          <w:color w:val="36363D"/>
          <w:sz w:val="24"/>
        </w:rPr>
        <w:t>—————————————————————————————————————</w:t>
      </w:r>
    </w:p>
    <w:p w14:paraId="3FB9A895">
      <w:pPr>
        <w:pStyle w:val="9"/>
        <w:pageBreakBefore w:val="0"/>
        <w:kinsoku/>
        <w:overflowPunct/>
        <w:topLinePunct w:val="0"/>
        <w:bidi w:val="0"/>
        <w:spacing w:after="0" w:line="480" w:lineRule="exact"/>
        <w:ind w:firstLine="0"/>
        <w:rPr>
          <w:rFonts w:cs="宋体"/>
          <w:color w:val="36363D"/>
          <w:sz w:val="24"/>
        </w:rPr>
      </w:pPr>
    </w:p>
    <w:p w14:paraId="DF0AF056">
      <w:pPr>
        <w:pStyle w:val="9"/>
        <w:pageBreakBefore w:val="0"/>
        <w:kinsoku/>
        <w:overflowPunct/>
        <w:topLinePunct w:val="0"/>
        <w:bidi w:val="0"/>
        <w:spacing w:after="0" w:line="480" w:lineRule="exact"/>
        <w:ind w:firstLine="0"/>
        <w:jc w:val="center"/>
        <w:rPr>
          <w:rFonts w:cs="宋体"/>
          <w:b/>
          <w:bCs/>
          <w:color w:val="36363D"/>
          <w:sz w:val="24"/>
        </w:rPr>
      </w:pPr>
      <w:r>
        <w:rPr>
          <w:rFonts w:hint="eastAsia" w:cs="宋体"/>
          <w:b/>
          <w:bCs/>
          <w:color w:val="36363D"/>
          <w:sz w:val="24"/>
        </w:rPr>
        <w:t>授权代表有效身份证明复印件粘贴处</w:t>
      </w:r>
    </w:p>
    <w:p w14:paraId="CD6640CA">
      <w:pPr>
        <w:pageBreakBefore w:val="0"/>
        <w:kinsoku/>
        <w:overflowPunct/>
        <w:topLinePunct w:val="0"/>
        <w:bidi w:val="0"/>
        <w:spacing w:after="0"/>
        <w:ind w:firstLine="480"/>
        <w:rPr>
          <w:rFonts w:hint="eastAsia"/>
          <w:color w:val="36363D"/>
        </w:rPr>
      </w:pPr>
    </w:p>
    <w:p w14:paraId="FADF291A">
      <w:pPr>
        <w:pStyle w:val="10"/>
        <w:pageBreakBefore w:val="0"/>
        <w:kinsoku/>
        <w:overflowPunct/>
        <w:topLinePunct w:val="0"/>
        <w:bidi w:val="0"/>
        <w:spacing w:before="0" w:after="0"/>
        <w:rPr>
          <w:color w:val="36363D"/>
        </w:rPr>
      </w:pPr>
    </w:p>
    <w:p w14:paraId="C22C145F">
      <w:pPr>
        <w:pStyle w:val="3"/>
        <w:pageBreakBefore w:val="0"/>
        <w:kinsoku/>
        <w:overflowPunct/>
        <w:topLinePunct w:val="0"/>
        <w:bidi w:val="0"/>
        <w:spacing w:after="0"/>
        <w:rPr>
          <w:rFonts w:hint="eastAsia" w:cs="宋体"/>
          <w:color w:val="36363D"/>
          <w:sz w:val="24"/>
          <w:szCs w:val="24"/>
        </w:rPr>
      </w:pPr>
      <w:bookmarkStart w:id="194" w:name="_Toc25273"/>
      <w:bookmarkStart w:id="195" w:name="_Toc31501"/>
      <w:bookmarkStart w:id="196" w:name="_Toc28900"/>
      <w:bookmarkStart w:id="197" w:name="_Toc7524"/>
      <w:bookmarkStart w:id="198" w:name="_Toc9475"/>
      <w:bookmarkStart w:id="199" w:name="_Toc11356"/>
      <w:r>
        <w:rPr>
          <w:rFonts w:hint="eastAsia" w:cs="宋体"/>
          <w:color w:val="36363D"/>
          <w:sz w:val="24"/>
          <w:szCs w:val="24"/>
        </w:rPr>
        <w:t>（提供授权代表近一年任意一个月的社保缴纳证明）</w:t>
      </w:r>
      <w:bookmarkEnd w:id="194"/>
      <w:bookmarkEnd w:id="195"/>
      <w:bookmarkEnd w:id="196"/>
      <w:bookmarkEnd w:id="197"/>
      <w:bookmarkEnd w:id="198"/>
      <w:bookmarkEnd w:id="199"/>
    </w:p>
    <w:p w14:paraId="7700BD2D">
      <w:pPr>
        <w:pStyle w:val="5"/>
        <w:pageBreakBefore w:val="0"/>
        <w:kinsoku/>
        <w:overflowPunct/>
        <w:topLinePunct w:val="0"/>
        <w:bidi w:val="0"/>
        <w:spacing w:after="0"/>
        <w:rPr>
          <w:rFonts w:hint="eastAsia" w:cs="宋体"/>
          <w:color w:val="36363D"/>
          <w:szCs w:val="24"/>
        </w:rPr>
      </w:pPr>
      <w:r>
        <w:rPr>
          <w:rFonts w:hint="eastAsia" w:cs="宋体"/>
          <w:color w:val="36363D"/>
          <w:szCs w:val="24"/>
        </w:rPr>
        <w:br w:type="page"/>
      </w:r>
    </w:p>
    <w:p w14:paraId="2B930593">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附件五</w:t>
      </w:r>
    </w:p>
    <w:p w14:paraId="DB52B440">
      <w:pPr>
        <w:pStyle w:val="5"/>
        <w:pageBreakBefore w:val="0"/>
        <w:kinsoku/>
        <w:overflowPunct/>
        <w:topLinePunct w:val="0"/>
        <w:bidi w:val="0"/>
        <w:spacing w:after="0"/>
        <w:ind w:firstLine="4498" w:firstLineChars="1600"/>
        <w:rPr>
          <w:rFonts w:hint="eastAsia" w:cs="宋体"/>
          <w:color w:val="36363D"/>
          <w:szCs w:val="24"/>
        </w:rPr>
      </w:pPr>
      <w:r>
        <w:rPr>
          <w:rFonts w:hint="eastAsia" w:cs="宋体"/>
          <w:color w:val="36363D"/>
          <w:sz w:val="28"/>
          <w:szCs w:val="28"/>
        </w:rPr>
        <w:t>廉政承诺书</w:t>
      </w:r>
    </w:p>
    <w:p w14:paraId="7C6F971F">
      <w:pPr>
        <w:pageBreakBefore w:val="0"/>
        <w:kinsoku/>
        <w:overflowPunct/>
        <w:topLinePunct w:val="0"/>
        <w:bidi w:val="0"/>
        <w:spacing w:after="0" w:line="240" w:lineRule="auto"/>
        <w:ind w:firstLine="0" w:firstLineChars="0"/>
        <w:rPr>
          <w:rFonts w:hint="eastAsia" w:cs="宋体"/>
          <w:color w:val="36363D"/>
        </w:rPr>
      </w:pPr>
    </w:p>
    <w:p w14:paraId="C16ED4DD">
      <w:pPr>
        <w:pageBreakBefore w:val="0"/>
        <w:kinsoku/>
        <w:overflowPunct/>
        <w:topLinePunct w:val="0"/>
        <w:bidi w:val="0"/>
        <w:spacing w:after="0" w:line="240" w:lineRule="auto"/>
        <w:ind w:firstLine="0" w:firstLineChars="0"/>
        <w:rPr>
          <w:rFonts w:hint="eastAsia" w:cs="宋体"/>
          <w:color w:val="36363D"/>
        </w:rPr>
      </w:pPr>
      <w:r>
        <w:rPr>
          <w:rFonts w:hint="eastAsia" w:cs="宋体"/>
          <w:color w:val="36363D"/>
        </w:rPr>
        <w:t>（采购人）：</w:t>
      </w:r>
    </w:p>
    <w:p w14:paraId="AA7D1810">
      <w:pPr>
        <w:pStyle w:val="55"/>
        <w:pageBreakBefore w:val="0"/>
        <w:kinsoku/>
        <w:overflowPunct/>
        <w:topLinePunct w:val="0"/>
        <w:bidi w:val="0"/>
        <w:spacing w:after="0"/>
        <w:rPr>
          <w:rFonts w:hint="eastAsia" w:ascii="宋体" w:hAnsi="宋体" w:eastAsia="宋体" w:cs="宋体"/>
          <w:color w:val="36363D"/>
        </w:rPr>
      </w:pPr>
    </w:p>
    <w:p w14:paraId="12C93093">
      <w:pPr>
        <w:pageBreakBefore w:val="0"/>
        <w:kinsoku/>
        <w:overflowPunct/>
        <w:topLinePunct w:val="0"/>
        <w:bidi w:val="0"/>
        <w:spacing w:after="0"/>
        <w:ind w:firstLine="480"/>
        <w:rPr>
          <w:rFonts w:hint="eastAsia" w:cs="宋体"/>
          <w:color w:val="36363D"/>
        </w:rPr>
      </w:pPr>
      <w:r>
        <w:rPr>
          <w:rFonts w:hint="eastAsia" w:cs="宋体"/>
          <w:color w:val="36363D"/>
        </w:rPr>
        <w:t xml:space="preserve">我单位响应你单位项目招标要求参加投标。在这次投标过程中和中标后，我们将严格遵守国家法律法规要求，并郑重承诺： </w:t>
      </w:r>
    </w:p>
    <w:p w14:paraId="D547D3C3">
      <w:pPr>
        <w:pageBreakBefore w:val="0"/>
        <w:kinsoku/>
        <w:overflowPunct/>
        <w:topLinePunct w:val="0"/>
        <w:bidi w:val="0"/>
        <w:spacing w:after="0"/>
        <w:ind w:firstLine="480"/>
        <w:rPr>
          <w:rFonts w:hint="eastAsia" w:cs="宋体"/>
          <w:color w:val="36363D"/>
        </w:rPr>
      </w:pPr>
      <w:r>
        <w:rPr>
          <w:rFonts w:hint="eastAsia" w:cs="宋体"/>
          <w:color w:val="36363D"/>
        </w:rPr>
        <w:t>一、不向项目有关人员及部门赠送礼金礼物、有价证券、回扣以及中介费、介绍费、咨询费等好处费；</w:t>
      </w:r>
    </w:p>
    <w:p w14:paraId="27A36A0B">
      <w:pPr>
        <w:pageBreakBefore w:val="0"/>
        <w:kinsoku/>
        <w:overflowPunct/>
        <w:topLinePunct w:val="0"/>
        <w:bidi w:val="0"/>
        <w:spacing w:after="0"/>
        <w:ind w:firstLine="480"/>
        <w:rPr>
          <w:rFonts w:hint="eastAsia" w:cs="宋体"/>
          <w:color w:val="36363D"/>
        </w:rPr>
      </w:pPr>
      <w:r>
        <w:rPr>
          <w:rFonts w:hint="eastAsia" w:cs="宋体"/>
          <w:color w:val="36363D"/>
        </w:rPr>
        <w:t>二、不为项目有关人员及部门报销应由你方单位或个人支付的费用；</w:t>
      </w:r>
    </w:p>
    <w:p w14:paraId="415E95C9">
      <w:pPr>
        <w:pageBreakBefore w:val="0"/>
        <w:kinsoku/>
        <w:overflowPunct/>
        <w:topLinePunct w:val="0"/>
        <w:bidi w:val="0"/>
        <w:spacing w:after="0"/>
        <w:ind w:firstLine="480"/>
        <w:rPr>
          <w:rFonts w:hint="eastAsia" w:cs="宋体"/>
          <w:color w:val="36363D"/>
        </w:rPr>
      </w:pPr>
      <w:r>
        <w:rPr>
          <w:rFonts w:hint="eastAsia" w:cs="宋体"/>
          <w:color w:val="36363D"/>
        </w:rPr>
        <w:t>三、不向项目有关人员及部门提供有可能影响公正的宴请和健身娱乐等活动；</w:t>
      </w:r>
    </w:p>
    <w:p w14:paraId="9C7A12A3">
      <w:pPr>
        <w:pageBreakBefore w:val="0"/>
        <w:kinsoku/>
        <w:overflowPunct/>
        <w:topLinePunct w:val="0"/>
        <w:bidi w:val="0"/>
        <w:spacing w:after="0"/>
        <w:ind w:firstLine="480"/>
        <w:rPr>
          <w:rFonts w:hint="eastAsia" w:cs="宋体"/>
          <w:color w:val="36363D"/>
        </w:rPr>
      </w:pPr>
      <w:r>
        <w:rPr>
          <w:rFonts w:hint="eastAsia" w:cs="宋体"/>
          <w:color w:val="36363D"/>
        </w:rPr>
        <w:t>四、不为项目有关人员及部门出国（境）、旅游等提供方便；</w:t>
      </w:r>
    </w:p>
    <w:p w14:paraId="7EDEDC6C">
      <w:pPr>
        <w:pageBreakBefore w:val="0"/>
        <w:kinsoku/>
        <w:overflowPunct/>
        <w:topLinePunct w:val="0"/>
        <w:bidi w:val="0"/>
        <w:spacing w:after="0"/>
        <w:ind w:firstLine="480"/>
        <w:rPr>
          <w:rFonts w:hint="eastAsia" w:cs="宋体"/>
          <w:color w:val="36363D"/>
        </w:rPr>
      </w:pPr>
      <w:r>
        <w:rPr>
          <w:rFonts w:hint="eastAsia" w:cs="宋体"/>
          <w:color w:val="36363D"/>
        </w:rPr>
        <w:t>五、不为项目有关人员个人装修住房、婚丧嫁娶、配偶子女工作安排等提供好处；</w:t>
      </w:r>
    </w:p>
    <w:p w14:paraId="B19FC667">
      <w:pPr>
        <w:pageBreakBefore w:val="0"/>
        <w:kinsoku/>
        <w:overflowPunct/>
        <w:topLinePunct w:val="0"/>
        <w:bidi w:val="0"/>
        <w:spacing w:after="0"/>
        <w:ind w:firstLine="480"/>
        <w:rPr>
          <w:rFonts w:hint="eastAsia" w:cs="宋体"/>
          <w:color w:val="36363D"/>
        </w:rPr>
      </w:pPr>
      <w:r>
        <w:rPr>
          <w:rFonts w:hint="eastAsia" w:cs="宋体"/>
          <w:color w:val="36363D"/>
        </w:rPr>
        <w:t>六、严格遵守招标投标法、合同法等法律，诚实守信，合法经营，坚决抵制各种违法违纪行为。</w:t>
      </w:r>
    </w:p>
    <w:p w14:paraId="AA108B8A">
      <w:pPr>
        <w:pageBreakBefore w:val="0"/>
        <w:kinsoku/>
        <w:overflowPunct/>
        <w:topLinePunct w:val="0"/>
        <w:bidi w:val="0"/>
        <w:spacing w:after="0"/>
        <w:ind w:firstLine="480"/>
        <w:rPr>
          <w:rFonts w:hint="eastAsia" w:cs="宋体"/>
          <w:color w:val="36363D"/>
        </w:rPr>
      </w:pPr>
      <w:r>
        <w:rPr>
          <w:rFonts w:hint="eastAsia" w:cs="宋体"/>
          <w:color w:val="36363D"/>
        </w:rPr>
        <w:t>如违反上述承诺，你单位有权立即取消我单位投标、中标或在建项目的建设资格，有权拒绝我单位在一定时期内进入你单位进行工程建设或其他经营活动。由此引起的相应损失均由我单位承担。</w:t>
      </w:r>
    </w:p>
    <w:p w14:paraId="B5FD5384">
      <w:pPr>
        <w:pageBreakBefore w:val="0"/>
        <w:kinsoku/>
        <w:overflowPunct/>
        <w:topLinePunct w:val="0"/>
        <w:bidi w:val="0"/>
        <w:spacing w:after="0"/>
        <w:ind w:firstLine="0" w:firstLineChars="0"/>
        <w:rPr>
          <w:rFonts w:hint="eastAsia" w:cs="宋体"/>
          <w:color w:val="36363D"/>
        </w:rPr>
      </w:pPr>
    </w:p>
    <w:p w14:paraId="3750D9D6">
      <w:pPr>
        <w:pageBreakBefore w:val="0"/>
        <w:kinsoku/>
        <w:overflowPunct/>
        <w:topLinePunct w:val="0"/>
        <w:bidi w:val="0"/>
        <w:spacing w:after="0"/>
        <w:ind w:firstLine="0" w:firstLineChars="0"/>
        <w:rPr>
          <w:rFonts w:hint="eastAsia" w:cs="宋体"/>
          <w:color w:val="36363D"/>
        </w:rPr>
      </w:pPr>
    </w:p>
    <w:p w14:paraId="F6970A29">
      <w:pPr>
        <w:pageBreakBefore w:val="0"/>
        <w:kinsoku/>
        <w:overflowPunct/>
        <w:topLinePunct w:val="0"/>
        <w:bidi w:val="0"/>
        <w:spacing w:after="0"/>
        <w:ind w:firstLine="0" w:firstLineChars="0"/>
        <w:jc w:val="left"/>
        <w:rPr>
          <w:rFonts w:hint="eastAsia" w:cs="宋体"/>
          <w:color w:val="36363D"/>
        </w:rPr>
      </w:pPr>
    </w:p>
    <w:p w14:paraId="436E834D">
      <w:pPr>
        <w:pageBreakBefore w:val="0"/>
        <w:kinsoku/>
        <w:overflowPunct/>
        <w:topLinePunct w:val="0"/>
        <w:bidi w:val="0"/>
        <w:spacing w:after="0"/>
        <w:ind w:firstLine="480"/>
        <w:rPr>
          <w:rFonts w:hint="eastAsia" w:cs="宋体"/>
          <w:color w:val="36363D"/>
        </w:rPr>
      </w:pPr>
      <w:r>
        <w:rPr>
          <w:rFonts w:hint="eastAsia" w:cs="宋体"/>
          <w:color w:val="36363D"/>
        </w:rPr>
        <w:t>投标人名称（公章）：</w:t>
      </w:r>
    </w:p>
    <w:p w14:paraId="0F4C0192">
      <w:pPr>
        <w:pageBreakBefore w:val="0"/>
        <w:kinsoku/>
        <w:overflowPunct/>
        <w:topLinePunct w:val="0"/>
        <w:bidi w:val="0"/>
        <w:spacing w:after="0"/>
        <w:ind w:firstLine="480"/>
        <w:rPr>
          <w:rFonts w:hint="eastAsia" w:cs="宋体"/>
          <w:color w:val="36363D"/>
        </w:rPr>
      </w:pPr>
      <w:r>
        <w:rPr>
          <w:rFonts w:hint="eastAsia" w:cs="宋体"/>
          <w:color w:val="36363D"/>
        </w:rPr>
        <w:t>法定代表人或其全权代表（签字或盖章）：</w:t>
      </w:r>
    </w:p>
    <w:p w14:paraId="D2B66483">
      <w:pPr>
        <w:pageBreakBefore w:val="0"/>
        <w:kinsoku/>
        <w:overflowPunct/>
        <w:topLinePunct w:val="0"/>
        <w:bidi w:val="0"/>
        <w:spacing w:after="0"/>
        <w:ind w:firstLine="480"/>
        <w:rPr>
          <w:rFonts w:hint="eastAsia" w:cs="宋体"/>
          <w:color w:val="36363D"/>
        </w:rPr>
      </w:pPr>
      <w:r>
        <w:rPr>
          <w:rFonts w:hint="eastAsia" w:cs="宋体"/>
          <w:color w:val="36363D"/>
        </w:rPr>
        <w:t>日期：  年   月   日</w:t>
      </w:r>
    </w:p>
    <w:p w14:paraId="E0EE02FD">
      <w:pPr>
        <w:pageBreakBefore w:val="0"/>
        <w:kinsoku/>
        <w:overflowPunct/>
        <w:topLinePunct w:val="0"/>
        <w:bidi w:val="0"/>
        <w:spacing w:after="0"/>
        <w:ind w:firstLine="228" w:firstLineChars="95"/>
        <w:jc w:val="left"/>
        <w:rPr>
          <w:rFonts w:hint="eastAsia" w:cs="宋体"/>
          <w:color w:val="36363D"/>
        </w:rPr>
        <w:sectPr>
          <w:pgSz w:w="11907" w:h="16840"/>
          <w:pgMar w:top="1247" w:right="1304" w:bottom="1021" w:left="1304" w:header="720" w:footer="720" w:gutter="0"/>
          <w:cols w:space="720" w:num="1"/>
          <w:docGrid w:linePitch="286" w:charSpace="0"/>
        </w:sectPr>
      </w:pPr>
    </w:p>
    <w:p w14:paraId="D3FE3DB9">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附件六</w:t>
      </w:r>
    </w:p>
    <w:p w14:paraId="392156B1">
      <w:pPr>
        <w:pageBreakBefore w:val="0"/>
        <w:kinsoku/>
        <w:overflowPunct/>
        <w:topLinePunct w:val="0"/>
        <w:bidi w:val="0"/>
        <w:spacing w:after="0" w:line="240" w:lineRule="auto"/>
        <w:ind w:firstLine="0" w:firstLineChars="0"/>
        <w:jc w:val="center"/>
        <w:rPr>
          <w:rFonts w:hint="eastAsia" w:cs="宋体"/>
          <w:b/>
          <w:bCs/>
          <w:color w:val="36363D"/>
          <w:sz w:val="28"/>
          <w:szCs w:val="28"/>
        </w:rPr>
      </w:pPr>
      <w:r>
        <w:rPr>
          <w:rFonts w:hint="eastAsia" w:cs="宋体"/>
          <w:b/>
          <w:bCs/>
          <w:color w:val="36363D"/>
          <w:sz w:val="28"/>
          <w:szCs w:val="28"/>
        </w:rPr>
        <w:t>投标人情况表</w:t>
      </w:r>
    </w:p>
    <w:p w14:paraId="9AA616DC">
      <w:pPr>
        <w:pageBreakBefore w:val="0"/>
        <w:kinsoku/>
        <w:overflowPunct/>
        <w:topLinePunct w:val="0"/>
        <w:bidi w:val="0"/>
        <w:spacing w:after="0" w:line="240" w:lineRule="auto"/>
        <w:ind w:firstLine="0" w:firstLineChars="0"/>
        <w:jc w:val="center"/>
        <w:rPr>
          <w:rFonts w:hint="eastAsia" w:cs="宋体"/>
          <w:color w:val="36363D"/>
        </w:rPr>
      </w:pPr>
      <w:r>
        <w:rPr>
          <w:rFonts w:hint="eastAsia" w:cs="宋体"/>
          <w:color w:val="36363D"/>
        </w:rPr>
        <w:t>填表日期：</w:t>
      </w:r>
    </w:p>
    <w:tbl>
      <w:tblPr>
        <w:tblStyle w:val="43"/>
        <w:tblW w:w="9277" w:type="dxa"/>
        <w:tblInd w:w="28" w:type="dxa"/>
        <w:tblLayout w:type="fixed"/>
        <w:tblCellMar>
          <w:top w:w="0" w:type="dxa"/>
          <w:left w:w="28" w:type="dxa"/>
          <w:bottom w:w="0" w:type="dxa"/>
          <w:right w:w="28" w:type="dxa"/>
        </w:tblCellMar>
      </w:tblPr>
      <w:tblGrid>
        <w:gridCol w:w="2368"/>
        <w:gridCol w:w="2490"/>
        <w:gridCol w:w="1575"/>
        <w:gridCol w:w="2844"/>
      </w:tblGrid>
      <w:tr w14:paraId="D53F489A">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14:paraId="1332C088">
            <w:pPr>
              <w:pageBreakBefore w:val="0"/>
              <w:kinsoku/>
              <w:overflowPunct/>
              <w:topLinePunct w:val="0"/>
              <w:autoSpaceDE w:val="0"/>
              <w:autoSpaceDN w:val="0"/>
              <w:bidi w:val="0"/>
              <w:spacing w:after="0" w:line="440" w:lineRule="atLeast"/>
              <w:ind w:left="105" w:firstLine="0" w:firstLineChars="0"/>
              <w:jc w:val="center"/>
              <w:textAlignment w:val="bottom"/>
              <w:rPr>
                <w:rFonts w:hint="eastAsia" w:cs="宋体"/>
                <w:color w:val="36363D"/>
              </w:rPr>
            </w:pPr>
            <w:r>
              <w:rPr>
                <w:rFonts w:hint="eastAsia" w:cs="宋体"/>
                <w:color w:val="36363D"/>
              </w:rPr>
              <w:t>投标人全称</w:t>
            </w:r>
          </w:p>
        </w:tc>
        <w:tc>
          <w:tcPr>
            <w:tcW w:w="6909" w:type="dxa"/>
            <w:gridSpan w:val="3"/>
            <w:tcBorders>
              <w:top w:val="single" w:color="auto" w:sz="6" w:space="0"/>
              <w:left w:val="single" w:color="auto" w:sz="6" w:space="0"/>
              <w:bottom w:val="single" w:color="auto" w:sz="6" w:space="0"/>
              <w:right w:val="single" w:color="auto" w:sz="6" w:space="0"/>
            </w:tcBorders>
          </w:tcPr>
          <w:p w14:paraId="08B18D28">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p>
        </w:tc>
      </w:tr>
      <w:tr w14:paraId="0B70B614">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14:paraId="D8D31758">
            <w:pPr>
              <w:pageBreakBefore w:val="0"/>
              <w:kinsoku/>
              <w:overflowPunct/>
              <w:topLinePunct w:val="0"/>
              <w:autoSpaceDE w:val="0"/>
              <w:autoSpaceDN w:val="0"/>
              <w:bidi w:val="0"/>
              <w:spacing w:after="0" w:line="440" w:lineRule="atLeast"/>
              <w:ind w:left="105" w:firstLine="0" w:firstLineChars="0"/>
              <w:jc w:val="center"/>
              <w:textAlignment w:val="bottom"/>
              <w:rPr>
                <w:rFonts w:hint="eastAsia" w:cs="宋体"/>
                <w:color w:val="36363D"/>
              </w:rPr>
            </w:pPr>
            <w:r>
              <w:rPr>
                <w:rFonts w:hint="eastAsia" w:cs="宋体"/>
                <w:color w:val="36363D"/>
              </w:rPr>
              <w:t>营业执照</w:t>
            </w:r>
          </w:p>
        </w:tc>
        <w:tc>
          <w:tcPr>
            <w:tcW w:w="6909" w:type="dxa"/>
            <w:gridSpan w:val="3"/>
            <w:tcBorders>
              <w:top w:val="single" w:color="auto" w:sz="6" w:space="0"/>
              <w:left w:val="single" w:color="auto" w:sz="6" w:space="0"/>
              <w:bottom w:val="single" w:color="auto" w:sz="6" w:space="0"/>
              <w:right w:val="single" w:color="auto" w:sz="6" w:space="0"/>
            </w:tcBorders>
          </w:tcPr>
          <w:p w14:paraId="9DC04ED9">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r>
              <w:rPr>
                <w:rFonts w:hint="eastAsia" w:cs="宋体"/>
                <w:color w:val="36363D"/>
              </w:rPr>
              <w:t xml:space="preserve">1.编号:          2.营业范围:         3.发证单位: </w:t>
            </w:r>
          </w:p>
        </w:tc>
      </w:tr>
      <w:tr w14:paraId="D547C310">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14:paraId="5A24A286">
            <w:pPr>
              <w:pageBreakBefore w:val="0"/>
              <w:kinsoku/>
              <w:overflowPunct/>
              <w:topLinePunct w:val="0"/>
              <w:autoSpaceDE w:val="0"/>
              <w:autoSpaceDN w:val="0"/>
              <w:bidi w:val="0"/>
              <w:spacing w:after="0" w:line="440" w:lineRule="atLeast"/>
              <w:ind w:left="105" w:firstLine="0" w:firstLineChars="0"/>
              <w:jc w:val="center"/>
              <w:textAlignment w:val="bottom"/>
              <w:rPr>
                <w:rFonts w:hint="eastAsia" w:cs="宋体"/>
                <w:color w:val="36363D"/>
              </w:rPr>
            </w:pPr>
            <w:r>
              <w:rPr>
                <w:rFonts w:hint="eastAsia" w:cs="宋体"/>
                <w:color w:val="36363D"/>
              </w:rPr>
              <w:t>建立日期</w:t>
            </w:r>
          </w:p>
        </w:tc>
        <w:tc>
          <w:tcPr>
            <w:tcW w:w="2490" w:type="dxa"/>
            <w:tcBorders>
              <w:top w:val="single" w:color="auto" w:sz="6" w:space="0"/>
              <w:left w:val="single" w:color="auto" w:sz="6" w:space="0"/>
              <w:bottom w:val="single" w:color="auto" w:sz="6" w:space="0"/>
              <w:right w:val="single" w:color="auto" w:sz="6" w:space="0"/>
            </w:tcBorders>
          </w:tcPr>
          <w:p w14:paraId="01CB4559">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p>
        </w:tc>
        <w:tc>
          <w:tcPr>
            <w:tcW w:w="1575" w:type="dxa"/>
            <w:tcBorders>
              <w:top w:val="single" w:color="auto" w:sz="6" w:space="0"/>
              <w:left w:val="single" w:color="auto" w:sz="6" w:space="0"/>
              <w:bottom w:val="single" w:color="auto" w:sz="6" w:space="0"/>
              <w:right w:val="single" w:color="auto" w:sz="6" w:space="0"/>
            </w:tcBorders>
          </w:tcPr>
          <w:p w14:paraId="6C7BBEC0">
            <w:pPr>
              <w:pageBreakBefore w:val="0"/>
              <w:kinsoku/>
              <w:overflowPunct/>
              <w:topLinePunct w:val="0"/>
              <w:autoSpaceDE w:val="0"/>
              <w:autoSpaceDN w:val="0"/>
              <w:bidi w:val="0"/>
              <w:spacing w:after="0" w:line="440" w:lineRule="atLeast"/>
              <w:ind w:firstLine="0" w:firstLineChars="0"/>
              <w:jc w:val="center"/>
              <w:textAlignment w:val="bottom"/>
              <w:rPr>
                <w:rFonts w:hint="eastAsia" w:cs="宋体"/>
                <w:color w:val="36363D"/>
              </w:rPr>
            </w:pPr>
            <w:r>
              <w:rPr>
                <w:rFonts w:hint="eastAsia" w:cs="宋体"/>
                <w:color w:val="36363D"/>
              </w:rPr>
              <w:t>现有职工</w:t>
            </w:r>
          </w:p>
        </w:tc>
        <w:tc>
          <w:tcPr>
            <w:tcW w:w="2844" w:type="dxa"/>
            <w:tcBorders>
              <w:top w:val="single" w:color="auto" w:sz="6" w:space="0"/>
              <w:left w:val="single" w:color="auto" w:sz="6" w:space="0"/>
              <w:bottom w:val="single" w:color="auto" w:sz="6" w:space="0"/>
              <w:right w:val="single" w:color="auto" w:sz="6" w:space="0"/>
            </w:tcBorders>
          </w:tcPr>
          <w:p w14:paraId="F4082CC6">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p>
        </w:tc>
      </w:tr>
      <w:tr w14:paraId="E5808390">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14:paraId="74E57D7D">
            <w:pPr>
              <w:pageBreakBefore w:val="0"/>
              <w:kinsoku/>
              <w:overflowPunct/>
              <w:topLinePunct w:val="0"/>
              <w:autoSpaceDE w:val="0"/>
              <w:autoSpaceDN w:val="0"/>
              <w:bidi w:val="0"/>
              <w:spacing w:after="0" w:line="440" w:lineRule="atLeast"/>
              <w:ind w:firstLine="0" w:firstLineChars="0"/>
              <w:jc w:val="center"/>
              <w:textAlignment w:val="bottom"/>
              <w:rPr>
                <w:rFonts w:hint="eastAsia" w:cs="宋体"/>
                <w:color w:val="36363D"/>
              </w:rPr>
            </w:pPr>
            <w:r>
              <w:rPr>
                <w:rFonts w:hint="eastAsia" w:cs="宋体"/>
                <w:color w:val="36363D"/>
              </w:rPr>
              <w:t>固定资产净值(万元)</w:t>
            </w:r>
          </w:p>
        </w:tc>
        <w:tc>
          <w:tcPr>
            <w:tcW w:w="6909" w:type="dxa"/>
            <w:gridSpan w:val="3"/>
            <w:tcBorders>
              <w:top w:val="single" w:color="auto" w:sz="6" w:space="0"/>
              <w:left w:val="single" w:color="auto" w:sz="6" w:space="0"/>
              <w:bottom w:val="single" w:color="auto" w:sz="6" w:space="0"/>
              <w:right w:val="single" w:color="auto" w:sz="6" w:space="0"/>
            </w:tcBorders>
          </w:tcPr>
          <w:p w14:paraId="A32F623F">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p>
        </w:tc>
      </w:tr>
      <w:tr w14:paraId="61386985">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14:paraId="204A00C2">
            <w:pPr>
              <w:pageBreakBefore w:val="0"/>
              <w:kinsoku/>
              <w:overflowPunct/>
              <w:topLinePunct w:val="0"/>
              <w:autoSpaceDE w:val="0"/>
              <w:autoSpaceDN w:val="0"/>
              <w:bidi w:val="0"/>
              <w:spacing w:after="0" w:line="440" w:lineRule="atLeast"/>
              <w:ind w:left="105" w:firstLine="0" w:firstLineChars="0"/>
              <w:jc w:val="center"/>
              <w:textAlignment w:val="bottom"/>
              <w:rPr>
                <w:rFonts w:hint="eastAsia" w:cs="宋体"/>
                <w:color w:val="36363D"/>
              </w:rPr>
            </w:pPr>
            <w:r>
              <w:rPr>
                <w:rFonts w:hint="eastAsia" w:cs="宋体"/>
                <w:color w:val="36363D"/>
              </w:rPr>
              <w:t>行政负责人</w:t>
            </w:r>
          </w:p>
        </w:tc>
        <w:tc>
          <w:tcPr>
            <w:tcW w:w="6909" w:type="dxa"/>
            <w:gridSpan w:val="3"/>
            <w:tcBorders>
              <w:top w:val="single" w:color="auto" w:sz="6" w:space="0"/>
              <w:left w:val="single" w:color="auto" w:sz="6" w:space="0"/>
              <w:bottom w:val="single" w:color="auto" w:sz="6" w:space="0"/>
              <w:right w:val="single" w:color="auto" w:sz="6" w:space="0"/>
            </w:tcBorders>
          </w:tcPr>
          <w:p w14:paraId="CF0D5A38">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r>
              <w:rPr>
                <w:rFonts w:hint="eastAsia" w:cs="宋体"/>
                <w:color w:val="36363D"/>
              </w:rPr>
              <w:t xml:space="preserve">姓名:             职务:           </w:t>
            </w:r>
          </w:p>
        </w:tc>
      </w:tr>
      <w:tr w14:paraId="62C1D1B3">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14:paraId="A0E7CABF">
            <w:pPr>
              <w:pageBreakBefore w:val="0"/>
              <w:kinsoku/>
              <w:overflowPunct/>
              <w:topLinePunct w:val="0"/>
              <w:autoSpaceDE w:val="0"/>
              <w:autoSpaceDN w:val="0"/>
              <w:bidi w:val="0"/>
              <w:spacing w:after="0" w:line="440" w:lineRule="atLeast"/>
              <w:ind w:left="105" w:firstLine="0" w:firstLineChars="0"/>
              <w:jc w:val="center"/>
              <w:textAlignment w:val="bottom"/>
              <w:rPr>
                <w:rFonts w:hint="eastAsia" w:cs="宋体"/>
                <w:color w:val="36363D"/>
              </w:rPr>
            </w:pPr>
            <w:r>
              <w:rPr>
                <w:rFonts w:hint="eastAsia" w:cs="宋体"/>
                <w:color w:val="36363D"/>
              </w:rPr>
              <w:t>本项目负责人</w:t>
            </w:r>
          </w:p>
        </w:tc>
        <w:tc>
          <w:tcPr>
            <w:tcW w:w="6909" w:type="dxa"/>
            <w:gridSpan w:val="3"/>
            <w:tcBorders>
              <w:top w:val="single" w:color="auto" w:sz="6" w:space="0"/>
              <w:left w:val="single" w:color="auto" w:sz="6" w:space="0"/>
              <w:bottom w:val="single" w:color="auto" w:sz="6" w:space="0"/>
              <w:right w:val="single" w:color="auto" w:sz="6" w:space="0"/>
            </w:tcBorders>
          </w:tcPr>
          <w:p w14:paraId="3FD86528">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r>
              <w:rPr>
                <w:rFonts w:hint="eastAsia" w:cs="宋体"/>
                <w:color w:val="36363D"/>
              </w:rPr>
              <w:t xml:space="preserve">姓名:             职务:            </w:t>
            </w:r>
          </w:p>
        </w:tc>
      </w:tr>
      <w:tr w14:paraId="CB5EC6AB">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14:paraId="F657FEFA">
            <w:pPr>
              <w:pageBreakBefore w:val="0"/>
              <w:kinsoku/>
              <w:overflowPunct/>
              <w:topLinePunct w:val="0"/>
              <w:autoSpaceDE w:val="0"/>
              <w:autoSpaceDN w:val="0"/>
              <w:bidi w:val="0"/>
              <w:spacing w:after="0" w:line="440" w:lineRule="atLeast"/>
              <w:ind w:left="105" w:firstLine="0" w:firstLineChars="0"/>
              <w:jc w:val="center"/>
              <w:textAlignment w:val="bottom"/>
              <w:rPr>
                <w:rFonts w:hint="eastAsia" w:cs="宋体"/>
                <w:color w:val="36363D"/>
              </w:rPr>
            </w:pPr>
          </w:p>
          <w:p w14:paraId="DC9AF251">
            <w:pPr>
              <w:pageBreakBefore w:val="0"/>
              <w:kinsoku/>
              <w:overflowPunct/>
              <w:topLinePunct w:val="0"/>
              <w:autoSpaceDE w:val="0"/>
              <w:autoSpaceDN w:val="0"/>
              <w:bidi w:val="0"/>
              <w:spacing w:after="0" w:line="440" w:lineRule="atLeast"/>
              <w:ind w:left="105" w:firstLine="0" w:firstLineChars="0"/>
              <w:jc w:val="center"/>
              <w:textAlignment w:val="bottom"/>
              <w:rPr>
                <w:rFonts w:hint="eastAsia" w:cs="宋体"/>
                <w:color w:val="36363D"/>
              </w:rPr>
            </w:pPr>
            <w:r>
              <w:rPr>
                <w:rFonts w:hint="eastAsia" w:cs="宋体"/>
                <w:color w:val="36363D"/>
              </w:rPr>
              <w:t>联系方式</w:t>
            </w:r>
          </w:p>
        </w:tc>
        <w:tc>
          <w:tcPr>
            <w:tcW w:w="6909" w:type="dxa"/>
            <w:gridSpan w:val="3"/>
            <w:tcBorders>
              <w:top w:val="single" w:color="auto" w:sz="6" w:space="0"/>
              <w:left w:val="single" w:color="auto" w:sz="6" w:space="0"/>
              <w:bottom w:val="single" w:color="auto" w:sz="6" w:space="0"/>
              <w:right w:val="single" w:color="auto" w:sz="6" w:space="0"/>
            </w:tcBorders>
          </w:tcPr>
          <w:p w14:paraId="4CEAC2B2">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r>
              <w:rPr>
                <w:rFonts w:hint="eastAsia" w:cs="宋体"/>
                <w:color w:val="36363D"/>
              </w:rPr>
              <w:t>地址</w:t>
            </w:r>
          </w:p>
          <w:p w14:paraId="93C1ECE5">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r>
              <w:rPr>
                <w:rFonts w:hint="eastAsia" w:cs="宋体"/>
                <w:color w:val="36363D"/>
              </w:rPr>
              <w:t>邮编:</w:t>
            </w:r>
          </w:p>
          <w:p w14:paraId="4F08398C">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r>
              <w:rPr>
                <w:rFonts w:hint="eastAsia" w:cs="宋体"/>
                <w:color w:val="36363D"/>
              </w:rPr>
              <w:t xml:space="preserve">电话:  </w:t>
            </w:r>
          </w:p>
          <w:p w14:paraId="1115C4FC">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r>
              <w:rPr>
                <w:rFonts w:hint="eastAsia" w:cs="宋体"/>
                <w:color w:val="36363D"/>
              </w:rPr>
              <w:t xml:space="preserve">传真:       </w:t>
            </w:r>
          </w:p>
        </w:tc>
      </w:tr>
      <w:tr w14:paraId="D62CBB6B">
        <w:tblPrEx>
          <w:tblCellMar>
            <w:top w:w="0" w:type="dxa"/>
            <w:left w:w="28" w:type="dxa"/>
            <w:bottom w:w="0" w:type="dxa"/>
            <w:right w:w="28" w:type="dxa"/>
          </w:tblCellMar>
        </w:tblPrEx>
        <w:trPr>
          <w:cantSplit/>
          <w:trHeight w:val="1143" w:hRule="atLeast"/>
        </w:trPr>
        <w:tc>
          <w:tcPr>
            <w:tcW w:w="2368" w:type="dxa"/>
            <w:tcBorders>
              <w:top w:val="single" w:color="auto" w:sz="6" w:space="0"/>
              <w:left w:val="single" w:color="auto" w:sz="6" w:space="0"/>
              <w:bottom w:val="single" w:color="auto" w:sz="6" w:space="0"/>
              <w:right w:val="single" w:color="auto" w:sz="6" w:space="0"/>
            </w:tcBorders>
            <w:vAlign w:val="center"/>
          </w:tcPr>
          <w:p w14:paraId="ECCE9C8F">
            <w:pPr>
              <w:pageBreakBefore w:val="0"/>
              <w:kinsoku/>
              <w:overflowPunct/>
              <w:topLinePunct w:val="0"/>
              <w:autoSpaceDE w:val="0"/>
              <w:autoSpaceDN w:val="0"/>
              <w:bidi w:val="0"/>
              <w:spacing w:after="0" w:line="440" w:lineRule="atLeast"/>
              <w:ind w:left="105" w:firstLine="0" w:firstLineChars="0"/>
              <w:jc w:val="center"/>
              <w:textAlignment w:val="bottom"/>
              <w:rPr>
                <w:rFonts w:hint="eastAsia" w:cs="宋体"/>
                <w:color w:val="36363D"/>
              </w:rPr>
            </w:pPr>
            <w:r>
              <w:rPr>
                <w:rFonts w:hint="eastAsia" w:cs="宋体"/>
                <w:color w:val="36363D"/>
              </w:rPr>
              <w:t>组织机构框图</w:t>
            </w:r>
          </w:p>
        </w:tc>
        <w:tc>
          <w:tcPr>
            <w:tcW w:w="6909" w:type="dxa"/>
            <w:gridSpan w:val="3"/>
            <w:tcBorders>
              <w:top w:val="single" w:color="auto" w:sz="6" w:space="0"/>
              <w:left w:val="single" w:color="auto" w:sz="6" w:space="0"/>
              <w:bottom w:val="single" w:color="auto" w:sz="6" w:space="0"/>
              <w:right w:val="single" w:color="auto" w:sz="6" w:space="0"/>
            </w:tcBorders>
          </w:tcPr>
          <w:p w14:paraId="EF223694">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p>
        </w:tc>
      </w:tr>
      <w:tr w14:paraId="8C1DBB95">
        <w:tblPrEx>
          <w:tblCellMar>
            <w:top w:w="0" w:type="dxa"/>
            <w:left w:w="28" w:type="dxa"/>
            <w:bottom w:w="0" w:type="dxa"/>
            <w:right w:w="28" w:type="dxa"/>
          </w:tblCellMar>
        </w:tblPrEx>
        <w:trPr>
          <w:cantSplit/>
          <w:trHeight w:val="1331" w:hRule="atLeast"/>
        </w:trPr>
        <w:tc>
          <w:tcPr>
            <w:tcW w:w="2368" w:type="dxa"/>
            <w:tcBorders>
              <w:top w:val="single" w:color="auto" w:sz="6" w:space="0"/>
              <w:left w:val="single" w:color="auto" w:sz="6" w:space="0"/>
              <w:bottom w:val="single" w:color="auto" w:sz="6" w:space="0"/>
              <w:right w:val="single" w:color="auto" w:sz="6" w:space="0"/>
            </w:tcBorders>
            <w:vAlign w:val="center"/>
          </w:tcPr>
          <w:p w14:paraId="164E40C3">
            <w:pPr>
              <w:pageBreakBefore w:val="0"/>
              <w:kinsoku/>
              <w:overflowPunct/>
              <w:topLinePunct w:val="0"/>
              <w:autoSpaceDE w:val="0"/>
              <w:autoSpaceDN w:val="0"/>
              <w:bidi w:val="0"/>
              <w:spacing w:after="0" w:line="440" w:lineRule="atLeast"/>
              <w:ind w:left="105" w:firstLine="0" w:firstLineChars="0"/>
              <w:jc w:val="center"/>
              <w:textAlignment w:val="bottom"/>
              <w:rPr>
                <w:rFonts w:hint="eastAsia" w:cs="宋体"/>
                <w:color w:val="36363D"/>
              </w:rPr>
            </w:pPr>
            <w:r>
              <w:rPr>
                <w:rFonts w:hint="eastAsia" w:cs="宋体"/>
                <w:color w:val="36363D"/>
              </w:rPr>
              <w:t>证书情况</w:t>
            </w:r>
          </w:p>
        </w:tc>
        <w:tc>
          <w:tcPr>
            <w:tcW w:w="6909" w:type="dxa"/>
            <w:gridSpan w:val="3"/>
            <w:tcBorders>
              <w:top w:val="single" w:color="auto" w:sz="6" w:space="0"/>
              <w:left w:val="single" w:color="auto" w:sz="6" w:space="0"/>
              <w:bottom w:val="single" w:color="auto" w:sz="6" w:space="0"/>
              <w:right w:val="single" w:color="auto" w:sz="6" w:space="0"/>
            </w:tcBorders>
          </w:tcPr>
          <w:p w14:paraId="405372C7">
            <w:pPr>
              <w:pageBreakBefore w:val="0"/>
              <w:kinsoku/>
              <w:overflowPunct/>
              <w:topLinePunct w:val="0"/>
              <w:autoSpaceDE w:val="0"/>
              <w:autoSpaceDN w:val="0"/>
              <w:bidi w:val="0"/>
              <w:spacing w:after="0" w:line="440" w:lineRule="atLeast"/>
              <w:ind w:firstLine="0" w:firstLineChars="0"/>
              <w:textAlignment w:val="bottom"/>
              <w:rPr>
                <w:rFonts w:hint="eastAsia" w:cs="宋体"/>
                <w:color w:val="36363D"/>
              </w:rPr>
            </w:pPr>
          </w:p>
        </w:tc>
      </w:tr>
    </w:tbl>
    <w:p w14:paraId="61C94697">
      <w:pPr>
        <w:pageBreakBefore w:val="0"/>
        <w:kinsoku/>
        <w:overflowPunct/>
        <w:topLinePunct w:val="0"/>
        <w:bidi w:val="0"/>
        <w:spacing w:after="0" w:line="240" w:lineRule="auto"/>
        <w:ind w:firstLine="0" w:firstLineChars="0"/>
        <w:rPr>
          <w:rFonts w:hint="eastAsia" w:cs="宋体"/>
          <w:i/>
          <w:color w:val="36363D"/>
        </w:rPr>
      </w:pPr>
    </w:p>
    <w:p w14:paraId="05E5FE87">
      <w:pPr>
        <w:pageBreakBefore w:val="0"/>
        <w:kinsoku/>
        <w:overflowPunct/>
        <w:topLinePunct w:val="0"/>
        <w:bidi w:val="0"/>
        <w:spacing w:after="0" w:line="240" w:lineRule="auto"/>
        <w:ind w:firstLine="480"/>
        <w:rPr>
          <w:rFonts w:hint="eastAsia" w:cs="宋体"/>
          <w:snapToGrid w:val="0"/>
          <w:color w:val="36363D"/>
        </w:rPr>
      </w:pPr>
      <w:r>
        <w:rPr>
          <w:rFonts w:hint="eastAsia" w:cs="宋体"/>
          <w:snapToGrid w:val="0"/>
          <w:color w:val="36363D"/>
        </w:rPr>
        <w:t>应附上加盖公章的营业执照副本、相关资质等的清晰复印件。</w:t>
      </w:r>
    </w:p>
    <w:p w14:paraId="C943F241">
      <w:pPr>
        <w:pageBreakBefore w:val="0"/>
        <w:kinsoku/>
        <w:overflowPunct/>
        <w:topLinePunct w:val="0"/>
        <w:bidi w:val="0"/>
        <w:spacing w:after="0" w:line="240" w:lineRule="auto"/>
        <w:ind w:firstLine="480"/>
        <w:rPr>
          <w:rFonts w:hint="eastAsia" w:cs="宋体"/>
          <w:snapToGrid w:val="0"/>
          <w:color w:val="36363D"/>
        </w:rPr>
      </w:pPr>
    </w:p>
    <w:p w14:paraId="060A817F">
      <w:pPr>
        <w:pageBreakBefore w:val="0"/>
        <w:kinsoku/>
        <w:overflowPunct/>
        <w:topLinePunct w:val="0"/>
        <w:bidi w:val="0"/>
        <w:spacing w:after="0"/>
        <w:ind w:firstLine="480"/>
        <w:rPr>
          <w:rFonts w:hint="eastAsia" w:cs="宋体"/>
          <w:color w:val="36363D"/>
        </w:rPr>
      </w:pPr>
      <w:r>
        <w:rPr>
          <w:rFonts w:hint="eastAsia" w:cs="宋体"/>
          <w:color w:val="36363D"/>
        </w:rPr>
        <w:t>投标人名称（公章）：</w:t>
      </w:r>
    </w:p>
    <w:p w14:paraId="FF43106F">
      <w:pPr>
        <w:pageBreakBefore w:val="0"/>
        <w:kinsoku/>
        <w:overflowPunct/>
        <w:topLinePunct w:val="0"/>
        <w:bidi w:val="0"/>
        <w:spacing w:after="0"/>
        <w:ind w:firstLine="480"/>
        <w:rPr>
          <w:rFonts w:hint="eastAsia" w:cs="宋体"/>
          <w:color w:val="36363D"/>
        </w:rPr>
      </w:pPr>
      <w:r>
        <w:rPr>
          <w:rFonts w:hint="eastAsia" w:cs="宋体"/>
          <w:color w:val="36363D"/>
        </w:rPr>
        <w:t>法定代表人或其全权代表（签字或盖章）：</w:t>
      </w:r>
    </w:p>
    <w:p w14:paraId="9A2518FD">
      <w:pPr>
        <w:pageBreakBefore w:val="0"/>
        <w:kinsoku/>
        <w:overflowPunct/>
        <w:topLinePunct w:val="0"/>
        <w:bidi w:val="0"/>
        <w:spacing w:after="0"/>
        <w:ind w:firstLine="480"/>
        <w:rPr>
          <w:rFonts w:hint="eastAsia" w:cs="宋体"/>
          <w:color w:val="36363D"/>
        </w:rPr>
      </w:pPr>
      <w:r>
        <w:rPr>
          <w:rFonts w:hint="eastAsia" w:cs="宋体"/>
          <w:color w:val="36363D"/>
        </w:rPr>
        <w:t>日期：  年   月   日</w:t>
      </w:r>
    </w:p>
    <w:p w14:paraId="EE63EBC7">
      <w:pPr>
        <w:pStyle w:val="5"/>
        <w:pageBreakBefore w:val="0"/>
        <w:kinsoku/>
        <w:overflowPunct/>
        <w:topLinePunct w:val="0"/>
        <w:bidi w:val="0"/>
        <w:spacing w:after="0"/>
        <w:rPr>
          <w:rFonts w:hint="eastAsia" w:cs="宋体"/>
          <w:color w:val="36363D"/>
          <w:szCs w:val="24"/>
        </w:rPr>
        <w:sectPr>
          <w:pgSz w:w="11907" w:h="16840"/>
          <w:pgMar w:top="1247" w:right="1304" w:bottom="1021" w:left="1304" w:header="720" w:footer="720" w:gutter="0"/>
          <w:cols w:space="720" w:num="1"/>
          <w:docGrid w:linePitch="286" w:charSpace="0"/>
        </w:sectPr>
      </w:pPr>
    </w:p>
    <w:p w14:paraId="F2470EC1">
      <w:pPr>
        <w:pStyle w:val="5"/>
        <w:pageBreakBefore w:val="0"/>
        <w:kinsoku/>
        <w:overflowPunct/>
        <w:topLinePunct w:val="0"/>
        <w:bidi w:val="0"/>
        <w:spacing w:after="0"/>
        <w:rPr>
          <w:rFonts w:hint="eastAsia" w:cs="宋体"/>
          <w:color w:val="36363D"/>
          <w:sz w:val="24"/>
          <w:szCs w:val="24"/>
        </w:rPr>
      </w:pPr>
      <w:r>
        <w:rPr>
          <w:rFonts w:hint="eastAsia" w:cs="宋体"/>
          <w:color w:val="36363D"/>
          <w:sz w:val="24"/>
          <w:szCs w:val="24"/>
        </w:rPr>
        <w:t>附件七</w:t>
      </w:r>
    </w:p>
    <w:p w14:paraId="D77A48FA">
      <w:pPr>
        <w:pageBreakBefore w:val="0"/>
        <w:kinsoku/>
        <w:overflowPunct/>
        <w:topLinePunct w:val="0"/>
        <w:bidi w:val="0"/>
        <w:spacing w:after="0"/>
        <w:ind w:firstLine="3654" w:firstLineChars="1300"/>
        <w:rPr>
          <w:rFonts w:hint="eastAsia" w:cs="宋体"/>
          <w:b/>
          <w:bCs/>
          <w:color w:val="36363D"/>
          <w:sz w:val="28"/>
          <w:szCs w:val="28"/>
        </w:rPr>
      </w:pPr>
      <w:r>
        <w:rPr>
          <w:rFonts w:hint="eastAsia" w:cs="宋体"/>
          <w:b/>
          <w:bCs/>
          <w:color w:val="36363D"/>
          <w:sz w:val="28"/>
          <w:szCs w:val="28"/>
        </w:rPr>
        <w:t>技术条款偏离表</w:t>
      </w:r>
    </w:p>
    <w:p w14:paraId="CAD8F6E4">
      <w:pPr>
        <w:pageBreakBefore w:val="0"/>
        <w:kinsoku/>
        <w:overflowPunct/>
        <w:topLinePunct w:val="0"/>
        <w:bidi w:val="0"/>
        <w:spacing w:after="0"/>
        <w:ind w:firstLine="0" w:firstLineChars="0"/>
        <w:rPr>
          <w:rFonts w:hint="eastAsia" w:cs="宋体"/>
          <w:color w:val="36363D"/>
        </w:rPr>
      </w:pPr>
      <w:r>
        <w:rPr>
          <w:rFonts w:hint="eastAsia" w:cs="宋体"/>
          <w:color w:val="36363D"/>
        </w:rPr>
        <w:t xml:space="preserve">项目名称：            项目编号：               </w:t>
      </w:r>
    </w:p>
    <w:tbl>
      <w:tblPr>
        <w:tblStyle w:val="43"/>
        <w:tblW w:w="8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21"/>
        <w:gridCol w:w="2377"/>
        <w:gridCol w:w="1619"/>
        <w:gridCol w:w="1797"/>
      </w:tblGrid>
      <w:tr w14:paraId="A964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60" w:type="dxa"/>
            <w:vAlign w:val="center"/>
          </w:tcPr>
          <w:p w14:paraId="5A76609C">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序号</w:t>
            </w:r>
          </w:p>
        </w:tc>
        <w:tc>
          <w:tcPr>
            <w:tcW w:w="1621" w:type="dxa"/>
            <w:vAlign w:val="center"/>
          </w:tcPr>
          <w:p w14:paraId="FEA9F7B8">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采购需求</w:t>
            </w:r>
          </w:p>
        </w:tc>
        <w:tc>
          <w:tcPr>
            <w:tcW w:w="2377" w:type="dxa"/>
            <w:vAlign w:val="center"/>
          </w:tcPr>
          <w:p w14:paraId="EB4EFF29">
            <w:pPr>
              <w:pageBreakBefore w:val="0"/>
              <w:kinsoku/>
              <w:overflowPunct/>
              <w:topLinePunct w:val="0"/>
              <w:bidi w:val="0"/>
              <w:spacing w:after="0"/>
              <w:ind w:left="102" w:firstLine="0" w:firstLineChars="0"/>
              <w:jc w:val="center"/>
              <w:rPr>
                <w:rFonts w:hint="eastAsia" w:cs="宋体"/>
                <w:color w:val="36363D"/>
              </w:rPr>
            </w:pPr>
            <w:r>
              <w:rPr>
                <w:rFonts w:hint="eastAsia" w:cs="宋体"/>
                <w:color w:val="36363D"/>
              </w:rPr>
              <w:t>投标响应</w:t>
            </w:r>
          </w:p>
        </w:tc>
        <w:tc>
          <w:tcPr>
            <w:tcW w:w="1619" w:type="dxa"/>
            <w:vAlign w:val="center"/>
          </w:tcPr>
          <w:p w14:paraId="CFD7A39B">
            <w:pPr>
              <w:pageBreakBefore w:val="0"/>
              <w:kinsoku/>
              <w:overflowPunct/>
              <w:topLinePunct w:val="0"/>
              <w:bidi w:val="0"/>
              <w:spacing w:after="0"/>
              <w:ind w:firstLine="0" w:firstLineChars="0"/>
              <w:jc w:val="center"/>
              <w:rPr>
                <w:rFonts w:hint="eastAsia" w:cs="宋体"/>
                <w:color w:val="36363D"/>
              </w:rPr>
            </w:pPr>
            <w:r>
              <w:rPr>
                <w:rFonts w:hint="eastAsia" w:cs="宋体"/>
                <w:color w:val="36363D"/>
              </w:rPr>
              <w:t>偏离情况</w:t>
            </w:r>
          </w:p>
        </w:tc>
        <w:tc>
          <w:tcPr>
            <w:tcW w:w="1797" w:type="dxa"/>
            <w:vAlign w:val="center"/>
          </w:tcPr>
          <w:p w14:paraId="042D0C00">
            <w:pPr>
              <w:pageBreakBefore w:val="0"/>
              <w:kinsoku/>
              <w:overflowPunct/>
              <w:topLinePunct w:val="0"/>
              <w:bidi w:val="0"/>
              <w:spacing w:after="0" w:line="400" w:lineRule="exact"/>
              <w:ind w:firstLine="0" w:firstLineChars="0"/>
              <w:jc w:val="center"/>
              <w:rPr>
                <w:rFonts w:hint="eastAsia" w:cs="宋体"/>
                <w:color w:val="36363D"/>
              </w:rPr>
            </w:pPr>
            <w:r>
              <w:rPr>
                <w:rFonts w:hint="eastAsia" w:cs="宋体"/>
                <w:color w:val="36363D"/>
              </w:rPr>
              <w:t>技术支持资料（页码）</w:t>
            </w:r>
          </w:p>
        </w:tc>
      </w:tr>
      <w:tr w14:paraId="716C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2655B07D">
            <w:pPr>
              <w:pageBreakBefore w:val="0"/>
              <w:kinsoku/>
              <w:overflowPunct/>
              <w:topLinePunct w:val="0"/>
              <w:bidi w:val="0"/>
              <w:spacing w:after="0"/>
              <w:ind w:firstLine="0" w:firstLineChars="0"/>
              <w:rPr>
                <w:rFonts w:hint="eastAsia" w:cs="宋体"/>
                <w:color w:val="36363D"/>
              </w:rPr>
            </w:pPr>
          </w:p>
        </w:tc>
        <w:tc>
          <w:tcPr>
            <w:tcW w:w="1621" w:type="dxa"/>
          </w:tcPr>
          <w:p w14:paraId="F6A374F0">
            <w:pPr>
              <w:pageBreakBefore w:val="0"/>
              <w:kinsoku/>
              <w:overflowPunct/>
              <w:topLinePunct w:val="0"/>
              <w:bidi w:val="0"/>
              <w:spacing w:after="0"/>
              <w:ind w:firstLine="0" w:firstLineChars="0"/>
              <w:rPr>
                <w:rFonts w:hint="eastAsia" w:cs="宋体"/>
                <w:color w:val="36363D"/>
              </w:rPr>
            </w:pPr>
          </w:p>
        </w:tc>
        <w:tc>
          <w:tcPr>
            <w:tcW w:w="2377" w:type="dxa"/>
          </w:tcPr>
          <w:p w14:paraId="F81F0EC0">
            <w:pPr>
              <w:pageBreakBefore w:val="0"/>
              <w:kinsoku/>
              <w:overflowPunct/>
              <w:topLinePunct w:val="0"/>
              <w:bidi w:val="0"/>
              <w:spacing w:after="0"/>
              <w:ind w:firstLine="0" w:firstLineChars="0"/>
              <w:rPr>
                <w:rFonts w:hint="eastAsia" w:cs="宋体"/>
                <w:color w:val="36363D"/>
              </w:rPr>
            </w:pPr>
          </w:p>
        </w:tc>
        <w:tc>
          <w:tcPr>
            <w:tcW w:w="1619" w:type="dxa"/>
          </w:tcPr>
          <w:p w14:paraId="FAFACC10">
            <w:pPr>
              <w:pageBreakBefore w:val="0"/>
              <w:kinsoku/>
              <w:overflowPunct/>
              <w:topLinePunct w:val="0"/>
              <w:bidi w:val="0"/>
              <w:spacing w:after="0"/>
              <w:ind w:firstLine="0" w:firstLineChars="0"/>
              <w:rPr>
                <w:rFonts w:hint="eastAsia" w:cs="宋体"/>
                <w:color w:val="36363D"/>
              </w:rPr>
            </w:pPr>
          </w:p>
        </w:tc>
        <w:tc>
          <w:tcPr>
            <w:tcW w:w="1797" w:type="dxa"/>
          </w:tcPr>
          <w:p w14:paraId="06BA1547">
            <w:pPr>
              <w:pageBreakBefore w:val="0"/>
              <w:kinsoku/>
              <w:overflowPunct/>
              <w:topLinePunct w:val="0"/>
              <w:bidi w:val="0"/>
              <w:spacing w:after="0"/>
              <w:ind w:firstLine="0" w:firstLineChars="0"/>
              <w:rPr>
                <w:rFonts w:hint="eastAsia" w:cs="宋体"/>
                <w:color w:val="36363D"/>
              </w:rPr>
            </w:pPr>
          </w:p>
        </w:tc>
      </w:tr>
      <w:tr w14:paraId="D890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DF67A9F6">
            <w:pPr>
              <w:pageBreakBefore w:val="0"/>
              <w:kinsoku/>
              <w:overflowPunct/>
              <w:topLinePunct w:val="0"/>
              <w:bidi w:val="0"/>
              <w:spacing w:after="0"/>
              <w:ind w:firstLine="0" w:firstLineChars="0"/>
              <w:rPr>
                <w:rFonts w:hint="eastAsia" w:cs="宋体"/>
                <w:color w:val="36363D"/>
              </w:rPr>
            </w:pPr>
          </w:p>
        </w:tc>
        <w:tc>
          <w:tcPr>
            <w:tcW w:w="1621" w:type="dxa"/>
          </w:tcPr>
          <w:p w14:paraId="8424C8EC">
            <w:pPr>
              <w:pageBreakBefore w:val="0"/>
              <w:kinsoku/>
              <w:overflowPunct/>
              <w:topLinePunct w:val="0"/>
              <w:bidi w:val="0"/>
              <w:spacing w:after="0"/>
              <w:ind w:firstLine="0" w:firstLineChars="0"/>
              <w:rPr>
                <w:rFonts w:hint="eastAsia" w:cs="宋体"/>
                <w:color w:val="36363D"/>
              </w:rPr>
            </w:pPr>
          </w:p>
        </w:tc>
        <w:tc>
          <w:tcPr>
            <w:tcW w:w="2377" w:type="dxa"/>
          </w:tcPr>
          <w:p w14:paraId="ABD5B5CD">
            <w:pPr>
              <w:pageBreakBefore w:val="0"/>
              <w:kinsoku/>
              <w:overflowPunct/>
              <w:topLinePunct w:val="0"/>
              <w:bidi w:val="0"/>
              <w:spacing w:after="0"/>
              <w:ind w:firstLine="0" w:firstLineChars="0"/>
              <w:rPr>
                <w:rFonts w:hint="eastAsia" w:cs="宋体"/>
                <w:color w:val="36363D"/>
              </w:rPr>
            </w:pPr>
          </w:p>
        </w:tc>
        <w:tc>
          <w:tcPr>
            <w:tcW w:w="1619" w:type="dxa"/>
          </w:tcPr>
          <w:p w14:paraId="764A8E61">
            <w:pPr>
              <w:pageBreakBefore w:val="0"/>
              <w:kinsoku/>
              <w:overflowPunct/>
              <w:topLinePunct w:val="0"/>
              <w:bidi w:val="0"/>
              <w:spacing w:after="0"/>
              <w:ind w:firstLine="0" w:firstLineChars="0"/>
              <w:rPr>
                <w:rFonts w:hint="eastAsia" w:cs="宋体"/>
                <w:color w:val="36363D"/>
              </w:rPr>
            </w:pPr>
          </w:p>
        </w:tc>
        <w:tc>
          <w:tcPr>
            <w:tcW w:w="1797" w:type="dxa"/>
          </w:tcPr>
          <w:p w14:paraId="67B32A40">
            <w:pPr>
              <w:pageBreakBefore w:val="0"/>
              <w:kinsoku/>
              <w:overflowPunct/>
              <w:topLinePunct w:val="0"/>
              <w:bidi w:val="0"/>
              <w:spacing w:after="0"/>
              <w:ind w:firstLine="0" w:firstLineChars="0"/>
              <w:rPr>
                <w:rFonts w:hint="eastAsia" w:cs="宋体"/>
                <w:color w:val="36363D"/>
              </w:rPr>
            </w:pPr>
          </w:p>
        </w:tc>
      </w:tr>
      <w:tr w14:paraId="0C27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68874B66">
            <w:pPr>
              <w:pageBreakBefore w:val="0"/>
              <w:kinsoku/>
              <w:overflowPunct/>
              <w:topLinePunct w:val="0"/>
              <w:bidi w:val="0"/>
              <w:spacing w:after="0"/>
              <w:ind w:firstLine="0" w:firstLineChars="0"/>
              <w:rPr>
                <w:rFonts w:hint="eastAsia" w:cs="宋体"/>
                <w:color w:val="36363D"/>
              </w:rPr>
            </w:pPr>
          </w:p>
        </w:tc>
        <w:tc>
          <w:tcPr>
            <w:tcW w:w="1621" w:type="dxa"/>
          </w:tcPr>
          <w:p w14:paraId="E98232E1">
            <w:pPr>
              <w:pageBreakBefore w:val="0"/>
              <w:kinsoku/>
              <w:overflowPunct/>
              <w:topLinePunct w:val="0"/>
              <w:bidi w:val="0"/>
              <w:spacing w:after="0"/>
              <w:ind w:firstLine="0" w:firstLineChars="0"/>
              <w:rPr>
                <w:rFonts w:hint="eastAsia" w:cs="宋体"/>
                <w:color w:val="36363D"/>
              </w:rPr>
            </w:pPr>
          </w:p>
        </w:tc>
        <w:tc>
          <w:tcPr>
            <w:tcW w:w="2377" w:type="dxa"/>
          </w:tcPr>
          <w:p w14:paraId="7923C1C7">
            <w:pPr>
              <w:pageBreakBefore w:val="0"/>
              <w:kinsoku/>
              <w:overflowPunct/>
              <w:topLinePunct w:val="0"/>
              <w:bidi w:val="0"/>
              <w:spacing w:after="0"/>
              <w:ind w:firstLine="0" w:firstLineChars="0"/>
              <w:rPr>
                <w:rFonts w:hint="eastAsia" w:cs="宋体"/>
                <w:color w:val="36363D"/>
              </w:rPr>
            </w:pPr>
          </w:p>
        </w:tc>
        <w:tc>
          <w:tcPr>
            <w:tcW w:w="1619" w:type="dxa"/>
          </w:tcPr>
          <w:p w14:paraId="C8138604">
            <w:pPr>
              <w:pageBreakBefore w:val="0"/>
              <w:kinsoku/>
              <w:overflowPunct/>
              <w:topLinePunct w:val="0"/>
              <w:bidi w:val="0"/>
              <w:spacing w:after="0"/>
              <w:ind w:firstLine="0" w:firstLineChars="0"/>
              <w:rPr>
                <w:rFonts w:hint="eastAsia" w:cs="宋体"/>
                <w:color w:val="36363D"/>
              </w:rPr>
            </w:pPr>
          </w:p>
        </w:tc>
        <w:tc>
          <w:tcPr>
            <w:tcW w:w="1797" w:type="dxa"/>
          </w:tcPr>
          <w:p w14:paraId="BD83C834">
            <w:pPr>
              <w:pageBreakBefore w:val="0"/>
              <w:kinsoku/>
              <w:overflowPunct/>
              <w:topLinePunct w:val="0"/>
              <w:bidi w:val="0"/>
              <w:spacing w:after="0"/>
              <w:ind w:firstLine="0" w:firstLineChars="0"/>
              <w:rPr>
                <w:rFonts w:hint="eastAsia" w:cs="宋体"/>
                <w:color w:val="36363D"/>
              </w:rPr>
            </w:pPr>
          </w:p>
        </w:tc>
      </w:tr>
      <w:tr w14:paraId="245B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730506C7">
            <w:pPr>
              <w:pageBreakBefore w:val="0"/>
              <w:kinsoku/>
              <w:overflowPunct/>
              <w:topLinePunct w:val="0"/>
              <w:bidi w:val="0"/>
              <w:spacing w:after="0"/>
              <w:ind w:firstLine="0" w:firstLineChars="0"/>
              <w:rPr>
                <w:rFonts w:hint="eastAsia" w:cs="宋体"/>
                <w:color w:val="36363D"/>
              </w:rPr>
            </w:pPr>
          </w:p>
        </w:tc>
        <w:tc>
          <w:tcPr>
            <w:tcW w:w="1621" w:type="dxa"/>
          </w:tcPr>
          <w:p w14:paraId="A52F7160">
            <w:pPr>
              <w:pageBreakBefore w:val="0"/>
              <w:kinsoku/>
              <w:overflowPunct/>
              <w:topLinePunct w:val="0"/>
              <w:bidi w:val="0"/>
              <w:spacing w:after="0"/>
              <w:ind w:firstLine="0" w:firstLineChars="0"/>
              <w:rPr>
                <w:rFonts w:hint="eastAsia" w:cs="宋体"/>
                <w:color w:val="36363D"/>
              </w:rPr>
            </w:pPr>
          </w:p>
        </w:tc>
        <w:tc>
          <w:tcPr>
            <w:tcW w:w="2377" w:type="dxa"/>
          </w:tcPr>
          <w:p w14:paraId="C7DF8CBD">
            <w:pPr>
              <w:pageBreakBefore w:val="0"/>
              <w:kinsoku/>
              <w:overflowPunct/>
              <w:topLinePunct w:val="0"/>
              <w:bidi w:val="0"/>
              <w:spacing w:after="0"/>
              <w:ind w:firstLine="0" w:firstLineChars="0"/>
              <w:rPr>
                <w:rFonts w:hint="eastAsia" w:cs="宋体"/>
                <w:color w:val="36363D"/>
              </w:rPr>
            </w:pPr>
          </w:p>
        </w:tc>
        <w:tc>
          <w:tcPr>
            <w:tcW w:w="1619" w:type="dxa"/>
          </w:tcPr>
          <w:p w14:paraId="20B1713A">
            <w:pPr>
              <w:pageBreakBefore w:val="0"/>
              <w:kinsoku/>
              <w:overflowPunct/>
              <w:topLinePunct w:val="0"/>
              <w:bidi w:val="0"/>
              <w:spacing w:after="0"/>
              <w:ind w:firstLine="0" w:firstLineChars="0"/>
              <w:rPr>
                <w:rFonts w:hint="eastAsia" w:cs="宋体"/>
                <w:color w:val="36363D"/>
              </w:rPr>
            </w:pPr>
          </w:p>
        </w:tc>
        <w:tc>
          <w:tcPr>
            <w:tcW w:w="1797" w:type="dxa"/>
          </w:tcPr>
          <w:p w14:paraId="89D0C912">
            <w:pPr>
              <w:pageBreakBefore w:val="0"/>
              <w:kinsoku/>
              <w:overflowPunct/>
              <w:topLinePunct w:val="0"/>
              <w:bidi w:val="0"/>
              <w:spacing w:after="0"/>
              <w:ind w:firstLine="0" w:firstLineChars="0"/>
              <w:rPr>
                <w:rFonts w:hint="eastAsia" w:cs="宋体"/>
                <w:color w:val="36363D"/>
              </w:rPr>
            </w:pPr>
          </w:p>
        </w:tc>
      </w:tr>
      <w:tr w14:paraId="C7EB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834787CB">
            <w:pPr>
              <w:pageBreakBefore w:val="0"/>
              <w:kinsoku/>
              <w:overflowPunct/>
              <w:topLinePunct w:val="0"/>
              <w:bidi w:val="0"/>
              <w:spacing w:after="0"/>
              <w:ind w:firstLine="0" w:firstLineChars="0"/>
              <w:rPr>
                <w:rFonts w:hint="eastAsia" w:cs="宋体"/>
                <w:color w:val="36363D"/>
              </w:rPr>
            </w:pPr>
          </w:p>
        </w:tc>
        <w:tc>
          <w:tcPr>
            <w:tcW w:w="1621" w:type="dxa"/>
          </w:tcPr>
          <w:p w14:paraId="475BB82C">
            <w:pPr>
              <w:pageBreakBefore w:val="0"/>
              <w:kinsoku/>
              <w:overflowPunct/>
              <w:topLinePunct w:val="0"/>
              <w:bidi w:val="0"/>
              <w:spacing w:after="0"/>
              <w:ind w:firstLine="0" w:firstLineChars="0"/>
              <w:rPr>
                <w:rFonts w:hint="eastAsia" w:cs="宋体"/>
                <w:color w:val="36363D"/>
              </w:rPr>
            </w:pPr>
          </w:p>
        </w:tc>
        <w:tc>
          <w:tcPr>
            <w:tcW w:w="2377" w:type="dxa"/>
          </w:tcPr>
          <w:p w14:paraId="9C6E0288">
            <w:pPr>
              <w:pageBreakBefore w:val="0"/>
              <w:kinsoku/>
              <w:overflowPunct/>
              <w:topLinePunct w:val="0"/>
              <w:bidi w:val="0"/>
              <w:spacing w:after="0"/>
              <w:ind w:firstLine="0" w:firstLineChars="0"/>
              <w:rPr>
                <w:rFonts w:hint="eastAsia" w:cs="宋体"/>
                <w:color w:val="36363D"/>
              </w:rPr>
            </w:pPr>
          </w:p>
        </w:tc>
        <w:tc>
          <w:tcPr>
            <w:tcW w:w="1619" w:type="dxa"/>
          </w:tcPr>
          <w:p w14:paraId="603D0D77">
            <w:pPr>
              <w:pageBreakBefore w:val="0"/>
              <w:kinsoku/>
              <w:overflowPunct/>
              <w:topLinePunct w:val="0"/>
              <w:bidi w:val="0"/>
              <w:spacing w:after="0"/>
              <w:ind w:firstLine="0" w:firstLineChars="0"/>
              <w:rPr>
                <w:rFonts w:hint="eastAsia" w:cs="宋体"/>
                <w:color w:val="36363D"/>
              </w:rPr>
            </w:pPr>
          </w:p>
        </w:tc>
        <w:tc>
          <w:tcPr>
            <w:tcW w:w="1797" w:type="dxa"/>
          </w:tcPr>
          <w:p w14:paraId="703F675E">
            <w:pPr>
              <w:pageBreakBefore w:val="0"/>
              <w:kinsoku/>
              <w:overflowPunct/>
              <w:topLinePunct w:val="0"/>
              <w:bidi w:val="0"/>
              <w:spacing w:after="0"/>
              <w:ind w:firstLine="0" w:firstLineChars="0"/>
              <w:rPr>
                <w:rFonts w:hint="eastAsia" w:cs="宋体"/>
                <w:color w:val="36363D"/>
              </w:rPr>
            </w:pPr>
          </w:p>
        </w:tc>
      </w:tr>
      <w:tr w14:paraId="D220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A2B3ADB1">
            <w:pPr>
              <w:pageBreakBefore w:val="0"/>
              <w:kinsoku/>
              <w:overflowPunct/>
              <w:topLinePunct w:val="0"/>
              <w:bidi w:val="0"/>
              <w:spacing w:after="0"/>
              <w:ind w:firstLine="0" w:firstLineChars="0"/>
              <w:rPr>
                <w:rFonts w:hint="eastAsia" w:cs="宋体"/>
                <w:color w:val="36363D"/>
              </w:rPr>
            </w:pPr>
          </w:p>
        </w:tc>
        <w:tc>
          <w:tcPr>
            <w:tcW w:w="1621" w:type="dxa"/>
          </w:tcPr>
          <w:p w14:paraId="DBB9C2CD">
            <w:pPr>
              <w:pageBreakBefore w:val="0"/>
              <w:kinsoku/>
              <w:overflowPunct/>
              <w:topLinePunct w:val="0"/>
              <w:bidi w:val="0"/>
              <w:spacing w:after="0"/>
              <w:ind w:firstLine="0" w:firstLineChars="0"/>
              <w:rPr>
                <w:rFonts w:hint="eastAsia" w:cs="宋体"/>
                <w:color w:val="36363D"/>
              </w:rPr>
            </w:pPr>
          </w:p>
        </w:tc>
        <w:tc>
          <w:tcPr>
            <w:tcW w:w="2377" w:type="dxa"/>
          </w:tcPr>
          <w:p w14:paraId="9077903E">
            <w:pPr>
              <w:pageBreakBefore w:val="0"/>
              <w:kinsoku/>
              <w:overflowPunct/>
              <w:topLinePunct w:val="0"/>
              <w:bidi w:val="0"/>
              <w:spacing w:after="0"/>
              <w:ind w:firstLine="0" w:firstLineChars="0"/>
              <w:rPr>
                <w:rFonts w:hint="eastAsia" w:cs="宋体"/>
                <w:color w:val="36363D"/>
              </w:rPr>
            </w:pPr>
          </w:p>
        </w:tc>
        <w:tc>
          <w:tcPr>
            <w:tcW w:w="1619" w:type="dxa"/>
          </w:tcPr>
          <w:p w14:paraId="A8D4727E">
            <w:pPr>
              <w:pageBreakBefore w:val="0"/>
              <w:kinsoku/>
              <w:overflowPunct/>
              <w:topLinePunct w:val="0"/>
              <w:bidi w:val="0"/>
              <w:spacing w:after="0"/>
              <w:ind w:firstLine="0" w:firstLineChars="0"/>
              <w:rPr>
                <w:rFonts w:hint="eastAsia" w:cs="宋体"/>
                <w:color w:val="36363D"/>
              </w:rPr>
            </w:pPr>
          </w:p>
        </w:tc>
        <w:tc>
          <w:tcPr>
            <w:tcW w:w="1797" w:type="dxa"/>
          </w:tcPr>
          <w:p w14:paraId="4303BCA0">
            <w:pPr>
              <w:pageBreakBefore w:val="0"/>
              <w:kinsoku/>
              <w:overflowPunct/>
              <w:topLinePunct w:val="0"/>
              <w:bidi w:val="0"/>
              <w:spacing w:after="0"/>
              <w:ind w:firstLine="0" w:firstLineChars="0"/>
              <w:rPr>
                <w:rFonts w:hint="eastAsia" w:cs="宋体"/>
                <w:color w:val="36363D"/>
              </w:rPr>
            </w:pPr>
          </w:p>
        </w:tc>
      </w:tr>
      <w:tr w14:paraId="32FD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59D89330">
            <w:pPr>
              <w:pageBreakBefore w:val="0"/>
              <w:kinsoku/>
              <w:overflowPunct/>
              <w:topLinePunct w:val="0"/>
              <w:bidi w:val="0"/>
              <w:spacing w:after="0"/>
              <w:ind w:firstLine="0" w:firstLineChars="0"/>
              <w:rPr>
                <w:rFonts w:hint="eastAsia" w:cs="宋体"/>
                <w:color w:val="36363D"/>
              </w:rPr>
            </w:pPr>
          </w:p>
        </w:tc>
        <w:tc>
          <w:tcPr>
            <w:tcW w:w="1621" w:type="dxa"/>
          </w:tcPr>
          <w:p w14:paraId="EA8704E3">
            <w:pPr>
              <w:pageBreakBefore w:val="0"/>
              <w:kinsoku/>
              <w:overflowPunct/>
              <w:topLinePunct w:val="0"/>
              <w:bidi w:val="0"/>
              <w:spacing w:after="0"/>
              <w:ind w:firstLine="0" w:firstLineChars="0"/>
              <w:rPr>
                <w:rFonts w:hint="eastAsia" w:cs="宋体"/>
                <w:color w:val="36363D"/>
              </w:rPr>
            </w:pPr>
          </w:p>
        </w:tc>
        <w:tc>
          <w:tcPr>
            <w:tcW w:w="2377" w:type="dxa"/>
          </w:tcPr>
          <w:p w14:paraId="06D54054">
            <w:pPr>
              <w:pageBreakBefore w:val="0"/>
              <w:kinsoku/>
              <w:overflowPunct/>
              <w:topLinePunct w:val="0"/>
              <w:bidi w:val="0"/>
              <w:spacing w:after="0"/>
              <w:ind w:firstLine="0" w:firstLineChars="0"/>
              <w:rPr>
                <w:rFonts w:hint="eastAsia" w:cs="宋体"/>
                <w:color w:val="36363D"/>
              </w:rPr>
            </w:pPr>
          </w:p>
        </w:tc>
        <w:tc>
          <w:tcPr>
            <w:tcW w:w="1619" w:type="dxa"/>
          </w:tcPr>
          <w:p w14:paraId="D0D6FFF7">
            <w:pPr>
              <w:pageBreakBefore w:val="0"/>
              <w:kinsoku/>
              <w:overflowPunct/>
              <w:topLinePunct w:val="0"/>
              <w:bidi w:val="0"/>
              <w:spacing w:after="0"/>
              <w:ind w:firstLine="0" w:firstLineChars="0"/>
              <w:rPr>
                <w:rFonts w:hint="eastAsia" w:cs="宋体"/>
                <w:color w:val="36363D"/>
              </w:rPr>
            </w:pPr>
          </w:p>
        </w:tc>
        <w:tc>
          <w:tcPr>
            <w:tcW w:w="1797" w:type="dxa"/>
          </w:tcPr>
          <w:p w14:paraId="9989990F">
            <w:pPr>
              <w:pageBreakBefore w:val="0"/>
              <w:kinsoku/>
              <w:overflowPunct/>
              <w:topLinePunct w:val="0"/>
              <w:bidi w:val="0"/>
              <w:spacing w:after="0"/>
              <w:ind w:firstLine="0" w:firstLineChars="0"/>
              <w:rPr>
                <w:rFonts w:hint="eastAsia" w:cs="宋体"/>
                <w:color w:val="36363D"/>
              </w:rPr>
            </w:pPr>
          </w:p>
        </w:tc>
      </w:tr>
    </w:tbl>
    <w:p w14:paraId="AA17B2E2">
      <w:pPr>
        <w:pageBreakBefore w:val="0"/>
        <w:kinsoku/>
        <w:overflowPunct/>
        <w:topLinePunct w:val="0"/>
        <w:bidi w:val="0"/>
        <w:adjustRightInd w:val="0"/>
        <w:snapToGrid w:val="0"/>
        <w:spacing w:after="0" w:line="312" w:lineRule="auto"/>
        <w:ind w:firstLine="0" w:firstLineChars="0"/>
        <w:rPr>
          <w:rFonts w:hint="eastAsia" w:cs="宋体"/>
          <w:color w:val="36363D"/>
        </w:rPr>
      </w:pPr>
      <w:r>
        <w:rPr>
          <w:rFonts w:hint="eastAsia" w:cs="宋体"/>
          <w:color w:val="36363D"/>
        </w:rPr>
        <w:t>注：1.逐项按照招标文件要求填写响应规格；</w:t>
      </w:r>
    </w:p>
    <w:p w14:paraId="CFC6597A">
      <w:pPr>
        <w:pageBreakBefore w:val="0"/>
        <w:kinsoku/>
        <w:overflowPunct/>
        <w:topLinePunct w:val="0"/>
        <w:bidi w:val="0"/>
        <w:adjustRightInd w:val="0"/>
        <w:snapToGrid w:val="0"/>
        <w:spacing w:after="0" w:line="312" w:lineRule="auto"/>
        <w:ind w:firstLine="480"/>
        <w:rPr>
          <w:rFonts w:hint="eastAsia" w:cs="宋体"/>
          <w:color w:val="36363D"/>
        </w:rPr>
      </w:pPr>
      <w:r>
        <w:rPr>
          <w:rFonts w:hint="eastAsia" w:cs="宋体"/>
          <w:color w:val="36363D"/>
        </w:rPr>
        <w:t>2.表后需提供技术支持资料以证明其对技术指标的应答。若对技术指标的应答无技术支持资料证明，评标委员会可不予承认，并可认为该应答不符合招标文件要求，将作出不利于投标人的技术评审，其后果将由投标人自行承担；</w:t>
      </w:r>
    </w:p>
    <w:p w14:paraId="6003D132">
      <w:pPr>
        <w:pageBreakBefore w:val="0"/>
        <w:kinsoku/>
        <w:overflowPunct/>
        <w:topLinePunct w:val="0"/>
        <w:bidi w:val="0"/>
        <w:adjustRightInd w:val="0"/>
        <w:snapToGrid w:val="0"/>
        <w:spacing w:after="0" w:line="312" w:lineRule="auto"/>
        <w:ind w:firstLine="480"/>
        <w:rPr>
          <w:rFonts w:hint="eastAsia" w:cs="宋体"/>
          <w:color w:val="36363D"/>
        </w:rPr>
      </w:pPr>
      <w:r>
        <w:rPr>
          <w:rFonts w:hint="eastAsia" w:cs="宋体"/>
          <w:color w:val="36363D"/>
        </w:rPr>
        <w:t>3.投标人可提供同等于或优于招标文件要求的设备和服务。</w:t>
      </w:r>
    </w:p>
    <w:p w14:paraId="F47A3855">
      <w:pPr>
        <w:pStyle w:val="55"/>
        <w:pageBreakBefore w:val="0"/>
        <w:kinsoku/>
        <w:overflowPunct/>
        <w:topLinePunct w:val="0"/>
        <w:bidi w:val="0"/>
        <w:spacing w:after="0"/>
        <w:rPr>
          <w:rFonts w:hint="eastAsia" w:ascii="宋体" w:hAnsi="宋体" w:eastAsia="宋体" w:cs="宋体"/>
          <w:color w:val="36363D"/>
        </w:rPr>
      </w:pPr>
    </w:p>
    <w:p w14:paraId="AE54044C">
      <w:pPr>
        <w:pageBreakBefore w:val="0"/>
        <w:kinsoku/>
        <w:overflowPunct/>
        <w:topLinePunct w:val="0"/>
        <w:bidi w:val="0"/>
        <w:spacing w:after="0"/>
        <w:ind w:firstLine="480"/>
        <w:rPr>
          <w:rFonts w:hint="eastAsia" w:cs="宋体"/>
          <w:color w:val="36363D"/>
        </w:rPr>
      </w:pPr>
      <w:r>
        <w:rPr>
          <w:rFonts w:hint="eastAsia" w:cs="宋体"/>
          <w:color w:val="36363D"/>
        </w:rPr>
        <w:t>投标人名称（公章）：</w:t>
      </w:r>
    </w:p>
    <w:p w14:paraId="90C202C8">
      <w:pPr>
        <w:pageBreakBefore w:val="0"/>
        <w:kinsoku/>
        <w:overflowPunct/>
        <w:topLinePunct w:val="0"/>
        <w:bidi w:val="0"/>
        <w:spacing w:after="0"/>
        <w:ind w:firstLine="480"/>
        <w:rPr>
          <w:rFonts w:hint="eastAsia" w:cs="宋体"/>
          <w:color w:val="36363D"/>
        </w:rPr>
      </w:pPr>
      <w:r>
        <w:rPr>
          <w:rFonts w:hint="eastAsia" w:cs="宋体"/>
          <w:color w:val="36363D"/>
        </w:rPr>
        <w:t>法定代表人或其全权代表（签字或盖章）：</w:t>
      </w:r>
    </w:p>
    <w:p w14:paraId="BBB56BF8">
      <w:pPr>
        <w:pageBreakBefore w:val="0"/>
        <w:kinsoku/>
        <w:overflowPunct/>
        <w:topLinePunct w:val="0"/>
        <w:bidi w:val="0"/>
        <w:spacing w:after="0"/>
        <w:ind w:firstLine="480"/>
        <w:rPr>
          <w:rFonts w:hint="eastAsia" w:cs="宋体"/>
          <w:color w:val="36363D"/>
        </w:rPr>
      </w:pPr>
      <w:r>
        <w:rPr>
          <w:rFonts w:hint="eastAsia" w:cs="宋体"/>
          <w:color w:val="36363D"/>
        </w:rPr>
        <w:t>日期：  年   月   日</w:t>
      </w:r>
      <w:bookmarkEnd w:id="60"/>
      <w:bookmarkEnd w:id="61"/>
      <w:bookmarkEnd w:id="62"/>
      <w:bookmarkEnd w:id="63"/>
      <w:bookmarkEnd w:id="64"/>
      <w:bookmarkEnd w:id="65"/>
      <w:bookmarkEnd w:id="66"/>
      <w:bookmarkEnd w:id="67"/>
    </w:p>
    <w:p w14:paraId="53415638">
      <w:pPr>
        <w:pStyle w:val="5"/>
        <w:pageBreakBefore w:val="0"/>
        <w:kinsoku/>
        <w:overflowPunct/>
        <w:topLinePunct w:val="0"/>
        <w:bidi w:val="0"/>
        <w:spacing w:after="0"/>
        <w:rPr>
          <w:rFonts w:hint="eastAsia" w:cs="宋体"/>
          <w:color w:val="36363D"/>
          <w:sz w:val="24"/>
          <w:szCs w:val="24"/>
        </w:rPr>
      </w:pPr>
      <w:r>
        <w:rPr>
          <w:rFonts w:hint="eastAsia" w:cs="宋体"/>
          <w:color w:val="36363D"/>
        </w:rPr>
        <w:br w:type="page"/>
      </w:r>
      <w:r>
        <w:rPr>
          <w:rFonts w:hint="eastAsia" w:cs="宋体"/>
          <w:color w:val="36363D"/>
          <w:sz w:val="24"/>
          <w:szCs w:val="24"/>
        </w:rPr>
        <w:t>附件八</w:t>
      </w:r>
    </w:p>
    <w:p w14:paraId="A5C540B2">
      <w:pPr>
        <w:pageBreakBefore w:val="0"/>
        <w:kinsoku/>
        <w:overflowPunct/>
        <w:topLinePunct w:val="0"/>
        <w:bidi w:val="0"/>
        <w:spacing w:after="0"/>
        <w:ind w:firstLine="643"/>
        <w:jc w:val="center"/>
        <w:rPr>
          <w:rFonts w:hint="eastAsia" w:cs="宋体"/>
          <w:b/>
          <w:bCs/>
          <w:color w:val="36363D"/>
          <w:spacing w:val="30"/>
          <w:sz w:val="32"/>
        </w:rPr>
      </w:pPr>
      <w:r>
        <w:rPr>
          <w:rFonts w:hint="eastAsia" w:cs="宋体"/>
          <w:b/>
          <w:color w:val="36363D"/>
          <w:kern w:val="0"/>
          <w:sz w:val="32"/>
          <w:szCs w:val="32"/>
        </w:rPr>
        <w:t>同类项目业绩一览表</w:t>
      </w:r>
    </w:p>
    <w:p w14:paraId="0B69947B">
      <w:pPr>
        <w:pageBreakBefore w:val="0"/>
        <w:kinsoku/>
        <w:overflowPunct/>
        <w:topLinePunct w:val="0"/>
        <w:bidi w:val="0"/>
        <w:spacing w:after="0"/>
        <w:ind w:firstLine="960" w:firstLineChars="400"/>
        <w:rPr>
          <w:rFonts w:hint="eastAsia" w:cs="宋体"/>
          <w:b/>
          <w:bCs/>
          <w:color w:val="36363D"/>
          <w:lang w:val="zh-CN"/>
        </w:rPr>
      </w:pPr>
      <w:r>
        <w:rPr>
          <w:rFonts w:hint="eastAsia" w:cs="宋体"/>
          <w:color w:val="36363D"/>
        </w:rPr>
        <w:t xml:space="preserve">项目名称：                   项目编号：              </w:t>
      </w:r>
    </w:p>
    <w:tbl>
      <w:tblPr>
        <w:tblStyle w:val="43"/>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1066"/>
        <w:gridCol w:w="1627"/>
        <w:gridCol w:w="2347"/>
      </w:tblGrid>
      <w:tr w14:paraId="322B8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D0BE4284">
            <w:pPr>
              <w:pageBreakBefore w:val="0"/>
              <w:kinsoku/>
              <w:overflowPunct/>
              <w:topLinePunct w:val="0"/>
              <w:bidi w:val="0"/>
              <w:spacing w:after="0" w:line="400" w:lineRule="exact"/>
              <w:ind w:firstLine="0" w:firstLineChars="0"/>
              <w:jc w:val="center"/>
              <w:rPr>
                <w:rFonts w:hint="eastAsia" w:cs="宋体"/>
                <w:color w:val="36363D"/>
                <w:lang w:val="zh-CN"/>
              </w:rPr>
            </w:pPr>
            <w:r>
              <w:rPr>
                <w:rFonts w:hint="eastAsia" w:cs="宋体"/>
                <w:b/>
                <w:bCs/>
                <w:color w:val="36363D"/>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79AED2A9">
            <w:pPr>
              <w:pageBreakBefore w:val="0"/>
              <w:kinsoku/>
              <w:overflowPunct/>
              <w:topLinePunct w:val="0"/>
              <w:bidi w:val="0"/>
              <w:spacing w:after="0" w:line="400" w:lineRule="exact"/>
              <w:ind w:firstLine="0" w:firstLineChars="0"/>
              <w:jc w:val="center"/>
              <w:rPr>
                <w:rFonts w:hint="eastAsia" w:cs="宋体"/>
                <w:color w:val="36363D"/>
                <w:lang w:val="zh-CN"/>
              </w:rPr>
            </w:pPr>
            <w:r>
              <w:rPr>
                <w:rFonts w:hint="eastAsia" w:cs="宋体"/>
                <w:b/>
                <w:bCs/>
                <w:color w:val="36363D"/>
              </w:rPr>
              <w:t>用户名称</w:t>
            </w:r>
          </w:p>
        </w:tc>
        <w:tc>
          <w:tcPr>
            <w:tcW w:w="1440" w:type="dxa"/>
            <w:tcBorders>
              <w:top w:val="single" w:color="auto" w:sz="4" w:space="0"/>
              <w:left w:val="single" w:color="auto" w:sz="4" w:space="0"/>
              <w:bottom w:val="single" w:color="auto" w:sz="4" w:space="0"/>
              <w:right w:val="single" w:color="auto" w:sz="4" w:space="0"/>
            </w:tcBorders>
            <w:vAlign w:val="center"/>
          </w:tcPr>
          <w:p w14:paraId="02F7E5DE">
            <w:pPr>
              <w:pageBreakBefore w:val="0"/>
              <w:kinsoku/>
              <w:overflowPunct/>
              <w:topLinePunct w:val="0"/>
              <w:bidi w:val="0"/>
              <w:spacing w:after="0" w:line="400" w:lineRule="exact"/>
              <w:ind w:firstLine="0" w:firstLineChars="0"/>
              <w:jc w:val="center"/>
              <w:rPr>
                <w:rFonts w:hint="eastAsia" w:cs="宋体"/>
                <w:color w:val="36363D"/>
                <w:lang w:val="zh-CN"/>
              </w:rPr>
            </w:pPr>
            <w:r>
              <w:rPr>
                <w:rFonts w:hint="eastAsia" w:cs="宋体"/>
                <w:b/>
                <w:bCs/>
                <w:color w:val="36363D"/>
              </w:rPr>
              <w:t>项目名称</w:t>
            </w:r>
          </w:p>
        </w:tc>
        <w:tc>
          <w:tcPr>
            <w:tcW w:w="1066" w:type="dxa"/>
            <w:tcBorders>
              <w:top w:val="single" w:color="auto" w:sz="4" w:space="0"/>
              <w:left w:val="single" w:color="auto" w:sz="4" w:space="0"/>
              <w:bottom w:val="single" w:color="auto" w:sz="4" w:space="0"/>
              <w:right w:val="single" w:color="auto" w:sz="4" w:space="0"/>
            </w:tcBorders>
            <w:vAlign w:val="center"/>
          </w:tcPr>
          <w:p w14:paraId="453E433A">
            <w:pPr>
              <w:pageBreakBefore w:val="0"/>
              <w:kinsoku/>
              <w:overflowPunct/>
              <w:topLinePunct w:val="0"/>
              <w:bidi w:val="0"/>
              <w:spacing w:after="0" w:line="400" w:lineRule="exact"/>
              <w:ind w:firstLine="0" w:firstLineChars="0"/>
              <w:jc w:val="center"/>
              <w:rPr>
                <w:rFonts w:hint="eastAsia" w:cs="宋体"/>
                <w:color w:val="36363D"/>
              </w:rPr>
            </w:pPr>
            <w:r>
              <w:rPr>
                <w:rFonts w:hint="eastAsia" w:cs="宋体"/>
                <w:b/>
                <w:bCs/>
                <w:color w:val="36363D"/>
              </w:rPr>
              <w:t>数量</w:t>
            </w:r>
          </w:p>
        </w:tc>
        <w:tc>
          <w:tcPr>
            <w:tcW w:w="1627" w:type="dxa"/>
            <w:tcBorders>
              <w:top w:val="single" w:color="auto" w:sz="4" w:space="0"/>
              <w:left w:val="single" w:color="auto" w:sz="4" w:space="0"/>
              <w:bottom w:val="single" w:color="auto" w:sz="4" w:space="0"/>
              <w:right w:val="single" w:color="auto" w:sz="4" w:space="0"/>
            </w:tcBorders>
            <w:vAlign w:val="center"/>
          </w:tcPr>
          <w:p w14:paraId="E2FD8A96">
            <w:pPr>
              <w:pageBreakBefore w:val="0"/>
              <w:kinsoku/>
              <w:overflowPunct/>
              <w:topLinePunct w:val="0"/>
              <w:bidi w:val="0"/>
              <w:spacing w:after="0" w:line="400" w:lineRule="exact"/>
              <w:ind w:firstLine="0" w:firstLineChars="0"/>
              <w:jc w:val="center"/>
              <w:rPr>
                <w:rFonts w:hint="eastAsia" w:cs="宋体"/>
                <w:color w:val="36363D"/>
                <w:lang w:val="zh-CN"/>
              </w:rPr>
            </w:pPr>
            <w:r>
              <w:rPr>
                <w:rFonts w:hint="eastAsia" w:cs="宋体"/>
                <w:b/>
                <w:bCs/>
                <w:color w:val="36363D"/>
              </w:rPr>
              <w:t>合同金额</w:t>
            </w:r>
          </w:p>
        </w:tc>
        <w:tc>
          <w:tcPr>
            <w:tcW w:w="2347" w:type="dxa"/>
            <w:tcBorders>
              <w:top w:val="single" w:color="auto" w:sz="4" w:space="0"/>
              <w:left w:val="single" w:color="auto" w:sz="4" w:space="0"/>
              <w:bottom w:val="single" w:color="auto" w:sz="4" w:space="0"/>
              <w:right w:val="single" w:color="auto" w:sz="4" w:space="0"/>
            </w:tcBorders>
            <w:vAlign w:val="center"/>
          </w:tcPr>
          <w:p w14:paraId="09275B86">
            <w:pPr>
              <w:pageBreakBefore w:val="0"/>
              <w:kinsoku/>
              <w:overflowPunct/>
              <w:topLinePunct w:val="0"/>
              <w:bidi w:val="0"/>
              <w:spacing w:after="0" w:line="400" w:lineRule="exact"/>
              <w:ind w:firstLine="0" w:firstLineChars="0"/>
              <w:jc w:val="left"/>
              <w:rPr>
                <w:rFonts w:hint="eastAsia" w:cs="宋体"/>
                <w:color w:val="36363D"/>
                <w:lang w:val="zh-CN"/>
              </w:rPr>
            </w:pPr>
            <w:r>
              <w:rPr>
                <w:rFonts w:hint="eastAsia" w:cs="宋体"/>
                <w:b/>
                <w:bCs/>
                <w:color w:val="36363D"/>
              </w:rPr>
              <w:t>用户联系电话/手机</w:t>
            </w:r>
          </w:p>
        </w:tc>
      </w:tr>
      <w:tr w14:paraId="365A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D0B6AFC6">
            <w:pPr>
              <w:pageBreakBefore w:val="0"/>
              <w:kinsoku/>
              <w:overflowPunct/>
              <w:topLinePunct w:val="0"/>
              <w:bidi w:val="0"/>
              <w:spacing w:after="0"/>
              <w:ind w:firstLine="0" w:firstLineChars="0"/>
              <w:jc w:val="center"/>
              <w:rPr>
                <w:rFonts w:hint="eastAsia" w:cs="宋体"/>
                <w:color w:val="36363D"/>
                <w:lang w:val="zh-CN"/>
              </w:rPr>
            </w:pPr>
            <w:r>
              <w:rPr>
                <w:rFonts w:hint="eastAsia" w:cs="宋体"/>
                <w:color w:val="36363D"/>
                <w:lang w:val="zh-CN"/>
              </w:rPr>
              <w:t>1</w:t>
            </w:r>
          </w:p>
        </w:tc>
        <w:tc>
          <w:tcPr>
            <w:tcW w:w="2160" w:type="dxa"/>
            <w:tcBorders>
              <w:top w:val="single" w:color="auto" w:sz="4" w:space="0"/>
              <w:left w:val="single" w:color="auto" w:sz="4" w:space="0"/>
              <w:bottom w:val="single" w:color="auto" w:sz="4" w:space="0"/>
              <w:right w:val="single" w:color="auto" w:sz="4" w:space="0"/>
            </w:tcBorders>
          </w:tcPr>
          <w:p w14:paraId="FC5AAE64">
            <w:pPr>
              <w:pageBreakBefore w:val="0"/>
              <w:kinsoku/>
              <w:overflowPunct/>
              <w:topLinePunct w:val="0"/>
              <w:bidi w:val="0"/>
              <w:spacing w:after="0"/>
              <w:ind w:firstLine="0" w:firstLineChars="0"/>
              <w:jc w:val="center"/>
              <w:rPr>
                <w:rFonts w:hint="eastAsia" w:cs="宋体"/>
                <w:color w:val="36363D"/>
                <w:lang w:val="zh-CN"/>
              </w:rPr>
            </w:pPr>
          </w:p>
        </w:tc>
        <w:tc>
          <w:tcPr>
            <w:tcW w:w="1440" w:type="dxa"/>
            <w:tcBorders>
              <w:top w:val="single" w:color="auto" w:sz="4" w:space="0"/>
              <w:left w:val="single" w:color="auto" w:sz="4" w:space="0"/>
              <w:bottom w:val="single" w:color="auto" w:sz="4" w:space="0"/>
              <w:right w:val="single" w:color="auto" w:sz="4" w:space="0"/>
            </w:tcBorders>
          </w:tcPr>
          <w:p w14:paraId="F2179598">
            <w:pPr>
              <w:pageBreakBefore w:val="0"/>
              <w:kinsoku/>
              <w:overflowPunct/>
              <w:topLinePunct w:val="0"/>
              <w:bidi w:val="0"/>
              <w:spacing w:after="0"/>
              <w:ind w:firstLine="0" w:firstLineChars="0"/>
              <w:jc w:val="center"/>
              <w:rPr>
                <w:rFonts w:hint="eastAsia" w:cs="宋体"/>
                <w:color w:val="36363D"/>
                <w:lang w:val="zh-CN"/>
              </w:rPr>
            </w:pPr>
          </w:p>
        </w:tc>
        <w:tc>
          <w:tcPr>
            <w:tcW w:w="1066" w:type="dxa"/>
            <w:tcBorders>
              <w:top w:val="single" w:color="auto" w:sz="4" w:space="0"/>
              <w:left w:val="single" w:color="auto" w:sz="4" w:space="0"/>
              <w:bottom w:val="single" w:color="auto" w:sz="4" w:space="0"/>
              <w:right w:val="single" w:color="auto" w:sz="4" w:space="0"/>
            </w:tcBorders>
          </w:tcPr>
          <w:p w14:paraId="FA89C1D5">
            <w:pPr>
              <w:pageBreakBefore w:val="0"/>
              <w:kinsoku/>
              <w:overflowPunct/>
              <w:topLinePunct w:val="0"/>
              <w:bidi w:val="0"/>
              <w:spacing w:after="0"/>
              <w:ind w:firstLine="0" w:firstLineChars="0"/>
              <w:jc w:val="center"/>
              <w:rPr>
                <w:rFonts w:hint="eastAsia" w:cs="宋体"/>
                <w:color w:val="36363D"/>
                <w:lang w:val="zh-CN"/>
              </w:rPr>
            </w:pPr>
          </w:p>
        </w:tc>
        <w:tc>
          <w:tcPr>
            <w:tcW w:w="1627" w:type="dxa"/>
            <w:tcBorders>
              <w:top w:val="single" w:color="auto" w:sz="4" w:space="0"/>
              <w:left w:val="single" w:color="auto" w:sz="4" w:space="0"/>
              <w:bottom w:val="single" w:color="auto" w:sz="4" w:space="0"/>
              <w:right w:val="single" w:color="auto" w:sz="4" w:space="0"/>
            </w:tcBorders>
          </w:tcPr>
          <w:p w14:paraId="5CC081AD">
            <w:pPr>
              <w:pageBreakBefore w:val="0"/>
              <w:kinsoku/>
              <w:overflowPunct/>
              <w:topLinePunct w:val="0"/>
              <w:bidi w:val="0"/>
              <w:spacing w:after="0"/>
              <w:ind w:firstLine="0" w:firstLineChars="0"/>
              <w:jc w:val="center"/>
              <w:rPr>
                <w:rFonts w:hint="eastAsia" w:cs="宋体"/>
                <w:color w:val="36363D"/>
                <w:lang w:val="zh-CN"/>
              </w:rPr>
            </w:pPr>
          </w:p>
        </w:tc>
        <w:tc>
          <w:tcPr>
            <w:tcW w:w="2347" w:type="dxa"/>
            <w:tcBorders>
              <w:top w:val="single" w:color="auto" w:sz="4" w:space="0"/>
              <w:left w:val="single" w:color="auto" w:sz="4" w:space="0"/>
              <w:bottom w:val="single" w:color="auto" w:sz="4" w:space="0"/>
              <w:right w:val="single" w:color="auto" w:sz="4" w:space="0"/>
            </w:tcBorders>
          </w:tcPr>
          <w:p w14:paraId="1E58E0CD">
            <w:pPr>
              <w:pageBreakBefore w:val="0"/>
              <w:kinsoku/>
              <w:overflowPunct/>
              <w:topLinePunct w:val="0"/>
              <w:bidi w:val="0"/>
              <w:spacing w:after="0"/>
              <w:ind w:firstLine="0" w:firstLineChars="0"/>
              <w:jc w:val="center"/>
              <w:rPr>
                <w:rFonts w:hint="eastAsia" w:cs="宋体"/>
                <w:color w:val="36363D"/>
                <w:lang w:val="zh-CN"/>
              </w:rPr>
            </w:pPr>
          </w:p>
        </w:tc>
      </w:tr>
      <w:tr w14:paraId="43820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E5262D8C">
            <w:pPr>
              <w:pageBreakBefore w:val="0"/>
              <w:kinsoku/>
              <w:overflowPunct/>
              <w:topLinePunct w:val="0"/>
              <w:bidi w:val="0"/>
              <w:spacing w:after="0"/>
              <w:ind w:firstLine="0" w:firstLineChars="0"/>
              <w:jc w:val="center"/>
              <w:rPr>
                <w:rFonts w:hint="eastAsia" w:cs="宋体"/>
                <w:color w:val="36363D"/>
                <w:lang w:val="zh-CN"/>
              </w:rPr>
            </w:pPr>
            <w:r>
              <w:rPr>
                <w:rFonts w:hint="eastAsia" w:cs="宋体"/>
                <w:color w:val="36363D"/>
                <w:lang w:val="zh-CN"/>
              </w:rPr>
              <w:t>2</w:t>
            </w:r>
          </w:p>
        </w:tc>
        <w:tc>
          <w:tcPr>
            <w:tcW w:w="2160" w:type="dxa"/>
            <w:tcBorders>
              <w:top w:val="single" w:color="auto" w:sz="4" w:space="0"/>
              <w:left w:val="single" w:color="auto" w:sz="4" w:space="0"/>
              <w:bottom w:val="single" w:color="auto" w:sz="4" w:space="0"/>
              <w:right w:val="single" w:color="auto" w:sz="4" w:space="0"/>
            </w:tcBorders>
          </w:tcPr>
          <w:p w14:paraId="B5A6006D">
            <w:pPr>
              <w:pageBreakBefore w:val="0"/>
              <w:kinsoku/>
              <w:overflowPunct/>
              <w:topLinePunct w:val="0"/>
              <w:bidi w:val="0"/>
              <w:spacing w:after="0"/>
              <w:ind w:firstLine="0" w:firstLineChars="0"/>
              <w:jc w:val="center"/>
              <w:rPr>
                <w:rFonts w:hint="eastAsia" w:cs="宋体"/>
                <w:color w:val="36363D"/>
                <w:lang w:val="zh-CN"/>
              </w:rPr>
            </w:pPr>
          </w:p>
        </w:tc>
        <w:tc>
          <w:tcPr>
            <w:tcW w:w="1440" w:type="dxa"/>
            <w:tcBorders>
              <w:top w:val="single" w:color="auto" w:sz="4" w:space="0"/>
              <w:left w:val="single" w:color="auto" w:sz="4" w:space="0"/>
              <w:bottom w:val="single" w:color="auto" w:sz="4" w:space="0"/>
              <w:right w:val="single" w:color="auto" w:sz="4" w:space="0"/>
            </w:tcBorders>
          </w:tcPr>
          <w:p w14:paraId="E728AF1F">
            <w:pPr>
              <w:pageBreakBefore w:val="0"/>
              <w:kinsoku/>
              <w:overflowPunct/>
              <w:topLinePunct w:val="0"/>
              <w:bidi w:val="0"/>
              <w:spacing w:after="0"/>
              <w:ind w:firstLine="0" w:firstLineChars="0"/>
              <w:jc w:val="center"/>
              <w:rPr>
                <w:rFonts w:hint="eastAsia" w:cs="宋体"/>
                <w:color w:val="36363D"/>
                <w:lang w:val="zh-CN"/>
              </w:rPr>
            </w:pPr>
          </w:p>
        </w:tc>
        <w:tc>
          <w:tcPr>
            <w:tcW w:w="1066" w:type="dxa"/>
            <w:tcBorders>
              <w:top w:val="single" w:color="auto" w:sz="4" w:space="0"/>
              <w:left w:val="single" w:color="auto" w:sz="4" w:space="0"/>
              <w:bottom w:val="single" w:color="auto" w:sz="4" w:space="0"/>
              <w:right w:val="single" w:color="auto" w:sz="4" w:space="0"/>
            </w:tcBorders>
          </w:tcPr>
          <w:p w14:paraId="A2196B96">
            <w:pPr>
              <w:pageBreakBefore w:val="0"/>
              <w:kinsoku/>
              <w:overflowPunct/>
              <w:topLinePunct w:val="0"/>
              <w:bidi w:val="0"/>
              <w:spacing w:after="0"/>
              <w:ind w:firstLine="0" w:firstLineChars="0"/>
              <w:jc w:val="center"/>
              <w:rPr>
                <w:rFonts w:hint="eastAsia" w:cs="宋体"/>
                <w:color w:val="36363D"/>
                <w:lang w:val="zh-CN"/>
              </w:rPr>
            </w:pPr>
          </w:p>
        </w:tc>
        <w:tc>
          <w:tcPr>
            <w:tcW w:w="1627" w:type="dxa"/>
            <w:tcBorders>
              <w:top w:val="single" w:color="auto" w:sz="4" w:space="0"/>
              <w:left w:val="single" w:color="auto" w:sz="4" w:space="0"/>
              <w:bottom w:val="single" w:color="auto" w:sz="4" w:space="0"/>
              <w:right w:val="single" w:color="auto" w:sz="4" w:space="0"/>
            </w:tcBorders>
          </w:tcPr>
          <w:p w14:paraId="A169DDB4">
            <w:pPr>
              <w:pageBreakBefore w:val="0"/>
              <w:kinsoku/>
              <w:overflowPunct/>
              <w:topLinePunct w:val="0"/>
              <w:bidi w:val="0"/>
              <w:spacing w:after="0"/>
              <w:ind w:firstLine="0" w:firstLineChars="0"/>
              <w:jc w:val="center"/>
              <w:rPr>
                <w:rFonts w:hint="eastAsia" w:cs="宋体"/>
                <w:color w:val="36363D"/>
                <w:lang w:val="zh-CN"/>
              </w:rPr>
            </w:pPr>
          </w:p>
        </w:tc>
        <w:tc>
          <w:tcPr>
            <w:tcW w:w="2347" w:type="dxa"/>
            <w:tcBorders>
              <w:top w:val="single" w:color="auto" w:sz="4" w:space="0"/>
              <w:left w:val="single" w:color="auto" w:sz="4" w:space="0"/>
              <w:bottom w:val="single" w:color="auto" w:sz="4" w:space="0"/>
              <w:right w:val="single" w:color="auto" w:sz="4" w:space="0"/>
            </w:tcBorders>
          </w:tcPr>
          <w:p w14:paraId="D4A980AA">
            <w:pPr>
              <w:pageBreakBefore w:val="0"/>
              <w:kinsoku/>
              <w:overflowPunct/>
              <w:topLinePunct w:val="0"/>
              <w:bidi w:val="0"/>
              <w:spacing w:after="0"/>
              <w:ind w:firstLine="0" w:firstLineChars="0"/>
              <w:jc w:val="center"/>
              <w:rPr>
                <w:rFonts w:hint="eastAsia" w:cs="宋体"/>
                <w:color w:val="36363D"/>
                <w:lang w:val="zh-CN"/>
              </w:rPr>
            </w:pPr>
          </w:p>
        </w:tc>
      </w:tr>
      <w:tr w14:paraId="BCCDE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D28363E4">
            <w:pPr>
              <w:pageBreakBefore w:val="0"/>
              <w:kinsoku/>
              <w:overflowPunct/>
              <w:topLinePunct w:val="0"/>
              <w:bidi w:val="0"/>
              <w:spacing w:after="0"/>
              <w:ind w:firstLine="0" w:firstLineChars="0"/>
              <w:jc w:val="center"/>
              <w:rPr>
                <w:rFonts w:hint="eastAsia" w:cs="宋体"/>
                <w:color w:val="36363D"/>
                <w:lang w:val="zh-CN"/>
              </w:rPr>
            </w:pPr>
            <w:r>
              <w:rPr>
                <w:rFonts w:hint="eastAsia" w:cs="宋体"/>
                <w:color w:val="36363D"/>
                <w:lang w:val="zh-CN"/>
              </w:rPr>
              <w:t>3</w:t>
            </w:r>
          </w:p>
        </w:tc>
        <w:tc>
          <w:tcPr>
            <w:tcW w:w="2160" w:type="dxa"/>
            <w:tcBorders>
              <w:top w:val="single" w:color="auto" w:sz="4" w:space="0"/>
              <w:left w:val="single" w:color="auto" w:sz="4" w:space="0"/>
              <w:bottom w:val="single" w:color="auto" w:sz="4" w:space="0"/>
              <w:right w:val="single" w:color="auto" w:sz="4" w:space="0"/>
            </w:tcBorders>
          </w:tcPr>
          <w:p w14:paraId="91C5CEA1">
            <w:pPr>
              <w:pageBreakBefore w:val="0"/>
              <w:kinsoku/>
              <w:overflowPunct/>
              <w:topLinePunct w:val="0"/>
              <w:bidi w:val="0"/>
              <w:spacing w:after="0"/>
              <w:ind w:firstLine="0" w:firstLineChars="0"/>
              <w:jc w:val="center"/>
              <w:rPr>
                <w:rFonts w:hint="eastAsia" w:cs="宋体"/>
                <w:color w:val="36363D"/>
                <w:lang w:val="zh-CN"/>
              </w:rPr>
            </w:pPr>
          </w:p>
        </w:tc>
        <w:tc>
          <w:tcPr>
            <w:tcW w:w="1440" w:type="dxa"/>
            <w:tcBorders>
              <w:top w:val="single" w:color="auto" w:sz="4" w:space="0"/>
              <w:left w:val="single" w:color="auto" w:sz="4" w:space="0"/>
              <w:bottom w:val="single" w:color="auto" w:sz="4" w:space="0"/>
              <w:right w:val="single" w:color="auto" w:sz="4" w:space="0"/>
            </w:tcBorders>
          </w:tcPr>
          <w:p w14:paraId="6B27C0A2">
            <w:pPr>
              <w:pageBreakBefore w:val="0"/>
              <w:kinsoku/>
              <w:overflowPunct/>
              <w:topLinePunct w:val="0"/>
              <w:bidi w:val="0"/>
              <w:spacing w:after="0"/>
              <w:ind w:firstLine="0" w:firstLineChars="0"/>
              <w:jc w:val="center"/>
              <w:rPr>
                <w:rFonts w:hint="eastAsia" w:cs="宋体"/>
                <w:color w:val="36363D"/>
                <w:lang w:val="zh-CN"/>
              </w:rPr>
            </w:pPr>
          </w:p>
        </w:tc>
        <w:tc>
          <w:tcPr>
            <w:tcW w:w="1066" w:type="dxa"/>
            <w:tcBorders>
              <w:top w:val="single" w:color="auto" w:sz="4" w:space="0"/>
              <w:left w:val="single" w:color="auto" w:sz="4" w:space="0"/>
              <w:bottom w:val="single" w:color="auto" w:sz="4" w:space="0"/>
              <w:right w:val="single" w:color="auto" w:sz="4" w:space="0"/>
            </w:tcBorders>
          </w:tcPr>
          <w:p w14:paraId="875D89B3">
            <w:pPr>
              <w:pageBreakBefore w:val="0"/>
              <w:kinsoku/>
              <w:overflowPunct/>
              <w:topLinePunct w:val="0"/>
              <w:bidi w:val="0"/>
              <w:spacing w:after="0"/>
              <w:ind w:firstLine="0" w:firstLineChars="0"/>
              <w:jc w:val="center"/>
              <w:rPr>
                <w:rFonts w:hint="eastAsia" w:cs="宋体"/>
                <w:color w:val="36363D"/>
                <w:lang w:val="zh-CN"/>
              </w:rPr>
            </w:pPr>
          </w:p>
        </w:tc>
        <w:tc>
          <w:tcPr>
            <w:tcW w:w="1627" w:type="dxa"/>
            <w:tcBorders>
              <w:top w:val="single" w:color="auto" w:sz="4" w:space="0"/>
              <w:left w:val="single" w:color="auto" w:sz="4" w:space="0"/>
              <w:bottom w:val="single" w:color="auto" w:sz="4" w:space="0"/>
              <w:right w:val="single" w:color="auto" w:sz="4" w:space="0"/>
            </w:tcBorders>
          </w:tcPr>
          <w:p w14:paraId="D69CC1C5">
            <w:pPr>
              <w:pageBreakBefore w:val="0"/>
              <w:kinsoku/>
              <w:overflowPunct/>
              <w:topLinePunct w:val="0"/>
              <w:bidi w:val="0"/>
              <w:spacing w:after="0"/>
              <w:ind w:firstLine="0" w:firstLineChars="0"/>
              <w:jc w:val="center"/>
              <w:rPr>
                <w:rFonts w:hint="eastAsia" w:cs="宋体"/>
                <w:color w:val="36363D"/>
                <w:lang w:val="zh-CN"/>
              </w:rPr>
            </w:pPr>
          </w:p>
        </w:tc>
        <w:tc>
          <w:tcPr>
            <w:tcW w:w="2347" w:type="dxa"/>
            <w:tcBorders>
              <w:top w:val="single" w:color="auto" w:sz="4" w:space="0"/>
              <w:left w:val="single" w:color="auto" w:sz="4" w:space="0"/>
              <w:bottom w:val="single" w:color="auto" w:sz="4" w:space="0"/>
              <w:right w:val="single" w:color="auto" w:sz="4" w:space="0"/>
            </w:tcBorders>
          </w:tcPr>
          <w:p w14:paraId="8A44696B">
            <w:pPr>
              <w:pageBreakBefore w:val="0"/>
              <w:kinsoku/>
              <w:overflowPunct/>
              <w:topLinePunct w:val="0"/>
              <w:bidi w:val="0"/>
              <w:spacing w:after="0"/>
              <w:ind w:firstLine="0" w:firstLineChars="0"/>
              <w:jc w:val="center"/>
              <w:rPr>
                <w:rFonts w:hint="eastAsia" w:cs="宋体"/>
                <w:color w:val="36363D"/>
                <w:lang w:val="zh-CN"/>
              </w:rPr>
            </w:pPr>
          </w:p>
        </w:tc>
      </w:tr>
      <w:tr w14:paraId="DE08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9EEDF2C">
            <w:pPr>
              <w:pageBreakBefore w:val="0"/>
              <w:kinsoku/>
              <w:overflowPunct/>
              <w:topLinePunct w:val="0"/>
              <w:bidi w:val="0"/>
              <w:spacing w:after="0"/>
              <w:ind w:firstLine="0" w:firstLineChars="0"/>
              <w:jc w:val="center"/>
              <w:rPr>
                <w:rFonts w:hint="eastAsia" w:cs="宋体"/>
                <w:color w:val="36363D"/>
                <w:lang w:val="zh-CN"/>
              </w:rPr>
            </w:pPr>
            <w:r>
              <w:rPr>
                <w:rFonts w:hint="eastAsia" w:cs="宋体"/>
                <w:color w:val="36363D"/>
                <w:lang w:val="zh-CN"/>
              </w:rPr>
              <w:t>4</w:t>
            </w:r>
          </w:p>
        </w:tc>
        <w:tc>
          <w:tcPr>
            <w:tcW w:w="2160" w:type="dxa"/>
            <w:tcBorders>
              <w:top w:val="single" w:color="auto" w:sz="4" w:space="0"/>
              <w:left w:val="single" w:color="auto" w:sz="4" w:space="0"/>
              <w:bottom w:val="single" w:color="auto" w:sz="4" w:space="0"/>
              <w:right w:val="single" w:color="auto" w:sz="4" w:space="0"/>
            </w:tcBorders>
          </w:tcPr>
          <w:p w14:paraId="6DDF40FF">
            <w:pPr>
              <w:pageBreakBefore w:val="0"/>
              <w:kinsoku/>
              <w:overflowPunct/>
              <w:topLinePunct w:val="0"/>
              <w:bidi w:val="0"/>
              <w:spacing w:after="0"/>
              <w:ind w:firstLine="0" w:firstLineChars="0"/>
              <w:jc w:val="center"/>
              <w:rPr>
                <w:rFonts w:hint="eastAsia" w:cs="宋体"/>
                <w:color w:val="36363D"/>
                <w:lang w:val="zh-CN"/>
              </w:rPr>
            </w:pPr>
          </w:p>
        </w:tc>
        <w:tc>
          <w:tcPr>
            <w:tcW w:w="1440" w:type="dxa"/>
            <w:tcBorders>
              <w:top w:val="single" w:color="auto" w:sz="4" w:space="0"/>
              <w:left w:val="single" w:color="auto" w:sz="4" w:space="0"/>
              <w:bottom w:val="single" w:color="auto" w:sz="4" w:space="0"/>
              <w:right w:val="single" w:color="auto" w:sz="4" w:space="0"/>
            </w:tcBorders>
          </w:tcPr>
          <w:p w14:paraId="C6A1E3EB">
            <w:pPr>
              <w:pageBreakBefore w:val="0"/>
              <w:kinsoku/>
              <w:overflowPunct/>
              <w:topLinePunct w:val="0"/>
              <w:bidi w:val="0"/>
              <w:spacing w:after="0"/>
              <w:ind w:firstLine="0" w:firstLineChars="0"/>
              <w:jc w:val="center"/>
              <w:rPr>
                <w:rFonts w:hint="eastAsia" w:cs="宋体"/>
                <w:color w:val="36363D"/>
                <w:lang w:val="zh-CN"/>
              </w:rPr>
            </w:pPr>
          </w:p>
        </w:tc>
        <w:tc>
          <w:tcPr>
            <w:tcW w:w="1066" w:type="dxa"/>
            <w:tcBorders>
              <w:top w:val="single" w:color="auto" w:sz="4" w:space="0"/>
              <w:left w:val="single" w:color="auto" w:sz="4" w:space="0"/>
              <w:bottom w:val="single" w:color="auto" w:sz="4" w:space="0"/>
              <w:right w:val="single" w:color="auto" w:sz="4" w:space="0"/>
            </w:tcBorders>
          </w:tcPr>
          <w:p w14:paraId="41557757">
            <w:pPr>
              <w:pageBreakBefore w:val="0"/>
              <w:kinsoku/>
              <w:overflowPunct/>
              <w:topLinePunct w:val="0"/>
              <w:bidi w:val="0"/>
              <w:spacing w:after="0"/>
              <w:ind w:firstLine="0" w:firstLineChars="0"/>
              <w:jc w:val="center"/>
              <w:rPr>
                <w:rFonts w:hint="eastAsia" w:cs="宋体"/>
                <w:color w:val="36363D"/>
                <w:lang w:val="zh-CN"/>
              </w:rPr>
            </w:pPr>
          </w:p>
        </w:tc>
        <w:tc>
          <w:tcPr>
            <w:tcW w:w="1627" w:type="dxa"/>
            <w:tcBorders>
              <w:top w:val="single" w:color="auto" w:sz="4" w:space="0"/>
              <w:left w:val="single" w:color="auto" w:sz="4" w:space="0"/>
              <w:bottom w:val="single" w:color="auto" w:sz="4" w:space="0"/>
              <w:right w:val="single" w:color="auto" w:sz="4" w:space="0"/>
            </w:tcBorders>
          </w:tcPr>
          <w:p w14:paraId="94416E54">
            <w:pPr>
              <w:pageBreakBefore w:val="0"/>
              <w:kinsoku/>
              <w:overflowPunct/>
              <w:topLinePunct w:val="0"/>
              <w:bidi w:val="0"/>
              <w:spacing w:after="0"/>
              <w:ind w:firstLine="0" w:firstLineChars="0"/>
              <w:jc w:val="center"/>
              <w:rPr>
                <w:rFonts w:hint="eastAsia" w:cs="宋体"/>
                <w:color w:val="36363D"/>
                <w:lang w:val="zh-CN"/>
              </w:rPr>
            </w:pPr>
          </w:p>
        </w:tc>
        <w:tc>
          <w:tcPr>
            <w:tcW w:w="2347" w:type="dxa"/>
            <w:tcBorders>
              <w:top w:val="single" w:color="auto" w:sz="4" w:space="0"/>
              <w:left w:val="single" w:color="auto" w:sz="4" w:space="0"/>
              <w:bottom w:val="single" w:color="auto" w:sz="4" w:space="0"/>
              <w:right w:val="single" w:color="auto" w:sz="4" w:space="0"/>
            </w:tcBorders>
          </w:tcPr>
          <w:p w14:paraId="06CF91C9">
            <w:pPr>
              <w:pageBreakBefore w:val="0"/>
              <w:kinsoku/>
              <w:overflowPunct/>
              <w:topLinePunct w:val="0"/>
              <w:bidi w:val="0"/>
              <w:spacing w:after="0"/>
              <w:ind w:firstLine="0" w:firstLineChars="0"/>
              <w:jc w:val="center"/>
              <w:rPr>
                <w:rFonts w:hint="eastAsia" w:cs="宋体"/>
                <w:color w:val="36363D"/>
                <w:lang w:val="zh-CN"/>
              </w:rPr>
            </w:pPr>
          </w:p>
        </w:tc>
      </w:tr>
      <w:tr w14:paraId="AABF5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C5F38A1E">
            <w:pPr>
              <w:pageBreakBefore w:val="0"/>
              <w:kinsoku/>
              <w:overflowPunct/>
              <w:topLinePunct w:val="0"/>
              <w:bidi w:val="0"/>
              <w:spacing w:after="0"/>
              <w:ind w:firstLine="0" w:firstLineChars="0"/>
              <w:jc w:val="center"/>
              <w:rPr>
                <w:rFonts w:hint="eastAsia" w:cs="宋体"/>
                <w:color w:val="36363D"/>
                <w:lang w:val="zh-CN"/>
              </w:rPr>
            </w:pPr>
            <w:r>
              <w:rPr>
                <w:rFonts w:hint="eastAsia" w:cs="宋体"/>
                <w:color w:val="36363D"/>
                <w:lang w:val="zh-CN"/>
              </w:rPr>
              <w:t>5</w:t>
            </w:r>
          </w:p>
        </w:tc>
        <w:tc>
          <w:tcPr>
            <w:tcW w:w="2160" w:type="dxa"/>
            <w:tcBorders>
              <w:top w:val="single" w:color="auto" w:sz="4" w:space="0"/>
              <w:left w:val="single" w:color="auto" w:sz="4" w:space="0"/>
              <w:bottom w:val="single" w:color="auto" w:sz="4" w:space="0"/>
              <w:right w:val="single" w:color="auto" w:sz="4" w:space="0"/>
            </w:tcBorders>
          </w:tcPr>
          <w:p w14:paraId="B6CBA19A">
            <w:pPr>
              <w:pageBreakBefore w:val="0"/>
              <w:kinsoku/>
              <w:overflowPunct/>
              <w:topLinePunct w:val="0"/>
              <w:bidi w:val="0"/>
              <w:spacing w:after="0"/>
              <w:ind w:firstLine="0" w:firstLineChars="0"/>
              <w:jc w:val="center"/>
              <w:rPr>
                <w:rFonts w:hint="eastAsia" w:cs="宋体"/>
                <w:color w:val="36363D"/>
                <w:lang w:val="zh-CN"/>
              </w:rPr>
            </w:pPr>
          </w:p>
        </w:tc>
        <w:tc>
          <w:tcPr>
            <w:tcW w:w="1440" w:type="dxa"/>
            <w:tcBorders>
              <w:top w:val="single" w:color="auto" w:sz="4" w:space="0"/>
              <w:left w:val="single" w:color="auto" w:sz="4" w:space="0"/>
              <w:bottom w:val="single" w:color="auto" w:sz="4" w:space="0"/>
              <w:right w:val="single" w:color="auto" w:sz="4" w:space="0"/>
            </w:tcBorders>
          </w:tcPr>
          <w:p w14:paraId="DD6C9F2A">
            <w:pPr>
              <w:pageBreakBefore w:val="0"/>
              <w:kinsoku/>
              <w:overflowPunct/>
              <w:topLinePunct w:val="0"/>
              <w:bidi w:val="0"/>
              <w:spacing w:after="0"/>
              <w:ind w:firstLine="0" w:firstLineChars="0"/>
              <w:jc w:val="center"/>
              <w:rPr>
                <w:rFonts w:hint="eastAsia" w:cs="宋体"/>
                <w:color w:val="36363D"/>
                <w:lang w:val="zh-CN"/>
              </w:rPr>
            </w:pPr>
          </w:p>
        </w:tc>
        <w:tc>
          <w:tcPr>
            <w:tcW w:w="1066" w:type="dxa"/>
            <w:tcBorders>
              <w:top w:val="single" w:color="auto" w:sz="4" w:space="0"/>
              <w:left w:val="single" w:color="auto" w:sz="4" w:space="0"/>
              <w:bottom w:val="single" w:color="auto" w:sz="4" w:space="0"/>
              <w:right w:val="single" w:color="auto" w:sz="4" w:space="0"/>
            </w:tcBorders>
          </w:tcPr>
          <w:p w14:paraId="740C1BFE">
            <w:pPr>
              <w:pageBreakBefore w:val="0"/>
              <w:kinsoku/>
              <w:overflowPunct/>
              <w:topLinePunct w:val="0"/>
              <w:bidi w:val="0"/>
              <w:spacing w:after="0"/>
              <w:ind w:firstLine="0" w:firstLineChars="0"/>
              <w:jc w:val="center"/>
              <w:rPr>
                <w:rFonts w:hint="eastAsia" w:cs="宋体"/>
                <w:color w:val="36363D"/>
                <w:lang w:val="zh-CN"/>
              </w:rPr>
            </w:pPr>
          </w:p>
        </w:tc>
        <w:tc>
          <w:tcPr>
            <w:tcW w:w="1627" w:type="dxa"/>
            <w:tcBorders>
              <w:top w:val="single" w:color="auto" w:sz="4" w:space="0"/>
              <w:left w:val="single" w:color="auto" w:sz="4" w:space="0"/>
              <w:bottom w:val="single" w:color="auto" w:sz="4" w:space="0"/>
              <w:right w:val="single" w:color="auto" w:sz="4" w:space="0"/>
            </w:tcBorders>
          </w:tcPr>
          <w:p w14:paraId="FC92F9B1">
            <w:pPr>
              <w:pageBreakBefore w:val="0"/>
              <w:kinsoku/>
              <w:overflowPunct/>
              <w:topLinePunct w:val="0"/>
              <w:bidi w:val="0"/>
              <w:spacing w:after="0"/>
              <w:ind w:firstLine="0" w:firstLineChars="0"/>
              <w:jc w:val="center"/>
              <w:rPr>
                <w:rFonts w:hint="eastAsia" w:cs="宋体"/>
                <w:color w:val="36363D"/>
                <w:lang w:val="zh-CN"/>
              </w:rPr>
            </w:pPr>
          </w:p>
        </w:tc>
        <w:tc>
          <w:tcPr>
            <w:tcW w:w="2347" w:type="dxa"/>
            <w:tcBorders>
              <w:top w:val="single" w:color="auto" w:sz="4" w:space="0"/>
              <w:left w:val="single" w:color="auto" w:sz="4" w:space="0"/>
              <w:bottom w:val="single" w:color="auto" w:sz="4" w:space="0"/>
              <w:right w:val="single" w:color="auto" w:sz="4" w:space="0"/>
            </w:tcBorders>
          </w:tcPr>
          <w:p w14:paraId="B46032DB">
            <w:pPr>
              <w:pageBreakBefore w:val="0"/>
              <w:kinsoku/>
              <w:overflowPunct/>
              <w:topLinePunct w:val="0"/>
              <w:bidi w:val="0"/>
              <w:spacing w:after="0"/>
              <w:ind w:firstLine="0" w:firstLineChars="0"/>
              <w:jc w:val="center"/>
              <w:rPr>
                <w:rFonts w:hint="eastAsia" w:cs="宋体"/>
                <w:color w:val="36363D"/>
                <w:lang w:val="zh-CN"/>
              </w:rPr>
            </w:pPr>
          </w:p>
        </w:tc>
      </w:tr>
      <w:tr w14:paraId="CF13B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B19C1087">
            <w:pPr>
              <w:pageBreakBefore w:val="0"/>
              <w:kinsoku/>
              <w:overflowPunct/>
              <w:topLinePunct w:val="0"/>
              <w:bidi w:val="0"/>
              <w:spacing w:after="0"/>
              <w:ind w:firstLine="0" w:firstLineChars="0"/>
              <w:jc w:val="center"/>
              <w:rPr>
                <w:rFonts w:hint="eastAsia" w:cs="宋体"/>
                <w:color w:val="36363D"/>
                <w:lang w:val="zh-CN"/>
              </w:rPr>
            </w:pPr>
            <w:r>
              <w:rPr>
                <w:rFonts w:hint="eastAsia" w:cs="宋体"/>
                <w:color w:val="36363D"/>
                <w:lang w:val="zh-CN"/>
              </w:rPr>
              <w:t>6</w:t>
            </w:r>
          </w:p>
        </w:tc>
        <w:tc>
          <w:tcPr>
            <w:tcW w:w="2160" w:type="dxa"/>
            <w:tcBorders>
              <w:top w:val="single" w:color="auto" w:sz="4" w:space="0"/>
              <w:left w:val="single" w:color="auto" w:sz="4" w:space="0"/>
              <w:bottom w:val="single" w:color="auto" w:sz="4" w:space="0"/>
              <w:right w:val="single" w:color="auto" w:sz="4" w:space="0"/>
            </w:tcBorders>
          </w:tcPr>
          <w:p w14:paraId="34E08EB1">
            <w:pPr>
              <w:pageBreakBefore w:val="0"/>
              <w:kinsoku/>
              <w:overflowPunct/>
              <w:topLinePunct w:val="0"/>
              <w:bidi w:val="0"/>
              <w:spacing w:after="0"/>
              <w:ind w:firstLine="0" w:firstLineChars="0"/>
              <w:jc w:val="center"/>
              <w:rPr>
                <w:rFonts w:hint="eastAsia" w:cs="宋体"/>
                <w:color w:val="36363D"/>
                <w:lang w:val="zh-CN"/>
              </w:rPr>
            </w:pPr>
          </w:p>
        </w:tc>
        <w:tc>
          <w:tcPr>
            <w:tcW w:w="1440" w:type="dxa"/>
            <w:tcBorders>
              <w:top w:val="single" w:color="auto" w:sz="4" w:space="0"/>
              <w:left w:val="single" w:color="auto" w:sz="4" w:space="0"/>
              <w:bottom w:val="single" w:color="auto" w:sz="4" w:space="0"/>
              <w:right w:val="single" w:color="auto" w:sz="4" w:space="0"/>
            </w:tcBorders>
          </w:tcPr>
          <w:p w14:paraId="48D2C721">
            <w:pPr>
              <w:pageBreakBefore w:val="0"/>
              <w:kinsoku/>
              <w:overflowPunct/>
              <w:topLinePunct w:val="0"/>
              <w:bidi w:val="0"/>
              <w:spacing w:after="0"/>
              <w:ind w:firstLine="0" w:firstLineChars="0"/>
              <w:jc w:val="center"/>
              <w:rPr>
                <w:rFonts w:hint="eastAsia" w:cs="宋体"/>
                <w:color w:val="36363D"/>
                <w:lang w:val="zh-CN"/>
              </w:rPr>
            </w:pPr>
          </w:p>
        </w:tc>
        <w:tc>
          <w:tcPr>
            <w:tcW w:w="1066" w:type="dxa"/>
            <w:tcBorders>
              <w:top w:val="single" w:color="auto" w:sz="4" w:space="0"/>
              <w:left w:val="single" w:color="auto" w:sz="4" w:space="0"/>
              <w:bottom w:val="single" w:color="auto" w:sz="4" w:space="0"/>
              <w:right w:val="single" w:color="auto" w:sz="4" w:space="0"/>
            </w:tcBorders>
          </w:tcPr>
          <w:p w14:paraId="BA9AE599">
            <w:pPr>
              <w:pageBreakBefore w:val="0"/>
              <w:kinsoku/>
              <w:overflowPunct/>
              <w:topLinePunct w:val="0"/>
              <w:bidi w:val="0"/>
              <w:spacing w:after="0"/>
              <w:ind w:firstLine="0" w:firstLineChars="0"/>
              <w:jc w:val="center"/>
              <w:rPr>
                <w:rFonts w:hint="eastAsia" w:cs="宋体"/>
                <w:color w:val="36363D"/>
                <w:lang w:val="zh-CN"/>
              </w:rPr>
            </w:pPr>
          </w:p>
        </w:tc>
        <w:tc>
          <w:tcPr>
            <w:tcW w:w="1627" w:type="dxa"/>
            <w:tcBorders>
              <w:top w:val="single" w:color="auto" w:sz="4" w:space="0"/>
              <w:left w:val="single" w:color="auto" w:sz="4" w:space="0"/>
              <w:bottom w:val="single" w:color="auto" w:sz="4" w:space="0"/>
              <w:right w:val="single" w:color="auto" w:sz="4" w:space="0"/>
            </w:tcBorders>
          </w:tcPr>
          <w:p w14:paraId="CF1F6184">
            <w:pPr>
              <w:pageBreakBefore w:val="0"/>
              <w:kinsoku/>
              <w:overflowPunct/>
              <w:topLinePunct w:val="0"/>
              <w:bidi w:val="0"/>
              <w:spacing w:after="0"/>
              <w:ind w:firstLine="0" w:firstLineChars="0"/>
              <w:jc w:val="center"/>
              <w:rPr>
                <w:rFonts w:hint="eastAsia" w:cs="宋体"/>
                <w:color w:val="36363D"/>
                <w:lang w:val="zh-CN"/>
              </w:rPr>
            </w:pPr>
          </w:p>
        </w:tc>
        <w:tc>
          <w:tcPr>
            <w:tcW w:w="2347" w:type="dxa"/>
            <w:tcBorders>
              <w:top w:val="single" w:color="auto" w:sz="4" w:space="0"/>
              <w:left w:val="single" w:color="auto" w:sz="4" w:space="0"/>
              <w:bottom w:val="single" w:color="auto" w:sz="4" w:space="0"/>
              <w:right w:val="single" w:color="auto" w:sz="4" w:space="0"/>
            </w:tcBorders>
          </w:tcPr>
          <w:p w14:paraId="CA29FD45">
            <w:pPr>
              <w:pageBreakBefore w:val="0"/>
              <w:kinsoku/>
              <w:overflowPunct/>
              <w:topLinePunct w:val="0"/>
              <w:bidi w:val="0"/>
              <w:spacing w:after="0"/>
              <w:ind w:firstLine="0" w:firstLineChars="0"/>
              <w:jc w:val="center"/>
              <w:rPr>
                <w:rFonts w:hint="eastAsia" w:cs="宋体"/>
                <w:color w:val="36363D"/>
                <w:lang w:val="zh-CN"/>
              </w:rPr>
            </w:pPr>
          </w:p>
        </w:tc>
      </w:tr>
      <w:tr w14:paraId="5D31C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64823C5">
            <w:pPr>
              <w:pageBreakBefore w:val="0"/>
              <w:kinsoku/>
              <w:overflowPunct/>
              <w:topLinePunct w:val="0"/>
              <w:bidi w:val="0"/>
              <w:spacing w:after="0"/>
              <w:ind w:firstLine="0" w:firstLineChars="0"/>
              <w:jc w:val="center"/>
              <w:rPr>
                <w:rFonts w:hint="eastAsia" w:cs="宋体"/>
                <w:color w:val="36363D"/>
                <w:lang w:val="zh-CN"/>
              </w:rPr>
            </w:pPr>
            <w:r>
              <w:rPr>
                <w:rFonts w:hint="eastAsia" w:cs="宋体"/>
                <w:color w:val="36363D"/>
                <w:lang w:val="zh-CN"/>
              </w:rPr>
              <w:t>7</w:t>
            </w:r>
          </w:p>
        </w:tc>
        <w:tc>
          <w:tcPr>
            <w:tcW w:w="2160" w:type="dxa"/>
            <w:tcBorders>
              <w:top w:val="single" w:color="auto" w:sz="4" w:space="0"/>
              <w:left w:val="single" w:color="auto" w:sz="4" w:space="0"/>
              <w:bottom w:val="single" w:color="auto" w:sz="4" w:space="0"/>
              <w:right w:val="single" w:color="auto" w:sz="4" w:space="0"/>
            </w:tcBorders>
          </w:tcPr>
          <w:p w14:paraId="0283DF9E">
            <w:pPr>
              <w:pageBreakBefore w:val="0"/>
              <w:kinsoku/>
              <w:overflowPunct/>
              <w:topLinePunct w:val="0"/>
              <w:bidi w:val="0"/>
              <w:spacing w:after="0"/>
              <w:ind w:firstLine="0" w:firstLineChars="0"/>
              <w:jc w:val="center"/>
              <w:rPr>
                <w:rFonts w:hint="eastAsia" w:cs="宋体"/>
                <w:color w:val="36363D"/>
                <w:lang w:val="zh-CN"/>
              </w:rPr>
            </w:pPr>
          </w:p>
        </w:tc>
        <w:tc>
          <w:tcPr>
            <w:tcW w:w="1440" w:type="dxa"/>
            <w:tcBorders>
              <w:top w:val="single" w:color="auto" w:sz="4" w:space="0"/>
              <w:left w:val="single" w:color="auto" w:sz="4" w:space="0"/>
              <w:bottom w:val="single" w:color="auto" w:sz="4" w:space="0"/>
              <w:right w:val="single" w:color="auto" w:sz="4" w:space="0"/>
            </w:tcBorders>
          </w:tcPr>
          <w:p w14:paraId="EEB1EA3A">
            <w:pPr>
              <w:pageBreakBefore w:val="0"/>
              <w:kinsoku/>
              <w:overflowPunct/>
              <w:topLinePunct w:val="0"/>
              <w:bidi w:val="0"/>
              <w:spacing w:after="0"/>
              <w:ind w:firstLine="0" w:firstLineChars="0"/>
              <w:jc w:val="center"/>
              <w:rPr>
                <w:rFonts w:hint="eastAsia" w:cs="宋体"/>
                <w:color w:val="36363D"/>
                <w:lang w:val="zh-CN"/>
              </w:rPr>
            </w:pPr>
          </w:p>
        </w:tc>
        <w:tc>
          <w:tcPr>
            <w:tcW w:w="1066" w:type="dxa"/>
            <w:tcBorders>
              <w:top w:val="single" w:color="auto" w:sz="4" w:space="0"/>
              <w:left w:val="single" w:color="auto" w:sz="4" w:space="0"/>
              <w:bottom w:val="single" w:color="auto" w:sz="4" w:space="0"/>
              <w:right w:val="single" w:color="auto" w:sz="4" w:space="0"/>
            </w:tcBorders>
          </w:tcPr>
          <w:p w14:paraId="760DD97E">
            <w:pPr>
              <w:pageBreakBefore w:val="0"/>
              <w:kinsoku/>
              <w:overflowPunct/>
              <w:topLinePunct w:val="0"/>
              <w:bidi w:val="0"/>
              <w:spacing w:after="0"/>
              <w:ind w:firstLine="0" w:firstLineChars="0"/>
              <w:jc w:val="center"/>
              <w:rPr>
                <w:rFonts w:hint="eastAsia" w:cs="宋体"/>
                <w:color w:val="36363D"/>
                <w:lang w:val="zh-CN"/>
              </w:rPr>
            </w:pPr>
          </w:p>
        </w:tc>
        <w:tc>
          <w:tcPr>
            <w:tcW w:w="1627" w:type="dxa"/>
            <w:tcBorders>
              <w:top w:val="single" w:color="auto" w:sz="4" w:space="0"/>
              <w:left w:val="single" w:color="auto" w:sz="4" w:space="0"/>
              <w:bottom w:val="single" w:color="auto" w:sz="4" w:space="0"/>
              <w:right w:val="single" w:color="auto" w:sz="4" w:space="0"/>
            </w:tcBorders>
          </w:tcPr>
          <w:p w14:paraId="4F4BC35A">
            <w:pPr>
              <w:pageBreakBefore w:val="0"/>
              <w:kinsoku/>
              <w:overflowPunct/>
              <w:topLinePunct w:val="0"/>
              <w:bidi w:val="0"/>
              <w:spacing w:after="0"/>
              <w:ind w:firstLine="0" w:firstLineChars="0"/>
              <w:jc w:val="center"/>
              <w:rPr>
                <w:rFonts w:hint="eastAsia" w:cs="宋体"/>
                <w:color w:val="36363D"/>
                <w:lang w:val="zh-CN"/>
              </w:rPr>
            </w:pPr>
          </w:p>
        </w:tc>
        <w:tc>
          <w:tcPr>
            <w:tcW w:w="2347" w:type="dxa"/>
            <w:tcBorders>
              <w:top w:val="single" w:color="auto" w:sz="4" w:space="0"/>
              <w:left w:val="single" w:color="auto" w:sz="4" w:space="0"/>
              <w:bottom w:val="single" w:color="auto" w:sz="4" w:space="0"/>
              <w:right w:val="single" w:color="auto" w:sz="4" w:space="0"/>
            </w:tcBorders>
          </w:tcPr>
          <w:p w14:paraId="5A06B4C4">
            <w:pPr>
              <w:pageBreakBefore w:val="0"/>
              <w:kinsoku/>
              <w:overflowPunct/>
              <w:topLinePunct w:val="0"/>
              <w:bidi w:val="0"/>
              <w:spacing w:after="0"/>
              <w:ind w:firstLine="0" w:firstLineChars="0"/>
              <w:jc w:val="center"/>
              <w:rPr>
                <w:rFonts w:hint="eastAsia" w:cs="宋体"/>
                <w:color w:val="36363D"/>
                <w:lang w:val="zh-CN"/>
              </w:rPr>
            </w:pPr>
          </w:p>
        </w:tc>
      </w:tr>
    </w:tbl>
    <w:p w14:paraId="87EB7842">
      <w:pPr>
        <w:pageBreakBefore w:val="0"/>
        <w:kinsoku/>
        <w:overflowPunct/>
        <w:topLinePunct w:val="0"/>
        <w:bidi w:val="0"/>
        <w:spacing w:after="0"/>
        <w:ind w:firstLine="480"/>
        <w:rPr>
          <w:rFonts w:hint="eastAsia" w:cs="宋体"/>
          <w:color w:val="36363D"/>
        </w:rPr>
      </w:pPr>
      <w:r>
        <w:rPr>
          <w:rFonts w:hint="eastAsia" w:cs="宋体"/>
          <w:color w:val="36363D"/>
        </w:rPr>
        <w:t>投标人名称（公章）：</w:t>
      </w:r>
    </w:p>
    <w:p w14:paraId="F179FB9C">
      <w:pPr>
        <w:pageBreakBefore w:val="0"/>
        <w:kinsoku/>
        <w:overflowPunct/>
        <w:topLinePunct w:val="0"/>
        <w:bidi w:val="0"/>
        <w:spacing w:after="0"/>
        <w:ind w:firstLine="480"/>
        <w:rPr>
          <w:rFonts w:hint="eastAsia" w:cs="宋体"/>
          <w:color w:val="36363D"/>
        </w:rPr>
      </w:pPr>
      <w:r>
        <w:rPr>
          <w:rFonts w:hint="eastAsia" w:cs="宋体"/>
          <w:color w:val="36363D"/>
        </w:rPr>
        <w:t>法定代表人或其全权代表（签字或盖章）：</w:t>
      </w:r>
    </w:p>
    <w:p w14:paraId="B5FF9884">
      <w:pPr>
        <w:pageBreakBefore w:val="0"/>
        <w:kinsoku/>
        <w:overflowPunct/>
        <w:topLinePunct w:val="0"/>
        <w:bidi w:val="0"/>
        <w:spacing w:after="0"/>
        <w:ind w:firstLine="480"/>
        <w:rPr>
          <w:rFonts w:hint="eastAsia" w:cs="宋体"/>
          <w:color w:val="36363D"/>
        </w:rPr>
      </w:pPr>
      <w:r>
        <w:rPr>
          <w:rFonts w:hint="eastAsia" w:cs="宋体"/>
          <w:color w:val="36363D"/>
        </w:rPr>
        <w:t>日期：  年   月   日</w:t>
      </w:r>
    </w:p>
    <w:p w14:paraId="81D687F9">
      <w:pPr>
        <w:pageBreakBefore w:val="0"/>
        <w:kinsoku/>
        <w:overflowPunct/>
        <w:topLinePunct w:val="0"/>
        <w:bidi w:val="0"/>
        <w:spacing w:after="0"/>
        <w:ind w:firstLine="482"/>
        <w:rPr>
          <w:rFonts w:hint="eastAsia" w:cs="宋体"/>
          <w:b/>
          <w:color w:val="36363D"/>
        </w:rPr>
      </w:pPr>
    </w:p>
    <w:sectPr>
      <w:headerReference r:id="rId15" w:type="default"/>
      <w:footerReference r:id="rId16" w:type="default"/>
      <w:pgSz w:w="11906" w:h="16838"/>
      <w:pgMar w:top="1440" w:right="1304" w:bottom="1020" w:left="130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金山简黑体">
    <w:altName w:val="黑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C8406EA">
    <w:pPr>
      <w:pStyle w:val="29"/>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87FF4907">
                          <w:pPr>
                            <w:snapToGrid w:val="0"/>
                            <w:ind w:firstLine="36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fINJvLEB&#10;AACIAwAADgAAAAAAAAABACAAAAAfAQAAZHJzL2Uyb0RvYy54bWxQSwUGAAAAAAYABgBZAQAAQgUA&#10;AAAA&#10;">
              <v:fill on="f" focussize="0,0"/>
              <v:stroke on="f"/>
              <v:imagedata o:title=""/>
              <o:lock v:ext="edit" aspectratio="f"/>
              <v:textbox inset="0mm,0mm,0mm,0mm" style="mso-fit-shape-to-text:t;">
                <w:txbxContent>
                  <w:p w14:paraId="87FF4907">
                    <w:pPr>
                      <w:snapToGrid w:val="0"/>
                      <w:ind w:firstLine="36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71F7A20">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A8B917F">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DAA72B6">
    <w:pPr>
      <w:pStyle w:val="29"/>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EA927F">
                          <w:pPr>
                            <w:snapToGrid w:val="0"/>
                            <w:ind w:firstLine="36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rect id="409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36IFTrEB&#10;AACIAwAADgAAAAAAAAABACAAAAAfAQAAZHJzL2Uyb0RvYy54bWxQSwUGAAAAAAYABgBZAQAAQgUA&#10;AAAA&#10;">
              <v:fill on="f" focussize="0,0"/>
              <v:stroke on="f"/>
              <v:imagedata o:title=""/>
              <o:lock v:ext="edit" aspectratio="f"/>
              <v:textbox inset="0mm,0mm,0mm,0mm" style="mso-fit-shape-to-text:t;">
                <w:txbxContent>
                  <w:p w14:paraId="0FEA927F">
                    <w:pPr>
                      <w:snapToGrid w:val="0"/>
                      <w:ind w:firstLine="36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71C7439">
    <w:pPr>
      <w:pStyle w:val="29"/>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939E4625">
                          <w:pPr>
                            <w:pStyle w:val="29"/>
                            <w:ind w:firstLine="360"/>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1">
                      <a:spAutoFit/>
                    </wps:bodyPr>
                  </wps:wsp>
                </a:graphicData>
              </a:graphic>
            </wp:anchor>
          </w:drawing>
        </mc:Choice>
        <mc:Fallback>
          <w:pict>
            <v:rect id="409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NtDBSqy&#10;AQAAiAMAAA4AAAAAAAAAAQAgAAAAHwEAAGRycy9lMm9Eb2MueG1sUEsFBgAAAAAGAAYAWQEAAEMF&#10;AAAAAA==&#10;">
              <v:fill on="f" focussize="0,0"/>
              <v:stroke on="f"/>
              <v:imagedata o:title=""/>
              <o:lock v:ext="edit" aspectratio="f"/>
              <v:textbox inset="0mm,0mm,0mm,0mm" style="mso-fit-shape-to-text:t;">
                <w:txbxContent>
                  <w:p w14:paraId="939E4625">
                    <w:pPr>
                      <w:pStyle w:val="29"/>
                      <w:ind w:firstLine="360"/>
                    </w:pPr>
                    <w:r>
                      <w:t xml:space="preserve">第 </w:t>
                    </w:r>
                    <w:r>
                      <w:fldChar w:fldCharType="begin"/>
                    </w:r>
                    <w:r>
                      <w:instrText xml:space="preserve"> PAGE  \* MERGEFORMAT </w:instrText>
                    </w:r>
                    <w:r>
                      <w:fldChar w:fldCharType="separate"/>
                    </w:r>
                    <w:r>
                      <w:t>4</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10A8227">
    <w:pPr>
      <w:pStyle w:val="29"/>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66D55F1">
                          <w:pPr>
                            <w:pStyle w:val="29"/>
                            <w:ind w:firstLine="360"/>
                          </w:pPr>
                          <w:r>
                            <w:rPr>
                              <w:rFonts w:hint="eastAsia"/>
                            </w:rPr>
                            <w:t xml:space="preserve">第 </w:t>
                          </w:r>
                          <w:r>
                            <w:fldChar w:fldCharType="begin"/>
                          </w:r>
                          <w:r>
                            <w:instrText xml:space="preserve"> PAGE  \* MERGEFORMAT </w:instrText>
                          </w:r>
                          <w:r>
                            <w:fldChar w:fldCharType="separate"/>
                          </w:r>
                          <w:r>
                            <w:t>53</w:t>
                          </w:r>
                          <w:r>
                            <w:fldChar w:fldCharType="end"/>
                          </w:r>
                          <w:r>
                            <w:rPr>
                              <w:rFonts w:hint="eastAsia"/>
                            </w:rPr>
                            <w:t xml:space="preserve"> 页</w:t>
                          </w:r>
                        </w:p>
                      </w:txbxContent>
                    </wps:txbx>
                    <wps:bodyPr wrap="none" lIns="0" tIns="0" rIns="0" bIns="0" upright="1">
                      <a:spAutoFit/>
                    </wps:bodyPr>
                  </wps:wsp>
                </a:graphicData>
              </a:graphic>
            </wp:anchor>
          </w:drawing>
        </mc:Choice>
        <mc:Fallback>
          <w:pict>
            <v:rect id="410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Gw3YwCvAQAA&#10;iAMAAA4AAAAAAAAAAQAgAAAAHwEAAGRycy9lMm9Eb2MueG1sUEsFBgAAAAAGAAYAWQEAAEAFAAAA&#10;AA==&#10;">
              <v:fill on="f" focussize="0,0"/>
              <v:stroke on="f"/>
              <v:imagedata o:title=""/>
              <o:lock v:ext="edit" aspectratio="f"/>
              <v:textbox inset="0mm,0mm,0mm,0mm" style="mso-fit-shape-to-text:t;">
                <w:txbxContent>
                  <w:p w14:paraId="766D55F1">
                    <w:pPr>
                      <w:pStyle w:val="29"/>
                      <w:ind w:firstLine="360"/>
                    </w:pPr>
                    <w:r>
                      <w:rPr>
                        <w:rFonts w:hint="eastAsia"/>
                      </w:rPr>
                      <w:t xml:space="preserve">第 </w:t>
                    </w:r>
                    <w:r>
                      <w:fldChar w:fldCharType="begin"/>
                    </w:r>
                    <w:r>
                      <w:instrText xml:space="preserve"> PAGE  \* MERGEFORMAT </w:instrText>
                    </w:r>
                    <w:r>
                      <w:fldChar w:fldCharType="separate"/>
                    </w:r>
                    <w:r>
                      <w:t>53</w:t>
                    </w:r>
                    <w:r>
                      <w:fldChar w:fldCharType="end"/>
                    </w:r>
                    <w:r>
                      <w:rPr>
                        <w:rFonts w:hint="eastAsia"/>
                      </w:rP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02ABC7A">
    <w:pPr>
      <w:pStyle w:val="29"/>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A64D4F1C">
                          <w:pPr>
                            <w:snapToGrid w:val="0"/>
                            <w:ind w:firstLine="36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rect id="410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aNZjZLEB&#10;AACIAwAADgAAAAAAAAABACAAAAAfAQAAZHJzL2Uyb0RvYy54bWxQSwUGAAAAAAYABgBZAQAAQgUA&#10;AAAA&#10;">
              <v:fill on="f" focussize="0,0"/>
              <v:stroke on="f"/>
              <v:imagedata o:title=""/>
              <o:lock v:ext="edit" aspectratio="f"/>
              <v:textbox inset="0mm,0mm,0mm,0mm" style="mso-fit-shape-to-text:t;">
                <w:txbxContent>
                  <w:p w14:paraId="A64D4F1C">
                    <w:pPr>
                      <w:snapToGrid w:val="0"/>
                      <w:ind w:firstLine="36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r>
                      <w:rPr>
                        <w:rFonts w:hint="eastAsia"/>
                        <w:sz w:val="18"/>
                      </w:rP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E146637">
    <w:pPr>
      <w:pStyle w:val="3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49EE0">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899C657">
    <w:pPr>
      <w:pStyle w:val="3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C92F9C9">
    <w:pPr>
      <w:pStyle w:val="31"/>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0E91AFB">
    <w:pPr>
      <w:pStyle w:val="3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0" w:hanging="420"/>
      </w:pPr>
    </w:lvl>
    <w:lvl w:ilvl="1" w:tentative="0">
      <w:start w:val="1"/>
      <w:numFmt w:val="lowerLetter"/>
      <w:pStyle w:val="124"/>
      <w:lvlText w:val="%2)"/>
      <w:lvlJc w:val="left"/>
      <w:pPr>
        <w:ind w:left="840" w:hanging="420"/>
      </w:pPr>
    </w:lvl>
    <w:lvl w:ilvl="2" w:tentative="0">
      <w:start w:val="1"/>
      <w:numFmt w:val="lowerRoman"/>
      <w:pStyle w:val="17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chineseCounting"/>
      <w:suff w:val="nothing"/>
      <w:lvlText w:val="第%1章 "/>
      <w:lvlJc w:val="left"/>
      <w:pPr>
        <w:tabs>
          <w:tab w:val="left" w:pos="0"/>
        </w:tabs>
        <w:ind w:left="0" w:firstLine="0"/>
      </w:pPr>
      <w:rPr>
        <w:rFonts w:hint="eastAsia" w:ascii="宋体" w:hAnsi="宋体" w:eastAsia="宋体"/>
      </w:rPr>
    </w:lvl>
    <w:lvl w:ilvl="1" w:tentative="0">
      <w:start w:val="1"/>
      <w:numFmt w:val="chineseCounting"/>
      <w:suff w:val="nothing"/>
      <w:lvlText w:val="%2、"/>
      <w:lvlJc w:val="left"/>
      <w:pPr>
        <w:ind w:left="0" w:firstLine="0"/>
      </w:pPr>
      <w:rPr>
        <w:rFonts w:hint="eastAsia" w:ascii="宋体" w:hAnsi="宋体" w:eastAsia="宋体"/>
      </w:rPr>
    </w:lvl>
    <w:lvl w:ilvl="2" w:tentative="0">
      <w:start w:val="1"/>
      <w:numFmt w:val="chineseCounting"/>
      <w:pStyle w:val="203"/>
      <w:suff w:val="nothing"/>
      <w:lvlText w:val="(%3)"/>
      <w:lvlJc w:val="left"/>
      <w:pPr>
        <w:tabs>
          <w:tab w:val="left" w:pos="0"/>
        </w:tabs>
        <w:ind w:left="0" w:firstLine="0"/>
      </w:pPr>
      <w:rPr>
        <w:rFonts w:hint="eastAsia" w:ascii="宋体" w:hAnsi="宋体" w:eastAsia="宋体"/>
      </w:rPr>
    </w:lvl>
    <w:lvl w:ilvl="3" w:tentative="0">
      <w:start w:val="1"/>
      <w:numFmt w:val="decimal"/>
      <w:pStyle w:val="204"/>
      <w:suff w:val="nothing"/>
      <w:lvlText w:val="%4."/>
      <w:lvlJc w:val="left"/>
      <w:pPr>
        <w:tabs>
          <w:tab w:val="left" w:pos="0"/>
        </w:tabs>
        <w:ind w:left="0" w:firstLine="0"/>
      </w:pPr>
      <w:rPr>
        <w:rFonts w:hint="eastAsia" w:ascii="宋体" w:hAnsi="宋体" w:eastAsia="宋体"/>
      </w:rPr>
    </w:lvl>
    <w:lvl w:ilvl="4" w:tentative="0">
      <w:start w:val="1"/>
      <w:numFmt w:val="decimal"/>
      <w:suff w:val="nothing"/>
      <w:lvlText w:val="%4.%5"/>
      <w:lvlJc w:val="left"/>
      <w:pPr>
        <w:ind w:left="0" w:firstLine="0"/>
      </w:pPr>
      <w:rPr>
        <w:rFonts w:hint="eastAsia" w:ascii="宋体" w:hAnsi="宋体" w:eastAsia="宋体"/>
      </w:rPr>
    </w:lvl>
    <w:lvl w:ilvl="5" w:tentative="0">
      <w:start w:val="1"/>
      <w:numFmt w:val="decimal"/>
      <w:suff w:val="nothing"/>
      <w:lvlText w:val="(%6)"/>
      <w:lvlJc w:val="left"/>
      <w:pPr>
        <w:ind w:left="0" w:firstLine="0"/>
      </w:pPr>
      <w:rPr>
        <w:rFonts w:hint="eastAsia" w:ascii="宋体" w:hAnsi="宋体" w:eastAsia="宋体"/>
      </w:rPr>
    </w:lvl>
    <w:lvl w:ilvl="6" w:tentative="0">
      <w:start w:val="1"/>
      <w:numFmt w:val="lowerLetter"/>
      <w:suff w:val="nothing"/>
      <w:lvlText w:val="%7．"/>
      <w:lvlJc w:val="left"/>
      <w:pPr>
        <w:ind w:left="0" w:firstLine="402"/>
      </w:pPr>
      <w:rPr>
        <w:rFonts w:hint="default"/>
      </w:rPr>
    </w:lvl>
    <w:lvl w:ilvl="7" w:tentative="0">
      <w:start w:val="1"/>
      <w:numFmt w:val="lowerLetter"/>
      <w:suff w:val="nothing"/>
      <w:lvlText w:val="%8）"/>
      <w:lvlJc w:val="left"/>
      <w:pPr>
        <w:ind w:left="0" w:firstLine="402"/>
      </w:pPr>
      <w:rPr>
        <w:rFonts w:hint="default"/>
      </w:rPr>
    </w:lvl>
    <w:lvl w:ilvl="8" w:tentative="0">
      <w:start w:val="1"/>
      <w:numFmt w:val="lowerRoman"/>
      <w:suff w:val="nothing"/>
      <w:lvlText w:val="%9. "/>
      <w:lvlJc w:val="left"/>
      <w:pPr>
        <w:ind w:left="0" w:firstLine="402"/>
      </w:pPr>
      <w:rPr>
        <w:rFonts w:hint="default"/>
      </w:rPr>
    </w:lvl>
  </w:abstractNum>
  <w:abstractNum w:abstractNumId="2">
    <w:nsid w:val="00000002"/>
    <w:multiLevelType w:val="multilevel"/>
    <w:tmpl w:val="00000002"/>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1"/>
      <w:numFmt w:val="decimal"/>
      <w:pStyle w:val="14"/>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4"/>
    <w:multiLevelType w:val="multilevel"/>
    <w:tmpl w:val="0000000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7"/>
    <w:multiLevelType w:val="multilevel"/>
    <w:tmpl w:val="00000007"/>
    <w:lvl w:ilvl="0" w:tentative="0">
      <w:start w:val="6"/>
      <w:numFmt w:val="decimal"/>
      <w:lvlText w:val="%1."/>
      <w:lvlJc w:val="left"/>
      <w:pPr>
        <w:ind w:left="842" w:hanging="360"/>
      </w:pPr>
      <w:rPr>
        <w:rFonts w:hint="default"/>
        <w:color w:val="FF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9">
    <w:nsid w:val="00000009"/>
    <w:multiLevelType w:val="singleLevel"/>
    <w:tmpl w:val="00000009"/>
    <w:lvl w:ilvl="0" w:tentative="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0">
      <w:start w:val="7"/>
      <w:numFmt w:val="chineseCounting"/>
      <w:suff w:val="space"/>
      <w:lvlText w:val="第%1节"/>
      <w:lvlJc w:val="left"/>
      <w:rPr>
        <w:rFonts w:hint="eastAsia"/>
        <w:sz w:val="24"/>
        <w:szCs w:val="24"/>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7"/>
  </w:num>
  <w:num w:numId="8">
    <w:abstractNumId w:val="4"/>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13202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59"/>
    <w:qFormat/>
    <w:uiPriority w:val="0"/>
    <w:pPr>
      <w:keepNext/>
      <w:keepLines/>
      <w:ind w:firstLine="0" w:firstLineChars="0"/>
      <w:jc w:val="center"/>
      <w:outlineLvl w:val="0"/>
    </w:pPr>
    <w:rPr>
      <w:b/>
      <w:bCs/>
      <w:kern w:val="44"/>
      <w:sz w:val="32"/>
      <w:szCs w:val="52"/>
    </w:rPr>
  </w:style>
  <w:style w:type="paragraph" w:styleId="4">
    <w:name w:val="heading 2"/>
    <w:basedOn w:val="1"/>
    <w:next w:val="1"/>
    <w:link w:val="60"/>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61"/>
    <w:qFormat/>
    <w:uiPriority w:val="0"/>
    <w:pPr>
      <w:keepNext/>
      <w:keepLines/>
      <w:ind w:firstLine="0" w:firstLineChars="0"/>
      <w:outlineLvl w:val="2"/>
    </w:pPr>
    <w:rPr>
      <w:b/>
      <w:bCs/>
      <w:sz w:val="21"/>
      <w:szCs w:val="32"/>
    </w:rPr>
  </w:style>
  <w:style w:type="paragraph" w:styleId="6">
    <w:name w:val="heading 4"/>
    <w:basedOn w:val="1"/>
    <w:next w:val="1"/>
    <w:link w:val="58"/>
    <w:qFormat/>
    <w:uiPriority w:val="0"/>
    <w:pPr>
      <w:keepNext/>
      <w:keepLines/>
      <w:outlineLvl w:val="3"/>
    </w:pPr>
    <w:rPr>
      <w:b/>
      <w:bCs/>
      <w:szCs w:val="28"/>
    </w:rPr>
  </w:style>
  <w:style w:type="paragraph" w:styleId="7">
    <w:name w:val="heading 5"/>
    <w:basedOn w:val="1"/>
    <w:next w:val="1"/>
    <w:qFormat/>
    <w:uiPriority w:val="0"/>
    <w:pPr>
      <w:keepNext/>
      <w:keepLines/>
      <w:spacing w:after="120"/>
      <w:outlineLvl w:val="4"/>
    </w:pPr>
    <w:rPr>
      <w:rFonts w:eastAsia="微软雅黑"/>
      <w:b/>
      <w:bCs/>
    </w:rPr>
  </w:style>
  <w:style w:type="character" w:default="1" w:styleId="45">
    <w:name w:val="Default Paragraph Font"/>
    <w:qFormat/>
    <w:uiPriority w:val="1"/>
  </w:style>
  <w:style w:type="table" w:default="1" w:styleId="43">
    <w:name w:val="Normal Table"/>
    <w:qFormat/>
    <w:uiPriority w:val="99"/>
    <w:tblPr>
      <w:tblCellMar>
        <w:top w:w="0" w:type="dxa"/>
        <w:left w:w="108" w:type="dxa"/>
        <w:bottom w:w="0" w:type="dxa"/>
        <w:right w:w="108" w:type="dxa"/>
      </w:tblCellMar>
    </w:tblPr>
  </w:style>
  <w:style w:type="paragraph" w:styleId="2">
    <w:name w:val="Body Text 2"/>
    <w:basedOn w:val="1"/>
    <w:link w:val="75"/>
    <w:qFormat/>
    <w:uiPriority w:val="0"/>
    <w:pPr>
      <w:spacing w:line="240" w:lineRule="auto"/>
      <w:ind w:firstLine="0" w:firstLineChars="0"/>
    </w:pPr>
    <w:rPr>
      <w:rFonts w:ascii="Times New Roman" w:hAnsi="Times New Roman"/>
      <w:b/>
      <w:bCs/>
      <w:color w:val="000000"/>
      <w:sz w:val="28"/>
    </w:rPr>
  </w:style>
  <w:style w:type="paragraph" w:styleId="8">
    <w:name w:val="toc 7"/>
    <w:basedOn w:val="1"/>
    <w:next w:val="1"/>
    <w:qFormat/>
    <w:uiPriority w:val="0"/>
    <w:pPr>
      <w:spacing w:line="240" w:lineRule="auto"/>
      <w:ind w:left="1260" w:firstLine="0" w:firstLineChars="0"/>
      <w:jc w:val="left"/>
    </w:pPr>
    <w:rPr>
      <w:rFonts w:ascii="Times New Roman" w:hAnsi="Times New Roman"/>
      <w:szCs w:val="21"/>
    </w:rPr>
  </w:style>
  <w:style w:type="paragraph" w:styleId="9">
    <w:name w:val="Normal Indent"/>
    <w:basedOn w:val="1"/>
    <w:next w:val="10"/>
    <w:link w:val="62"/>
    <w:qFormat/>
    <w:uiPriority w:val="0"/>
    <w:pPr>
      <w:spacing w:line="240" w:lineRule="auto"/>
      <w:ind w:firstLine="420" w:firstLineChars="0"/>
    </w:pPr>
    <w:rPr>
      <w:rFonts w:ascii="Times New Roman" w:hAnsi="Times New Roman"/>
      <w:sz w:val="21"/>
    </w:rPr>
  </w:style>
  <w:style w:type="paragraph" w:styleId="10">
    <w:name w:val="Body Text Indent"/>
    <w:basedOn w:val="1"/>
    <w:next w:val="1"/>
    <w:link w:val="67"/>
    <w:qFormat/>
    <w:uiPriority w:val="0"/>
    <w:pPr>
      <w:widowControl/>
      <w:autoSpaceDE w:val="0"/>
      <w:autoSpaceDN w:val="0"/>
      <w:snapToGrid w:val="0"/>
      <w:spacing w:before="120" w:line="400" w:lineRule="atLeast"/>
      <w:ind w:firstLine="570" w:firstLineChars="0"/>
    </w:pPr>
    <w:rPr>
      <w:rFonts w:hAnsi="Times New Roman"/>
      <w:kern w:val="0"/>
      <w:szCs w:val="20"/>
    </w:rPr>
  </w:style>
  <w:style w:type="paragraph" w:styleId="11">
    <w:name w:val="Document Map"/>
    <w:basedOn w:val="1"/>
    <w:link w:val="63"/>
    <w:qFormat/>
    <w:uiPriority w:val="0"/>
    <w:rPr>
      <w:rFonts w:hAnsi="Times New Roman"/>
      <w:kern w:val="0"/>
      <w:sz w:val="18"/>
      <w:szCs w:val="18"/>
    </w:rPr>
  </w:style>
  <w:style w:type="paragraph" w:styleId="12">
    <w:name w:val="annotation text"/>
    <w:basedOn w:val="1"/>
    <w:link w:val="64"/>
    <w:qFormat/>
    <w:uiPriority w:val="0"/>
    <w:pPr>
      <w:spacing w:line="240" w:lineRule="auto"/>
      <w:ind w:firstLine="0" w:firstLineChars="0"/>
      <w:jc w:val="left"/>
    </w:pPr>
    <w:rPr>
      <w:rFonts w:ascii="Times New Roman" w:hAnsi="Times New Roman"/>
      <w:sz w:val="21"/>
    </w:rPr>
  </w:style>
  <w:style w:type="paragraph" w:styleId="13">
    <w:name w:val="Body Text 3"/>
    <w:basedOn w:val="1"/>
    <w:link w:val="65"/>
    <w:qFormat/>
    <w:uiPriority w:val="0"/>
    <w:pPr>
      <w:spacing w:line="440" w:lineRule="atLeast"/>
      <w:ind w:firstLine="0" w:firstLineChars="0"/>
      <w:jc w:val="center"/>
    </w:pPr>
    <w:rPr>
      <w:rFonts w:ascii="楷体_GB2312" w:hAnsi="Times New Roman" w:eastAsia="楷体_GB2312"/>
      <w:b/>
      <w:color w:val="000000"/>
      <w:sz w:val="30"/>
    </w:rPr>
  </w:style>
  <w:style w:type="paragraph" w:styleId="14">
    <w:name w:val="List Bullet 3"/>
    <w:basedOn w:val="1"/>
    <w:qFormat/>
    <w:uiPriority w:val="0"/>
    <w:pPr>
      <w:numPr>
        <w:ilvl w:val="0"/>
        <w:numId w:val="1"/>
      </w:numPr>
      <w:tabs>
        <w:tab w:val="left" w:pos="720"/>
      </w:tabs>
      <w:spacing w:line="240" w:lineRule="auto"/>
      <w:ind w:firstLine="0" w:firstLineChars="0"/>
    </w:pPr>
    <w:rPr>
      <w:rFonts w:ascii="Times New Roman" w:hAnsi="Times New Roman"/>
    </w:rPr>
  </w:style>
  <w:style w:type="paragraph" w:styleId="15">
    <w:name w:val="Body Text"/>
    <w:basedOn w:val="1"/>
    <w:next w:val="16"/>
    <w:link w:val="66"/>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6">
    <w:name w:val="Body Text First Indent"/>
    <w:basedOn w:val="15"/>
    <w:next w:val="17"/>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paragraph" w:styleId="17">
    <w:name w:val="toc 6"/>
    <w:basedOn w:val="1"/>
    <w:next w:val="1"/>
    <w:qFormat/>
    <w:uiPriority w:val="0"/>
    <w:pPr>
      <w:spacing w:line="240" w:lineRule="auto"/>
      <w:ind w:left="1050" w:firstLine="0" w:firstLineChars="0"/>
      <w:jc w:val="left"/>
    </w:pPr>
    <w:rPr>
      <w:rFonts w:ascii="Times New Roman" w:hAnsi="Times New Roman"/>
      <w:szCs w:val="21"/>
    </w:rPr>
  </w:style>
  <w:style w:type="paragraph" w:styleId="18">
    <w:name w:val="List 2"/>
    <w:basedOn w:val="1"/>
    <w:qFormat/>
    <w:uiPriority w:val="0"/>
    <w:pPr>
      <w:spacing w:line="240" w:lineRule="auto"/>
      <w:ind w:left="100" w:leftChars="200" w:hanging="200" w:hangingChars="200"/>
    </w:pPr>
    <w:rPr>
      <w:rFonts w:ascii="Times New Roman" w:hAnsi="Times New Roman"/>
    </w:rPr>
  </w:style>
  <w:style w:type="paragraph" w:styleId="19">
    <w:name w:val="List Bullet 2"/>
    <w:basedOn w:val="1"/>
    <w:next w:val="14"/>
    <w:qFormat/>
    <w:uiPriority w:val="0"/>
    <w:pPr>
      <w:numPr>
        <w:ilvl w:val="0"/>
        <w:numId w:val="2"/>
      </w:numPr>
      <w:tabs>
        <w:tab w:val="left" w:pos="780"/>
      </w:tabs>
      <w:spacing w:after="100" w:afterAutospacing="1" w:line="240" w:lineRule="auto"/>
      <w:ind w:firstLine="0" w:firstLineChars="0"/>
    </w:pPr>
    <w:rPr>
      <w:rFonts w:ascii="Times New Roman" w:hAnsi="Times New Roman" w:eastAsia="仿宋_GB2312"/>
    </w:rPr>
  </w:style>
  <w:style w:type="paragraph" w:styleId="20">
    <w:name w:val="toc 5"/>
    <w:basedOn w:val="1"/>
    <w:next w:val="1"/>
    <w:qFormat/>
    <w:uiPriority w:val="0"/>
    <w:pPr>
      <w:spacing w:line="240" w:lineRule="auto"/>
      <w:ind w:left="840" w:firstLine="0" w:firstLineChars="0"/>
      <w:jc w:val="left"/>
    </w:pPr>
    <w:rPr>
      <w:rFonts w:ascii="Times New Roman" w:hAnsi="Times New Roman"/>
      <w:szCs w:val="21"/>
    </w:rPr>
  </w:style>
  <w:style w:type="paragraph" w:styleId="21">
    <w:name w:val="toc 3"/>
    <w:basedOn w:val="1"/>
    <w:next w:val="1"/>
    <w:qFormat/>
    <w:uiPriority w:val="0"/>
    <w:pPr>
      <w:spacing w:line="240" w:lineRule="auto"/>
      <w:ind w:left="420" w:firstLine="0" w:firstLineChars="0"/>
      <w:jc w:val="left"/>
    </w:pPr>
    <w:rPr>
      <w:rFonts w:ascii="Times New Roman" w:hAnsi="Times New Roman"/>
      <w:i/>
      <w:iCs/>
    </w:rPr>
  </w:style>
  <w:style w:type="paragraph" w:styleId="22">
    <w:name w:val="Plain Text"/>
    <w:basedOn w:val="1"/>
    <w:next w:val="23"/>
    <w:link w:val="68"/>
    <w:qFormat/>
    <w:uiPriority w:val="0"/>
    <w:pPr>
      <w:spacing w:line="240" w:lineRule="auto"/>
      <w:ind w:firstLine="0" w:firstLineChars="0"/>
    </w:pPr>
    <w:rPr>
      <w:rFonts w:hAnsi="Courier New"/>
      <w:sz w:val="21"/>
      <w:szCs w:val="20"/>
    </w:rPr>
  </w:style>
  <w:style w:type="paragraph" w:styleId="23">
    <w:name w:val="toc 2"/>
    <w:basedOn w:val="1"/>
    <w:next w:val="1"/>
    <w:qFormat/>
    <w:uiPriority w:val="0"/>
    <w:pPr>
      <w:tabs>
        <w:tab w:val="right" w:leader="dot" w:pos="8296"/>
      </w:tabs>
      <w:ind w:left="420" w:leftChars="200" w:firstLine="0" w:firstLineChars="0"/>
    </w:pPr>
    <w:rPr>
      <w:rFonts w:ascii="Times New Roman" w:hAnsi="Times New Roman"/>
    </w:rPr>
  </w:style>
  <w:style w:type="paragraph" w:styleId="24">
    <w:name w:val="toc 8"/>
    <w:basedOn w:val="1"/>
    <w:next w:val="1"/>
    <w:qFormat/>
    <w:uiPriority w:val="0"/>
    <w:pPr>
      <w:spacing w:line="240" w:lineRule="auto"/>
      <w:ind w:left="1470" w:firstLine="0" w:firstLineChars="0"/>
      <w:jc w:val="left"/>
    </w:pPr>
    <w:rPr>
      <w:rFonts w:ascii="Times New Roman" w:hAnsi="Times New Roman"/>
      <w:szCs w:val="21"/>
    </w:rPr>
  </w:style>
  <w:style w:type="paragraph" w:styleId="25">
    <w:name w:val="Date"/>
    <w:basedOn w:val="1"/>
    <w:next w:val="1"/>
    <w:link w:val="69"/>
    <w:qFormat/>
    <w:uiPriority w:val="0"/>
    <w:pPr>
      <w:spacing w:line="240" w:lineRule="auto"/>
      <w:ind w:left="100" w:leftChars="2500" w:firstLine="0" w:firstLineChars="0"/>
    </w:pPr>
    <w:rPr>
      <w:rFonts w:ascii="Times New Roman" w:hAnsi="Times New Roman"/>
      <w:color w:val="000000"/>
    </w:rPr>
  </w:style>
  <w:style w:type="paragraph" w:styleId="26">
    <w:name w:val="Body Text Indent 2"/>
    <w:basedOn w:val="1"/>
    <w:next w:val="27"/>
    <w:link w:val="70"/>
    <w:qFormat/>
    <w:uiPriority w:val="0"/>
    <w:pPr>
      <w:widowControl/>
      <w:spacing w:line="480" w:lineRule="atLeast"/>
      <w:ind w:firstLine="480" w:firstLineChars="0"/>
    </w:pPr>
    <w:rPr>
      <w:rFonts w:hAnsi="Times New Roman"/>
      <w:kern w:val="0"/>
      <w:szCs w:val="20"/>
    </w:rPr>
  </w:style>
  <w:style w:type="paragraph" w:customStyle="1" w:styleId="27">
    <w:name w:val="z正文"/>
    <w:basedOn w:val="22"/>
    <w:qFormat/>
    <w:uiPriority w:val="99"/>
    <w:pPr>
      <w:tabs>
        <w:tab w:val="left" w:pos="525"/>
      </w:tabs>
      <w:snapToGrid w:val="0"/>
      <w:spacing w:line="360" w:lineRule="auto"/>
    </w:pPr>
    <w:rPr>
      <w:rFonts w:hAnsi="宋体"/>
      <w:sz w:val="24"/>
    </w:rPr>
  </w:style>
  <w:style w:type="paragraph" w:styleId="28">
    <w:name w:val="Balloon Text"/>
    <w:basedOn w:val="1"/>
    <w:link w:val="71"/>
    <w:qFormat/>
    <w:uiPriority w:val="0"/>
    <w:rPr>
      <w:rFonts w:ascii="Times New Roman" w:hAnsi="Times New Roman"/>
      <w:kern w:val="0"/>
      <w:sz w:val="18"/>
      <w:szCs w:val="18"/>
    </w:rPr>
  </w:style>
  <w:style w:type="paragraph" w:styleId="29">
    <w:name w:val="footer"/>
    <w:basedOn w:val="1"/>
    <w:link w:val="72"/>
    <w:qFormat/>
    <w:uiPriority w:val="99"/>
    <w:pPr>
      <w:tabs>
        <w:tab w:val="center" w:pos="4153"/>
        <w:tab w:val="right" w:pos="8306"/>
      </w:tabs>
      <w:snapToGrid w:val="0"/>
      <w:jc w:val="left"/>
    </w:pPr>
    <w:rPr>
      <w:rFonts w:ascii="Times New Roman" w:hAnsi="Times New Roman"/>
      <w:kern w:val="0"/>
      <w:sz w:val="18"/>
      <w:szCs w:val="18"/>
    </w:rPr>
  </w:style>
  <w:style w:type="paragraph" w:styleId="30">
    <w:name w:val="envelope return"/>
    <w:basedOn w:val="1"/>
    <w:qFormat/>
    <w:uiPriority w:val="99"/>
    <w:pPr>
      <w:snapToGrid w:val="0"/>
    </w:pPr>
    <w:rPr>
      <w:rFonts w:ascii="Arial" w:hAnsi="Arial"/>
    </w:rPr>
  </w:style>
  <w:style w:type="paragraph" w:styleId="31">
    <w:name w:val="header"/>
    <w:basedOn w:val="1"/>
    <w:link w:val="7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2">
    <w:name w:val="toc 1"/>
    <w:basedOn w:val="1"/>
    <w:next w:val="1"/>
    <w:qFormat/>
    <w:uiPriority w:val="0"/>
    <w:pPr>
      <w:tabs>
        <w:tab w:val="right" w:leader="dot" w:pos="8296"/>
      </w:tabs>
      <w:ind w:firstLine="0" w:firstLineChars="0"/>
    </w:pPr>
    <w:rPr>
      <w:rFonts w:ascii="Times New Roman" w:hAnsi="Times New Roman"/>
    </w:rPr>
  </w:style>
  <w:style w:type="paragraph" w:styleId="33">
    <w:name w:val="toc 4"/>
    <w:basedOn w:val="1"/>
    <w:next w:val="1"/>
    <w:qFormat/>
    <w:uiPriority w:val="0"/>
    <w:pPr>
      <w:spacing w:line="240" w:lineRule="auto"/>
      <w:ind w:left="630" w:firstLine="0" w:firstLineChars="0"/>
      <w:jc w:val="left"/>
    </w:pPr>
    <w:rPr>
      <w:rFonts w:ascii="Times New Roman" w:hAnsi="Times New Roman"/>
      <w:szCs w:val="21"/>
    </w:rPr>
  </w:style>
  <w:style w:type="paragraph" w:styleId="34">
    <w:name w:val="List"/>
    <w:basedOn w:val="1"/>
    <w:qFormat/>
    <w:uiPriority w:val="0"/>
    <w:pPr>
      <w:spacing w:line="240" w:lineRule="auto"/>
      <w:ind w:left="420" w:hanging="420" w:firstLineChars="0"/>
    </w:pPr>
    <w:rPr>
      <w:rFonts w:ascii="Times New Roman" w:hAnsi="Times New Roman"/>
      <w:szCs w:val="20"/>
    </w:rPr>
  </w:style>
  <w:style w:type="paragraph" w:styleId="35">
    <w:name w:val="Body Text Indent 3"/>
    <w:basedOn w:val="1"/>
    <w:link w:val="74"/>
    <w:qFormat/>
    <w:uiPriority w:val="0"/>
    <w:pPr>
      <w:autoSpaceDE w:val="0"/>
      <w:autoSpaceDN w:val="0"/>
      <w:spacing w:line="400" w:lineRule="atLeast"/>
      <w:ind w:firstLine="443"/>
    </w:pPr>
    <w:rPr>
      <w:rFonts w:ascii="Times New Roman" w:hAnsi="Times New Roman" w:eastAsia="黑体"/>
      <w:color w:val="000000"/>
    </w:rPr>
  </w:style>
  <w:style w:type="paragraph" w:styleId="36">
    <w:name w:val="index 7"/>
    <w:basedOn w:val="1"/>
    <w:next w:val="1"/>
    <w:qFormat/>
    <w:uiPriority w:val="99"/>
    <w:pPr>
      <w:ind w:left="1200" w:leftChars="1200"/>
    </w:pPr>
  </w:style>
  <w:style w:type="paragraph" w:styleId="37">
    <w:name w:val="toc 9"/>
    <w:basedOn w:val="1"/>
    <w:next w:val="1"/>
    <w:qFormat/>
    <w:uiPriority w:val="0"/>
    <w:pPr>
      <w:spacing w:line="240" w:lineRule="auto"/>
      <w:ind w:left="1680" w:firstLine="0" w:firstLineChars="0"/>
      <w:jc w:val="left"/>
    </w:pPr>
    <w:rPr>
      <w:rFonts w:ascii="Times New Roman" w:hAnsi="Times New Roman"/>
      <w:szCs w:val="21"/>
    </w:rPr>
  </w:style>
  <w:style w:type="paragraph" w:styleId="38">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9">
    <w:name w:val="Normal (Web)"/>
    <w:basedOn w:val="1"/>
    <w:qFormat/>
    <w:uiPriority w:val="0"/>
    <w:pPr>
      <w:widowControl/>
      <w:spacing w:before="100" w:beforeAutospacing="1" w:after="100" w:afterAutospacing="1" w:line="240" w:lineRule="auto"/>
      <w:ind w:firstLine="0" w:firstLineChars="0"/>
      <w:jc w:val="left"/>
    </w:pPr>
    <w:rPr>
      <w:kern w:val="0"/>
    </w:rPr>
  </w:style>
  <w:style w:type="paragraph" w:styleId="40">
    <w:name w:val="Title"/>
    <w:basedOn w:val="1"/>
    <w:next w:val="1"/>
    <w:link w:val="77"/>
    <w:qFormat/>
    <w:uiPriority w:val="0"/>
    <w:pPr>
      <w:spacing w:line="240" w:lineRule="auto"/>
      <w:ind w:firstLine="0" w:firstLineChars="0"/>
      <w:jc w:val="center"/>
    </w:pPr>
    <w:rPr>
      <w:rFonts w:ascii="Times New Roman" w:hAnsi="Times New Roman"/>
      <w:sz w:val="30"/>
    </w:rPr>
  </w:style>
  <w:style w:type="paragraph" w:styleId="41">
    <w:name w:val="annotation subject"/>
    <w:basedOn w:val="12"/>
    <w:next w:val="12"/>
    <w:link w:val="78"/>
    <w:qFormat/>
    <w:uiPriority w:val="0"/>
    <w:rPr>
      <w:b/>
      <w:bCs/>
    </w:rPr>
  </w:style>
  <w:style w:type="paragraph" w:styleId="42">
    <w:name w:val="Body Text First Indent 2"/>
    <w:basedOn w:val="10"/>
    <w:next w:val="16"/>
    <w:qFormat/>
    <w:uiPriority w:val="0"/>
    <w:pPr>
      <w:ind w:firstLine="420" w:firstLineChars="200"/>
    </w:pPr>
    <w:rPr>
      <w:rFonts w:ascii="Times New Roman"/>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ascii="Times New Roman" w:hAnsi="Times New Roman" w:eastAsia="宋体" w:cs="Times New Roman"/>
      <w:b/>
    </w:rPr>
  </w:style>
  <w:style w:type="character" w:styleId="47">
    <w:name w:val="page number"/>
    <w:qFormat/>
    <w:uiPriority w:val="0"/>
    <w:rPr>
      <w:rFonts w:ascii="Times New Roman" w:hAnsi="Times New Roman" w:eastAsia="宋体" w:cs="Times New Roman"/>
    </w:rPr>
  </w:style>
  <w:style w:type="character" w:styleId="48">
    <w:name w:val="FollowedHyperlink"/>
    <w:qFormat/>
    <w:uiPriority w:val="0"/>
    <w:rPr>
      <w:rFonts w:ascii="Times New Roman" w:hAnsi="Times New Roman" w:eastAsia="宋体" w:cs="Times New Roman"/>
      <w:color w:val="800080"/>
      <w:u w:val="single"/>
    </w:rPr>
  </w:style>
  <w:style w:type="character" w:styleId="49">
    <w:name w:val="Emphasis"/>
    <w:qFormat/>
    <w:uiPriority w:val="0"/>
  </w:style>
  <w:style w:type="character" w:styleId="50">
    <w:name w:val="HTML Variable"/>
    <w:qFormat/>
    <w:uiPriority w:val="0"/>
  </w:style>
  <w:style w:type="character" w:styleId="51">
    <w:name w:val="Hyperlink"/>
    <w:qFormat/>
    <w:uiPriority w:val="0"/>
    <w:rPr>
      <w:rFonts w:ascii="Times New Roman" w:hAnsi="Times New Roman" w:eastAsia="宋体" w:cs="Times New Roman"/>
      <w:color w:val="0000FF"/>
      <w:u w:val="single"/>
    </w:rPr>
  </w:style>
  <w:style w:type="character" w:styleId="52">
    <w:name w:val="annotation reference"/>
    <w:qFormat/>
    <w:uiPriority w:val="0"/>
    <w:rPr>
      <w:rFonts w:ascii="Times New Roman" w:hAnsi="Times New Roman" w:eastAsia="宋体" w:cs="Times New Roman"/>
      <w:sz w:val="21"/>
      <w:szCs w:val="21"/>
    </w:rPr>
  </w:style>
  <w:style w:type="paragraph" w:customStyle="1" w:styleId="53">
    <w:name w:val="首行缩进"/>
    <w:basedOn w:val="1"/>
    <w:qFormat/>
    <w:uiPriority w:val="0"/>
    <w:rPr>
      <w:lang w:val="zh-CN"/>
    </w:rPr>
  </w:style>
  <w:style w:type="paragraph" w:customStyle="1" w:styleId="54">
    <w:name w:val="TOAHeading"/>
    <w:basedOn w:val="1"/>
    <w:next w:val="1"/>
    <w:qFormat/>
    <w:uiPriority w:val="0"/>
    <w:pPr>
      <w:spacing w:before="120"/>
      <w:textAlignment w:val="baseline"/>
    </w:pPr>
    <w:rPr>
      <w:rFonts w:ascii="Arial" w:hAnsi="Arial"/>
    </w:rPr>
  </w:style>
  <w:style w:type="paragraph" w:customStyle="1" w:styleId="55">
    <w:name w:val="Default"/>
    <w:next w:val="56"/>
    <w:qFormat/>
    <w:uiPriority w:val="0"/>
    <w:pPr>
      <w:widowControl w:val="0"/>
      <w:autoSpaceDE w:val="0"/>
      <w:autoSpaceDN w:val="0"/>
      <w:adjustRightInd w:val="0"/>
      <w:spacing w:after="160" w:line="278" w:lineRule="auto"/>
    </w:pPr>
    <w:rPr>
      <w:rFonts w:ascii="黑体" w:hAnsi="Times New Roman" w:eastAsia="黑体" w:cs="黑体"/>
      <w:color w:val="000000"/>
      <w:sz w:val="24"/>
      <w:szCs w:val="24"/>
      <w:lang w:val="en-US" w:eastAsia="zh-CN" w:bidi="ar-SA"/>
    </w:rPr>
  </w:style>
  <w:style w:type="paragraph" w:customStyle="1" w:styleId="56">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57">
    <w:name w:val="目录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character" w:customStyle="1" w:styleId="58">
    <w:name w:val="标题 4 字符"/>
    <w:link w:val="6"/>
    <w:qFormat/>
    <w:uiPriority w:val="0"/>
    <w:rPr>
      <w:rFonts w:ascii="宋体" w:hAnsi="宋体" w:eastAsia="宋体" w:cs="Times New Roman"/>
      <w:b/>
      <w:bCs/>
      <w:kern w:val="2"/>
      <w:sz w:val="24"/>
      <w:szCs w:val="28"/>
    </w:rPr>
  </w:style>
  <w:style w:type="character" w:customStyle="1" w:styleId="59">
    <w:name w:val="标题 1 字符"/>
    <w:link w:val="3"/>
    <w:qFormat/>
    <w:uiPriority w:val="0"/>
    <w:rPr>
      <w:rFonts w:ascii="宋体" w:hAnsi="宋体" w:eastAsia="宋体" w:cs="宋体"/>
      <w:b/>
      <w:bCs/>
      <w:kern w:val="44"/>
      <w:sz w:val="32"/>
      <w:szCs w:val="52"/>
    </w:rPr>
  </w:style>
  <w:style w:type="character" w:customStyle="1" w:styleId="60">
    <w:name w:val="标题 2 字符"/>
    <w:link w:val="4"/>
    <w:qFormat/>
    <w:uiPriority w:val="0"/>
    <w:rPr>
      <w:rFonts w:ascii="Cambria" w:hAnsi="Cambria" w:eastAsia="宋体" w:cs="Times New Roman"/>
      <w:b/>
      <w:bCs/>
      <w:kern w:val="2"/>
      <w:sz w:val="28"/>
      <w:szCs w:val="32"/>
    </w:rPr>
  </w:style>
  <w:style w:type="character" w:customStyle="1" w:styleId="61">
    <w:name w:val="标题 3 字符1"/>
    <w:link w:val="5"/>
    <w:qFormat/>
    <w:uiPriority w:val="0"/>
    <w:rPr>
      <w:rFonts w:ascii="宋体" w:hAnsi="宋体" w:eastAsia="宋体" w:cs="Times New Roman"/>
      <w:b/>
      <w:bCs/>
      <w:kern w:val="2"/>
      <w:sz w:val="21"/>
      <w:szCs w:val="32"/>
    </w:rPr>
  </w:style>
  <w:style w:type="character" w:customStyle="1" w:styleId="62">
    <w:name w:val="正文缩进 字符"/>
    <w:link w:val="9"/>
    <w:qFormat/>
    <w:uiPriority w:val="0"/>
    <w:rPr>
      <w:rFonts w:ascii="Times New Roman" w:hAnsi="Times New Roman" w:eastAsia="宋体" w:cs="Times New Roman"/>
      <w:kern w:val="2"/>
      <w:sz w:val="21"/>
      <w:szCs w:val="24"/>
    </w:rPr>
  </w:style>
  <w:style w:type="character" w:customStyle="1" w:styleId="63">
    <w:name w:val="文档结构图 字符"/>
    <w:link w:val="11"/>
    <w:qFormat/>
    <w:uiPriority w:val="0"/>
    <w:rPr>
      <w:rFonts w:ascii="宋体" w:hAnsi="Times New Roman" w:eastAsia="宋体" w:cs="Times New Roman"/>
      <w:sz w:val="18"/>
      <w:szCs w:val="18"/>
    </w:rPr>
  </w:style>
  <w:style w:type="character" w:customStyle="1" w:styleId="64">
    <w:name w:val="批注文字 字符"/>
    <w:link w:val="12"/>
    <w:qFormat/>
    <w:uiPriority w:val="0"/>
    <w:rPr>
      <w:rFonts w:ascii="Times New Roman" w:hAnsi="Times New Roman" w:eastAsia="宋体" w:cs="Times New Roman"/>
      <w:kern w:val="2"/>
      <w:sz w:val="21"/>
      <w:szCs w:val="24"/>
    </w:rPr>
  </w:style>
  <w:style w:type="character" w:customStyle="1" w:styleId="65">
    <w:name w:val="正文文本 3 字符"/>
    <w:link w:val="13"/>
    <w:qFormat/>
    <w:uiPriority w:val="0"/>
    <w:rPr>
      <w:rFonts w:ascii="楷体_GB2312" w:hAnsi="Times New Roman" w:eastAsia="楷体_GB2312" w:cs="Times New Roman"/>
      <w:b/>
      <w:color w:val="000000"/>
      <w:kern w:val="2"/>
      <w:sz w:val="30"/>
      <w:szCs w:val="24"/>
    </w:rPr>
  </w:style>
  <w:style w:type="character" w:customStyle="1" w:styleId="66">
    <w:name w:val="正文文本 字符"/>
    <w:link w:val="15"/>
    <w:qFormat/>
    <w:uiPriority w:val="0"/>
    <w:rPr>
      <w:rFonts w:ascii="仿宋_GB2312" w:hAnsi="Times New Roman" w:eastAsia="仿宋_GB2312" w:cs="Times New Roman"/>
      <w:sz w:val="28"/>
    </w:rPr>
  </w:style>
  <w:style w:type="character" w:customStyle="1" w:styleId="67">
    <w:name w:val="正文文本缩进 字符1"/>
    <w:link w:val="10"/>
    <w:qFormat/>
    <w:uiPriority w:val="0"/>
    <w:rPr>
      <w:rFonts w:ascii="宋体" w:hAnsi="Times New Roman" w:eastAsia="宋体" w:cs="Times New Roman"/>
      <w:sz w:val="24"/>
    </w:rPr>
  </w:style>
  <w:style w:type="character" w:customStyle="1" w:styleId="68">
    <w:name w:val="纯文本 字符1"/>
    <w:link w:val="22"/>
    <w:qFormat/>
    <w:uiPriority w:val="0"/>
    <w:rPr>
      <w:rFonts w:ascii="宋体" w:hAnsi="Courier New" w:eastAsia="宋体" w:cs="Times New Roman"/>
      <w:kern w:val="2"/>
      <w:sz w:val="21"/>
    </w:rPr>
  </w:style>
  <w:style w:type="character" w:customStyle="1" w:styleId="69">
    <w:name w:val="日期 字符"/>
    <w:link w:val="25"/>
    <w:qFormat/>
    <w:uiPriority w:val="0"/>
    <w:rPr>
      <w:rFonts w:ascii="Times New Roman" w:hAnsi="Times New Roman" w:eastAsia="宋体" w:cs="Times New Roman"/>
      <w:color w:val="000000"/>
      <w:kern w:val="2"/>
      <w:sz w:val="24"/>
      <w:szCs w:val="24"/>
    </w:rPr>
  </w:style>
  <w:style w:type="character" w:customStyle="1" w:styleId="70">
    <w:name w:val="正文文本缩进 2 字符"/>
    <w:link w:val="26"/>
    <w:qFormat/>
    <w:uiPriority w:val="0"/>
    <w:rPr>
      <w:rFonts w:ascii="宋体" w:hAnsi="Times New Roman" w:eastAsia="宋体" w:cs="Times New Roman"/>
      <w:sz w:val="24"/>
    </w:rPr>
  </w:style>
  <w:style w:type="character" w:customStyle="1" w:styleId="71">
    <w:name w:val="批注框文本 字符"/>
    <w:link w:val="28"/>
    <w:qFormat/>
    <w:uiPriority w:val="0"/>
    <w:rPr>
      <w:rFonts w:ascii="Times New Roman" w:hAnsi="Times New Roman" w:eastAsia="宋体" w:cs="Times New Roman"/>
      <w:sz w:val="18"/>
      <w:szCs w:val="18"/>
    </w:rPr>
  </w:style>
  <w:style w:type="character" w:customStyle="1" w:styleId="72">
    <w:name w:val="页脚 字符1"/>
    <w:link w:val="29"/>
    <w:qFormat/>
    <w:uiPriority w:val="99"/>
    <w:rPr>
      <w:rFonts w:ascii="Times New Roman" w:hAnsi="Times New Roman" w:eastAsia="宋体" w:cs="Times New Roman"/>
      <w:sz w:val="18"/>
      <w:szCs w:val="18"/>
    </w:rPr>
  </w:style>
  <w:style w:type="character" w:customStyle="1" w:styleId="73">
    <w:name w:val="页眉 字符1"/>
    <w:link w:val="31"/>
    <w:qFormat/>
    <w:uiPriority w:val="0"/>
    <w:rPr>
      <w:rFonts w:ascii="Times New Roman" w:hAnsi="Times New Roman" w:eastAsia="宋体" w:cs="Times New Roman"/>
      <w:sz w:val="18"/>
      <w:szCs w:val="18"/>
    </w:rPr>
  </w:style>
  <w:style w:type="character" w:customStyle="1" w:styleId="74">
    <w:name w:val="正文文本缩进 3 字符"/>
    <w:link w:val="35"/>
    <w:qFormat/>
    <w:uiPriority w:val="0"/>
    <w:rPr>
      <w:rFonts w:ascii="Times New Roman" w:hAnsi="Times New Roman" w:eastAsia="黑体" w:cs="Times New Roman"/>
      <w:color w:val="000000"/>
      <w:kern w:val="2"/>
      <w:sz w:val="24"/>
      <w:szCs w:val="24"/>
    </w:rPr>
  </w:style>
  <w:style w:type="character" w:customStyle="1" w:styleId="75">
    <w:name w:val="正文文本 2 字符"/>
    <w:link w:val="2"/>
    <w:qFormat/>
    <w:uiPriority w:val="0"/>
    <w:rPr>
      <w:rFonts w:ascii="Times New Roman" w:hAnsi="Times New Roman" w:eastAsia="宋体" w:cs="Times New Roman"/>
      <w:b/>
      <w:bCs/>
      <w:color w:val="000000"/>
      <w:kern w:val="2"/>
      <w:sz w:val="28"/>
      <w:szCs w:val="24"/>
    </w:rPr>
  </w:style>
  <w:style w:type="character" w:customStyle="1" w:styleId="76">
    <w:name w:val="HTML 预设格式 字符"/>
    <w:link w:val="38"/>
    <w:qFormat/>
    <w:uiPriority w:val="0"/>
    <w:rPr>
      <w:rFonts w:ascii="Arial Unicode MS" w:hAnsi="Arial Unicode MS" w:eastAsia="Arial Unicode MS" w:cs="Arial Unicode MS"/>
    </w:rPr>
  </w:style>
  <w:style w:type="character" w:customStyle="1" w:styleId="77">
    <w:name w:val="标题 字符"/>
    <w:link w:val="40"/>
    <w:qFormat/>
    <w:uiPriority w:val="0"/>
    <w:rPr>
      <w:rFonts w:ascii="Times New Roman" w:hAnsi="Times New Roman" w:eastAsia="宋体" w:cs="Times New Roman"/>
      <w:kern w:val="2"/>
      <w:sz w:val="30"/>
      <w:szCs w:val="24"/>
    </w:rPr>
  </w:style>
  <w:style w:type="character" w:customStyle="1" w:styleId="78">
    <w:name w:val="批注主题 字符"/>
    <w:link w:val="41"/>
    <w:qFormat/>
    <w:uiPriority w:val="0"/>
    <w:rPr>
      <w:rFonts w:ascii="Times New Roman" w:hAnsi="Times New Roman" w:eastAsia="宋体" w:cs="Times New Roman"/>
      <w:b/>
      <w:bCs/>
      <w:kern w:val="2"/>
      <w:sz w:val="21"/>
      <w:szCs w:val="24"/>
    </w:rPr>
  </w:style>
  <w:style w:type="character" w:customStyle="1" w:styleId="79">
    <w:name w:val="huei12b1"/>
    <w:qFormat/>
    <w:uiPriority w:val="0"/>
    <w:rPr>
      <w:rFonts w:ascii="Times New Roman" w:hAnsi="Times New Roman" w:eastAsia="宋体" w:cs="Times New Roman"/>
      <w:b/>
      <w:bCs/>
      <w:color w:val="333333"/>
      <w:sz w:val="20"/>
      <w:szCs w:val="20"/>
    </w:rPr>
  </w:style>
  <w:style w:type="character" w:customStyle="1" w:styleId="80">
    <w:name w:val="font101"/>
    <w:qFormat/>
    <w:uiPriority w:val="0"/>
    <w:rPr>
      <w:rFonts w:hint="eastAsia" w:ascii="宋体" w:hAnsi="宋体" w:eastAsia="宋体" w:cs="宋体"/>
      <w:color w:val="000000"/>
      <w:sz w:val="18"/>
      <w:szCs w:val="18"/>
      <w:u w:val="none"/>
    </w:rPr>
  </w:style>
  <w:style w:type="character" w:customStyle="1" w:styleId="81">
    <w:name w:val="content"/>
    <w:qFormat/>
    <w:uiPriority w:val="0"/>
    <w:rPr>
      <w:rFonts w:ascii="Times New Roman" w:hAnsi="Times New Roman" w:eastAsia="宋体" w:cs="Times New Roman"/>
    </w:rPr>
  </w:style>
  <w:style w:type="character" w:customStyle="1" w:styleId="82">
    <w:name w:val="标题 3 字符"/>
    <w:qFormat/>
    <w:uiPriority w:val="0"/>
    <w:rPr>
      <w:rFonts w:ascii="Times New Roman" w:hAnsi="Times New Roman" w:eastAsia="宋体" w:cs="Times New Roman"/>
      <w:b/>
      <w:bCs/>
      <w:kern w:val="2"/>
      <w:sz w:val="24"/>
      <w:szCs w:val="32"/>
    </w:rPr>
  </w:style>
  <w:style w:type="character" w:customStyle="1" w:styleId="83">
    <w:name w:val="search_content1"/>
    <w:qFormat/>
    <w:uiPriority w:val="0"/>
    <w:rPr>
      <w:rFonts w:ascii="Times New Roman" w:hAnsi="Times New Roman" w:eastAsia="宋体" w:cs="Times New Roman"/>
      <w:sz w:val="20"/>
      <w:szCs w:val="20"/>
    </w:rPr>
  </w:style>
  <w:style w:type="character" w:customStyle="1" w:styleId="84">
    <w:name w:val="apple-converted-space"/>
    <w:qFormat/>
    <w:uiPriority w:val="0"/>
    <w:rPr>
      <w:rFonts w:ascii="Times New Roman" w:hAnsi="Times New Roman" w:eastAsia="宋体" w:cs="Times New Roman"/>
    </w:rPr>
  </w:style>
  <w:style w:type="character" w:customStyle="1" w:styleId="85">
    <w:name w:val="s"/>
    <w:qFormat/>
    <w:uiPriority w:val="0"/>
    <w:rPr>
      <w:rFonts w:ascii="Times New Roman" w:hAnsi="Times New Roman" w:eastAsia="宋体" w:cs="Times New Roman"/>
    </w:rPr>
  </w:style>
  <w:style w:type="character" w:customStyle="1" w:styleId="86">
    <w:name w:val="页眉 字符"/>
    <w:qFormat/>
    <w:uiPriority w:val="99"/>
    <w:rPr>
      <w:rFonts w:ascii="Times New Roman" w:hAnsi="Times New Roman" w:eastAsia="宋体" w:cs="Times New Roman"/>
      <w:kern w:val="2"/>
      <w:sz w:val="18"/>
      <w:lang w:val="en-US" w:eastAsia="zh-CN" w:bidi="ar-SA"/>
    </w:rPr>
  </w:style>
  <w:style w:type="character" w:customStyle="1" w:styleId="87">
    <w:name w:val="Char Char2"/>
    <w:qFormat/>
    <w:uiPriority w:val="0"/>
    <w:rPr>
      <w:rFonts w:hint="eastAsia" w:ascii="宋体" w:hAnsi="Courier New" w:eastAsia="宋体" w:cs="Times New Roman"/>
      <w:kern w:val="2"/>
      <w:sz w:val="21"/>
    </w:rPr>
  </w:style>
  <w:style w:type="character" w:customStyle="1" w:styleId="88">
    <w:name w:val="font61"/>
    <w:qFormat/>
    <w:uiPriority w:val="0"/>
    <w:rPr>
      <w:rFonts w:hint="eastAsia" w:ascii="宋体" w:hAnsi="宋体" w:eastAsia="宋体" w:cs="宋体"/>
      <w:color w:val="000000"/>
      <w:sz w:val="18"/>
      <w:szCs w:val="18"/>
      <w:u w:val="none"/>
    </w:rPr>
  </w:style>
  <w:style w:type="character" w:customStyle="1" w:styleId="89">
    <w:name w:val="l17"/>
    <w:qFormat/>
    <w:uiPriority w:val="0"/>
    <w:rPr>
      <w:rFonts w:ascii="Times New Roman" w:hAnsi="Times New Roman" w:eastAsia="宋体" w:cs="Times New Roman"/>
    </w:rPr>
  </w:style>
  <w:style w:type="character" w:customStyle="1" w:styleId="90">
    <w:name w:val="纯文本 字符"/>
    <w:qFormat/>
    <w:uiPriority w:val="0"/>
    <w:rPr>
      <w:rFonts w:ascii="宋体" w:hAnsi="Courier New" w:eastAsia="宋体" w:cs="Courier New"/>
      <w:kern w:val="2"/>
      <w:sz w:val="21"/>
      <w:szCs w:val="21"/>
      <w:lang w:val="en-US" w:eastAsia="zh-CN" w:bidi="ar-SA"/>
    </w:rPr>
  </w:style>
  <w:style w:type="character" w:customStyle="1" w:styleId="91">
    <w:name w:val="Char Char"/>
    <w:qFormat/>
    <w:uiPriority w:val="0"/>
    <w:rPr>
      <w:rFonts w:hint="eastAsia" w:ascii="宋体" w:hAnsi="Courier New" w:eastAsia="宋体" w:cs="Times New Roman"/>
      <w:kern w:val="2"/>
      <w:sz w:val="21"/>
      <w:lang w:val="en-US" w:eastAsia="zh-CN" w:bidi="ar-SA"/>
    </w:rPr>
  </w:style>
  <w:style w:type="character" w:customStyle="1" w:styleId="92">
    <w:name w:val="unnamed51"/>
    <w:qFormat/>
    <w:uiPriority w:val="0"/>
    <w:rPr>
      <w:rFonts w:ascii="Times New Roman" w:hAnsi="Times New Roman" w:eastAsia="宋体" w:cs="Times New Roman"/>
      <w:sz w:val="22"/>
      <w:szCs w:val="22"/>
    </w:rPr>
  </w:style>
  <w:style w:type="character" w:customStyle="1" w:styleId="93">
    <w:name w:val="正文文本首行缩进 字符"/>
    <w:link w:val="94"/>
    <w:qFormat/>
    <w:uiPriority w:val="0"/>
    <w:rPr>
      <w:rFonts w:ascii="Times New Roman" w:hAnsi="Times New Roman" w:eastAsia="仿宋_GB2312" w:cs="Times New Roman"/>
      <w:kern w:val="2"/>
      <w:sz w:val="21"/>
      <w:szCs w:val="24"/>
    </w:rPr>
  </w:style>
  <w:style w:type="paragraph" w:customStyle="1" w:styleId="94">
    <w:name w:val="正文文本首行缩进1"/>
    <w:basedOn w:val="15"/>
    <w:link w:val="93"/>
    <w:qFormat/>
    <w:uiPriority w:val="0"/>
    <w:pPr>
      <w:adjustRightInd/>
      <w:spacing w:after="120" w:line="240" w:lineRule="auto"/>
      <w:ind w:firstLine="420" w:firstLineChars="100"/>
      <w:jc w:val="both"/>
    </w:pPr>
    <w:rPr>
      <w:rFonts w:ascii="Times New Roman"/>
      <w:kern w:val="2"/>
      <w:sz w:val="21"/>
      <w:szCs w:val="24"/>
    </w:rPr>
  </w:style>
  <w:style w:type="character" w:customStyle="1" w:styleId="95">
    <w:name w:val="font11"/>
    <w:qFormat/>
    <w:uiPriority w:val="0"/>
    <w:rPr>
      <w:rFonts w:hint="eastAsia" w:ascii="宋体" w:hAnsi="宋体" w:eastAsia="宋体" w:cs="宋体"/>
      <w:color w:val="000000"/>
      <w:sz w:val="40"/>
      <w:szCs w:val="40"/>
      <w:u w:val="none"/>
    </w:rPr>
  </w:style>
  <w:style w:type="character" w:customStyle="1" w:styleId="96">
    <w:name w:val="font31"/>
    <w:qFormat/>
    <w:uiPriority w:val="0"/>
    <w:rPr>
      <w:rFonts w:hint="eastAsia" w:ascii="宋体" w:hAnsi="宋体" w:eastAsia="宋体" w:cs="宋体"/>
      <w:color w:val="000000"/>
      <w:sz w:val="20"/>
      <w:szCs w:val="20"/>
      <w:u w:val="none"/>
    </w:rPr>
  </w:style>
  <w:style w:type="character" w:customStyle="1" w:styleId="97">
    <w:name w:val="纯文本 Char"/>
    <w:qFormat/>
    <w:uiPriority w:val="0"/>
    <w:rPr>
      <w:rFonts w:ascii="宋体" w:hAnsi="Courier New" w:eastAsia="宋体" w:cs="Courier New"/>
      <w:kern w:val="2"/>
      <w:sz w:val="21"/>
      <w:szCs w:val="21"/>
    </w:rPr>
  </w:style>
  <w:style w:type="character" w:customStyle="1" w:styleId="98">
    <w:name w:val="页脚 字符"/>
    <w:qFormat/>
    <w:uiPriority w:val="99"/>
    <w:rPr>
      <w:rFonts w:ascii="Times New Roman" w:hAnsi="Times New Roman" w:eastAsia="宋体" w:cs="Times New Roman"/>
      <w:kern w:val="2"/>
      <w:sz w:val="18"/>
      <w:lang w:val="en-US" w:eastAsia="zh-CN" w:bidi="ar-SA"/>
    </w:rPr>
  </w:style>
  <w:style w:type="character" w:customStyle="1" w:styleId="99">
    <w:name w:val="Char Char3"/>
    <w:qFormat/>
    <w:uiPriority w:val="0"/>
    <w:rPr>
      <w:rFonts w:hint="eastAsia" w:ascii="宋体" w:hAnsi="Courier New" w:eastAsia="宋体" w:cs="Times New Roman"/>
      <w:kern w:val="2"/>
      <w:sz w:val="21"/>
      <w:lang w:val="en-US" w:eastAsia="zh-CN" w:bidi="ar-SA"/>
    </w:rPr>
  </w:style>
  <w:style w:type="character" w:customStyle="1" w:styleId="100">
    <w:name w:val="unnamed1"/>
    <w:qFormat/>
    <w:uiPriority w:val="0"/>
    <w:rPr>
      <w:rFonts w:ascii="Times New Roman" w:hAnsi="Times New Roman" w:eastAsia="宋体" w:cs="Times New Roman"/>
    </w:rPr>
  </w:style>
  <w:style w:type="character" w:customStyle="1" w:styleId="101">
    <w:name w:val="search_result_snap1"/>
    <w:qFormat/>
    <w:uiPriority w:val="0"/>
    <w:rPr>
      <w:rFonts w:ascii="Times New Roman" w:hAnsi="Times New Roman" w:eastAsia="宋体" w:cs="Times New Roman"/>
      <w:sz w:val="21"/>
      <w:szCs w:val="21"/>
    </w:rPr>
  </w:style>
  <w:style w:type="character" w:customStyle="1" w:styleId="102">
    <w:name w:val="不明显强调1"/>
    <w:qFormat/>
    <w:uiPriority w:val="0"/>
    <w:rPr>
      <w:rFonts w:ascii="Times New Roman" w:hAnsi="Times New Roman" w:eastAsia="宋体" w:cs="Times New Roman"/>
      <w:i/>
      <w:iCs/>
      <w:color w:val="808080"/>
    </w:rPr>
  </w:style>
  <w:style w:type="character" w:customStyle="1" w:styleId="103">
    <w:name w:val="正文文本缩进 字符"/>
    <w:qFormat/>
    <w:uiPriority w:val="0"/>
    <w:rPr>
      <w:rFonts w:ascii="仿宋_GB2312" w:hAnsi="Times New Roman" w:eastAsia="仿宋_GB2312" w:cs="Times New Roman"/>
      <w:kern w:val="2"/>
      <w:sz w:val="28"/>
      <w:lang w:val="en-US" w:eastAsia="zh-CN" w:bidi="ar-SA"/>
    </w:rPr>
  </w:style>
  <w:style w:type="character" w:customStyle="1" w:styleId="104">
    <w:name w:val="(aNormal) + 宋体 Char"/>
    <w:link w:val="105"/>
    <w:qFormat/>
    <w:uiPriority w:val="0"/>
    <w:rPr>
      <w:rFonts w:ascii="宋体" w:hAnsi="宋体" w:eastAsia="宋体" w:cs="Times New Roman"/>
      <w:lang w:val="en-GB"/>
    </w:rPr>
  </w:style>
  <w:style w:type="paragraph" w:customStyle="1" w:styleId="105">
    <w:name w:val="(aNormal) + 宋体"/>
    <w:basedOn w:val="1"/>
    <w:link w:val="104"/>
    <w:qFormat/>
    <w:uiPriority w:val="0"/>
    <w:pPr>
      <w:widowControl/>
      <w:spacing w:before="240" w:after="120" w:line="240" w:lineRule="auto"/>
      <w:ind w:firstLine="0" w:firstLineChars="0"/>
    </w:pPr>
    <w:rPr>
      <w:kern w:val="0"/>
      <w:sz w:val="20"/>
      <w:szCs w:val="20"/>
      <w:lang w:val="en-GB"/>
    </w:rPr>
  </w:style>
  <w:style w:type="character" w:customStyle="1" w:styleId="106">
    <w:name w:val="hei16b1"/>
    <w:qFormat/>
    <w:uiPriority w:val="0"/>
    <w:rPr>
      <w:rFonts w:hint="default" w:ascii="Arial" w:hAnsi="Arial" w:eastAsia="宋体" w:cs="Arial"/>
      <w:b/>
      <w:bCs/>
      <w:color w:val="000000"/>
      <w:sz w:val="24"/>
      <w:szCs w:val="24"/>
    </w:rPr>
  </w:style>
  <w:style w:type="character" w:customStyle="1" w:styleId="107">
    <w:name w:val="无间隔 Char"/>
    <w:link w:val="108"/>
    <w:qFormat/>
    <w:uiPriority w:val="0"/>
    <w:rPr>
      <w:rFonts w:cs="Calibri"/>
      <w:kern w:val="2"/>
      <w:sz w:val="21"/>
      <w:szCs w:val="22"/>
      <w:lang w:val="en-US" w:eastAsia="zh-CN" w:bidi="ar-SA"/>
    </w:rPr>
  </w:style>
  <w:style w:type="paragraph" w:customStyle="1" w:styleId="108">
    <w:name w:val="无间隔1"/>
    <w:link w:val="107"/>
    <w:qFormat/>
    <w:uiPriority w:val="0"/>
    <w:pPr>
      <w:widowControl w:val="0"/>
      <w:spacing w:after="160" w:line="278" w:lineRule="auto"/>
      <w:jc w:val="both"/>
    </w:pPr>
    <w:rPr>
      <w:rFonts w:ascii="Times New Roman" w:hAnsi="Times New Roman" w:eastAsia="宋体" w:cs="Calibri"/>
      <w:kern w:val="2"/>
      <w:sz w:val="21"/>
      <w:szCs w:val="22"/>
      <w:lang w:val="en-US" w:eastAsia="zh-CN" w:bidi="ar-SA"/>
    </w:rPr>
  </w:style>
  <w:style w:type="character" w:customStyle="1" w:styleId="109">
    <w:name w:val="wz1"/>
    <w:qFormat/>
    <w:uiPriority w:val="0"/>
    <w:rPr>
      <w:rFonts w:ascii="Times New Roman" w:hAnsi="Times New Roman" w:eastAsia="宋体" w:cs="Times New Roman"/>
    </w:rPr>
  </w:style>
  <w:style w:type="character" w:customStyle="1" w:styleId="110">
    <w:name w:val="button1"/>
    <w:qFormat/>
    <w:uiPriority w:val="0"/>
    <w:rPr>
      <w:rFonts w:hint="default" w:ascii="Verdana" w:hAnsi="Verdana" w:eastAsia="宋体" w:cs="Times New Roman"/>
      <w:b/>
      <w:bCs/>
      <w:sz w:val="20"/>
      <w:szCs w:val="20"/>
    </w:rPr>
  </w:style>
  <w:style w:type="character" w:customStyle="1" w:styleId="111">
    <w:name w:val="body001"/>
    <w:qFormat/>
    <w:uiPriority w:val="0"/>
    <w:rPr>
      <w:rFonts w:hint="default" w:ascii="ˎ̥" w:hAnsi="ˎ̥" w:eastAsia="宋体" w:cs="Times New Roman"/>
      <w:color w:val="333333"/>
      <w:sz w:val="18"/>
      <w:szCs w:val="18"/>
    </w:rPr>
  </w:style>
  <w:style w:type="character" w:customStyle="1" w:styleId="112">
    <w:name w:val="font71"/>
    <w:qFormat/>
    <w:uiPriority w:val="0"/>
    <w:rPr>
      <w:rFonts w:ascii="Arial" w:hAnsi="Arial" w:eastAsia="宋体" w:cs="Arial"/>
      <w:b/>
      <w:color w:val="333333"/>
      <w:sz w:val="20"/>
      <w:szCs w:val="20"/>
      <w:u w:val="none"/>
    </w:rPr>
  </w:style>
  <w:style w:type="character" w:customStyle="1" w:styleId="113">
    <w:name w:val="style8"/>
    <w:qFormat/>
    <w:uiPriority w:val="0"/>
    <w:rPr>
      <w:rFonts w:ascii="Times New Roman" w:hAnsi="Times New Roman" w:eastAsia="宋体" w:cs="Times New Roman"/>
    </w:rPr>
  </w:style>
  <w:style w:type="character" w:customStyle="1" w:styleId="114">
    <w:name w:val="style1"/>
    <w:qFormat/>
    <w:uiPriority w:val="0"/>
    <w:rPr>
      <w:rFonts w:ascii="Times New Roman" w:hAnsi="Times New Roman" w:eastAsia="宋体" w:cs="Times New Roman"/>
    </w:rPr>
  </w:style>
  <w:style w:type="character" w:customStyle="1" w:styleId="115">
    <w:name w:val="标题 Char"/>
    <w:qFormat/>
    <w:uiPriority w:val="0"/>
    <w:rPr>
      <w:rFonts w:ascii="Cambria" w:hAnsi="Cambria" w:eastAsia="宋体" w:cs="Times New Roman"/>
      <w:b/>
      <w:bCs/>
      <w:kern w:val="2"/>
      <w:sz w:val="32"/>
      <w:szCs w:val="32"/>
    </w:rPr>
  </w:style>
  <w:style w:type="character" w:customStyle="1" w:styleId="116">
    <w:name w:val="font01"/>
    <w:qFormat/>
    <w:uiPriority w:val="0"/>
    <w:rPr>
      <w:rFonts w:hint="eastAsia" w:ascii="宋体" w:hAnsi="宋体" w:eastAsia="宋体" w:cs="宋体"/>
      <w:b/>
      <w:color w:val="333333"/>
      <w:sz w:val="20"/>
      <w:szCs w:val="20"/>
      <w:u w:val="none"/>
    </w:rPr>
  </w:style>
  <w:style w:type="paragraph" w:customStyle="1" w:styleId="117">
    <w:name w:val="Blockquote"/>
    <w:basedOn w:val="1"/>
    <w:qFormat/>
    <w:uiPriority w:val="0"/>
    <w:pPr>
      <w:autoSpaceDE w:val="0"/>
      <w:autoSpaceDN w:val="0"/>
      <w:adjustRightInd w:val="0"/>
      <w:spacing w:before="100" w:after="100"/>
      <w:ind w:left="360" w:right="360"/>
      <w:jc w:val="left"/>
    </w:pPr>
    <w:rPr>
      <w:rFonts w:ascii="Times New Roman" w:hAnsi="Times New Roman"/>
      <w:kern w:val="0"/>
    </w:rPr>
  </w:style>
  <w:style w:type="paragraph" w:customStyle="1" w:styleId="118">
    <w:name w:val="默认段落字体 Para Char"/>
    <w:basedOn w:val="1"/>
    <w:qFormat/>
    <w:uiPriority w:val="0"/>
    <w:pPr>
      <w:spacing w:line="240" w:lineRule="auto"/>
      <w:ind w:firstLine="0" w:firstLineChars="0"/>
    </w:pPr>
    <w:rPr>
      <w:rFonts w:ascii="Times New Roman" w:hAnsi="Times New Roman"/>
    </w:rPr>
  </w:style>
  <w:style w:type="paragraph" w:customStyle="1" w:styleId="119">
    <w:name w:val="table_lines"/>
    <w:basedOn w:val="1"/>
    <w:qFormat/>
    <w:uiPriority w:val="0"/>
    <w:pPr>
      <w:widowControl/>
      <w:spacing w:line="240" w:lineRule="auto"/>
      <w:ind w:firstLine="0" w:firstLineChars="0"/>
      <w:jc w:val="left"/>
    </w:pPr>
    <w:rPr>
      <w:rFonts w:ascii="Times New Roman" w:hAnsi="Times New Roman"/>
      <w:kern w:val="0"/>
      <w:sz w:val="20"/>
      <w:szCs w:val="20"/>
      <w:lang w:val="de-DE" w:eastAsia="de-DE"/>
    </w:rPr>
  </w:style>
  <w:style w:type="paragraph" w:customStyle="1" w:styleId="120">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lang w:val="en-US" w:eastAsia="zh-CN" w:bidi="ar-SA"/>
    </w:rPr>
  </w:style>
  <w:style w:type="paragraph" w:customStyle="1" w:styleId="1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23">
    <w:name w:val="1"/>
    <w:basedOn w:val="1"/>
    <w:next w:val="39"/>
    <w:qFormat/>
    <w:uiPriority w:val="0"/>
    <w:pPr>
      <w:widowControl/>
      <w:spacing w:before="100" w:beforeAutospacing="1" w:after="100" w:afterAutospacing="1" w:line="240" w:lineRule="auto"/>
      <w:ind w:firstLine="0" w:firstLineChars="0"/>
      <w:jc w:val="left"/>
    </w:pPr>
    <w:rPr>
      <w:kern w:val="0"/>
    </w:rPr>
  </w:style>
  <w:style w:type="paragraph" w:customStyle="1" w:styleId="124">
    <w:name w:val="head 1.1"/>
    <w:basedOn w:val="125"/>
    <w:qFormat/>
    <w:uiPriority w:val="0"/>
    <w:pPr>
      <w:numPr>
        <w:ilvl w:val="1"/>
        <w:numId w:val="3"/>
      </w:numPr>
      <w:spacing w:before="260" w:after="260" w:line="240" w:lineRule="auto"/>
      <w:ind w:firstLine="0" w:firstLineChars="0"/>
    </w:pPr>
    <w:rPr>
      <w:rFonts w:ascii="宋体" w:hAnsi="宋体"/>
      <w:bCs/>
      <w:szCs w:val="22"/>
    </w:rPr>
  </w:style>
  <w:style w:type="paragraph" w:customStyle="1" w:styleId="125">
    <w:name w:val="列表段落1"/>
    <w:basedOn w:val="1"/>
    <w:qFormat/>
    <w:uiPriority w:val="0"/>
    <w:pPr>
      <w:ind w:firstLine="420"/>
    </w:pPr>
    <w:rPr>
      <w:rFonts w:ascii="Times New Roman" w:hAnsi="Times New Roman"/>
    </w:rPr>
  </w:style>
  <w:style w:type="paragraph" w:customStyle="1" w:styleId="1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27">
    <w:name w:val="_Style 40"/>
    <w:basedOn w:val="1"/>
    <w:qFormat/>
    <w:uiPriority w:val="0"/>
    <w:pPr>
      <w:spacing w:line="240" w:lineRule="auto"/>
      <w:ind w:firstLine="0" w:firstLineChars="0"/>
    </w:pPr>
    <w:rPr>
      <w:rFonts w:ascii="Times New Roman" w:hAnsi="Times New Roman"/>
    </w:rPr>
  </w:style>
  <w:style w:type="paragraph" w:customStyle="1" w:styleId="128">
    <w:name w:val="正文段"/>
    <w:basedOn w:val="1"/>
    <w:qFormat/>
    <w:uiPriority w:val="0"/>
    <w:pPr>
      <w:widowControl/>
      <w:snapToGrid w:val="0"/>
      <w:spacing w:afterLines="50"/>
    </w:pPr>
    <w:rPr>
      <w:rFonts w:ascii="Times New Roman" w:hAnsi="Times New Roman"/>
      <w:kern w:val="0"/>
    </w:rPr>
  </w:style>
  <w:style w:type="paragraph" w:customStyle="1" w:styleId="129">
    <w:name w:val="Proposals body"/>
    <w:basedOn w:val="1"/>
    <w:next w:val="1"/>
    <w:qFormat/>
    <w:uiPriority w:val="0"/>
    <w:pPr>
      <w:widowControl/>
      <w:snapToGrid w:val="0"/>
      <w:ind w:firstLine="0" w:firstLineChars="0"/>
      <w:jc w:val="left"/>
    </w:pPr>
    <w:rPr>
      <w:rFonts w:hAnsi="Times New Roman"/>
      <w:color w:val="000000"/>
      <w:kern w:val="0"/>
      <w:szCs w:val="20"/>
    </w:rPr>
  </w:style>
  <w:style w:type="paragraph" w:customStyle="1" w:styleId="130">
    <w:name w:val="Char1 Char Char"/>
    <w:basedOn w:val="1"/>
    <w:qFormat/>
    <w:uiPriority w:val="0"/>
    <w:pPr>
      <w:widowControl/>
      <w:jc w:val="left"/>
    </w:pPr>
    <w:rPr>
      <w:rFonts w:ascii="Verdana" w:hAnsi="Verdana" w:eastAsia="黑体"/>
      <w:kern w:val="0"/>
      <w:szCs w:val="20"/>
      <w:lang w:eastAsia="en-US"/>
    </w:rPr>
  </w:style>
  <w:style w:type="paragraph" w:customStyle="1" w:styleId="131">
    <w:name w:val="列出段落1"/>
    <w:basedOn w:val="1"/>
    <w:qFormat/>
    <w:uiPriority w:val="0"/>
    <w:pPr>
      <w:spacing w:line="240" w:lineRule="auto"/>
      <w:ind w:firstLine="420"/>
    </w:pPr>
    <w:rPr>
      <w:rFonts w:ascii="Times New Roman" w:hAnsi="Times New Roman"/>
    </w:rPr>
  </w:style>
  <w:style w:type="paragraph" w:customStyle="1" w:styleId="132">
    <w:name w:val="小标题2"/>
    <w:basedOn w:val="1"/>
    <w:next w:val="1"/>
    <w:qFormat/>
    <w:uiPriority w:val="0"/>
    <w:pPr>
      <w:spacing w:beforeLines="20" w:afterLines="20" w:line="400" w:lineRule="exact"/>
    </w:pPr>
    <w:rPr>
      <w:rFonts w:ascii="Times New Roman" w:hAnsi="Times New Roman" w:eastAsia="楷体_GB2312"/>
    </w:rPr>
  </w:style>
  <w:style w:type="paragraph" w:customStyle="1" w:styleId="13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34">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13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color w:val="000000"/>
      <w:kern w:val="0"/>
      <w:sz w:val="18"/>
      <w:szCs w:val="18"/>
    </w:rPr>
  </w:style>
  <w:style w:type="paragraph" w:customStyle="1" w:styleId="136">
    <w:name w:val="样式1"/>
    <w:basedOn w:val="1"/>
    <w:qFormat/>
    <w:uiPriority w:val="0"/>
    <w:pPr>
      <w:spacing w:line="360" w:lineRule="exact"/>
    </w:pPr>
    <w:rPr>
      <w:rFonts w:ascii="Arial" w:hAnsi="Arial"/>
      <w:sz w:val="21"/>
    </w:rPr>
  </w:style>
  <w:style w:type="paragraph" w:customStyle="1" w:styleId="137">
    <w:name w:val="正文格式"/>
    <w:basedOn w:val="1"/>
    <w:qFormat/>
    <w:uiPriority w:val="0"/>
    <w:pPr>
      <w:widowControl/>
      <w:adjustRightInd w:val="0"/>
      <w:snapToGrid w:val="0"/>
      <w:ind w:firstLine="482" w:firstLineChars="0"/>
    </w:pPr>
    <w:rPr>
      <w:rFonts w:ascii="Times New Roman" w:hAnsi="Times New Roman"/>
      <w:kern w:val="0"/>
      <w:szCs w:val="20"/>
    </w:rPr>
  </w:style>
  <w:style w:type="paragraph" w:customStyle="1" w:styleId="138">
    <w:name w:val="TOC 标题1"/>
    <w:basedOn w:val="4"/>
    <w:next w:val="1"/>
    <w:qFormat/>
    <w:uiPriority w:val="0"/>
    <w:pPr>
      <w:widowControl/>
      <w:spacing w:line="240" w:lineRule="auto"/>
      <w:outlineLvl w:val="9"/>
    </w:pPr>
    <w:rPr>
      <w:rFonts w:ascii="Times New Roman" w:hAnsi="Times New Roman"/>
      <w:kern w:val="0"/>
      <w:sz w:val="21"/>
      <w:szCs w:val="28"/>
    </w:rPr>
  </w:style>
  <w:style w:type="paragraph" w:customStyle="1" w:styleId="139">
    <w:name w:val="表格"/>
    <w:basedOn w:val="15"/>
    <w:next w:val="1"/>
    <w:qFormat/>
    <w:uiPriority w:val="0"/>
    <w:pPr>
      <w:spacing w:line="240" w:lineRule="auto"/>
      <w:jc w:val="center"/>
    </w:pPr>
    <w:rPr>
      <w:rFonts w:ascii="Times New Roman" w:eastAsia="宋体"/>
    </w:rPr>
  </w:style>
  <w:style w:type="paragraph" w:customStyle="1" w:styleId="140">
    <w:name w:val="Char1"/>
    <w:basedOn w:val="1"/>
    <w:qFormat/>
    <w:uiPriority w:val="0"/>
    <w:rPr>
      <w:rFonts w:ascii="Tahoma" w:hAnsi="Tahoma"/>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2">
    <w:name w:val="正文－恩普"/>
    <w:basedOn w:val="9"/>
    <w:qFormat/>
    <w:uiPriority w:val="0"/>
    <w:pPr>
      <w:widowControl/>
      <w:spacing w:afterLines="50" w:line="360" w:lineRule="auto"/>
      <w:ind w:firstLine="480" w:firstLineChars="200"/>
      <w:jc w:val="left"/>
    </w:pPr>
  </w:style>
  <w:style w:type="paragraph" w:customStyle="1" w:styleId="143">
    <w:name w:val="正文2"/>
    <w:basedOn w:val="1"/>
    <w:qFormat/>
    <w:uiPriority w:val="0"/>
    <w:pPr>
      <w:spacing w:before="156"/>
      <w:ind w:firstLine="510"/>
    </w:pPr>
    <w:rPr>
      <w:rFonts w:ascii="MT Extra" w:hAnsi="MT Extra" w:cs="MT Extra"/>
    </w:rPr>
  </w:style>
  <w:style w:type="paragraph" w:customStyle="1" w:styleId="144">
    <w:name w:val="Char Char Char"/>
    <w:basedOn w:val="1"/>
    <w:qFormat/>
    <w:uiPriority w:val="0"/>
    <w:pPr>
      <w:spacing w:line="240" w:lineRule="auto"/>
      <w:ind w:firstLine="0" w:firstLineChars="0"/>
    </w:pPr>
    <w:rPr>
      <w:rFonts w:ascii="Tahoma" w:hAnsi="Tahoma"/>
      <w:szCs w:val="20"/>
    </w:rPr>
  </w:style>
  <w:style w:type="paragraph" w:customStyle="1" w:styleId="145">
    <w:name w:val="Char Char Char Char Char Char"/>
    <w:basedOn w:val="1"/>
    <w:qFormat/>
    <w:uiPriority w:val="0"/>
    <w:pPr>
      <w:spacing w:line="240" w:lineRule="auto"/>
    </w:pPr>
    <w:rPr>
      <w:rFonts w:ascii="Tahoma" w:hAnsi="Tahoma"/>
      <w:szCs w:val="20"/>
    </w:rPr>
  </w:style>
  <w:style w:type="paragraph" w:customStyle="1" w:styleId="146">
    <w:name w:val="Char2"/>
    <w:basedOn w:val="1"/>
    <w:qFormat/>
    <w:uiPriority w:val="0"/>
    <w:pPr>
      <w:spacing w:line="240" w:lineRule="auto"/>
      <w:ind w:firstLine="0" w:firstLineChars="0"/>
    </w:pPr>
    <w:rPr>
      <w:rFonts w:ascii="仿宋_GB2312" w:hAnsi="Times New Roman" w:eastAsia="仿宋_GB2312"/>
      <w:b/>
      <w:sz w:val="32"/>
      <w:szCs w:val="32"/>
    </w:rPr>
  </w:style>
  <w:style w:type="paragraph" w:customStyle="1" w:styleId="1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48">
    <w:name w:val="p0"/>
    <w:basedOn w:val="1"/>
    <w:qFormat/>
    <w:uiPriority w:val="0"/>
    <w:pPr>
      <w:widowControl/>
      <w:spacing w:line="240" w:lineRule="auto"/>
      <w:ind w:firstLine="0" w:firstLineChars="0"/>
    </w:pPr>
    <w:rPr>
      <w:rFonts w:ascii="Times New Roman" w:hAnsi="Times New Roman"/>
      <w:kern w:val="0"/>
      <w:szCs w:val="21"/>
    </w:rPr>
  </w:style>
  <w:style w:type="paragraph" w:customStyle="1" w:styleId="149">
    <w:name w:val="正文1"/>
    <w:basedOn w:val="1"/>
    <w:qFormat/>
    <w:uiPriority w:val="0"/>
    <w:pPr>
      <w:widowControl/>
      <w:spacing w:after="200" w:line="300" w:lineRule="atLeast"/>
      <w:jc w:val="left"/>
    </w:pPr>
    <w:rPr>
      <w:rFonts w:ascii="Times New Roman" w:hAnsi="Times New Roman" w:cs="宋体"/>
      <w:kern w:val="0"/>
      <w:sz w:val="22"/>
      <w:szCs w:val="22"/>
    </w:rPr>
  </w:style>
  <w:style w:type="paragraph" w:customStyle="1" w:styleId="150">
    <w:name w:val="Char Char Char Char"/>
    <w:basedOn w:val="1"/>
    <w:qFormat/>
    <w:uiPriority w:val="0"/>
    <w:pPr>
      <w:widowControl/>
      <w:spacing w:line="240" w:lineRule="exact"/>
      <w:ind w:firstLine="0" w:firstLineChars="0"/>
      <w:jc w:val="left"/>
    </w:pPr>
    <w:rPr>
      <w:rFonts w:ascii="Arial" w:hAnsi="Arial" w:eastAsia="Times New Roman" w:cs="Verdana"/>
      <w:b/>
      <w:kern w:val="0"/>
      <w:szCs w:val="20"/>
      <w:lang w:eastAsia="en-US"/>
    </w:rPr>
  </w:style>
  <w:style w:type="paragraph" w:customStyle="1" w:styleId="151">
    <w:name w:val="0"/>
    <w:basedOn w:val="1"/>
    <w:qFormat/>
    <w:uiPriority w:val="0"/>
    <w:pPr>
      <w:widowControl/>
    </w:pPr>
    <w:rPr>
      <w:rFonts w:ascii="Times New Roman" w:hAnsi="Times New Roman"/>
      <w:kern w:val="0"/>
      <w:szCs w:val="21"/>
    </w:rPr>
  </w:style>
  <w:style w:type="paragraph" w:customStyle="1" w:styleId="152">
    <w:name w:val="Char Char Char Char Char Char Char Char"/>
    <w:basedOn w:val="1"/>
    <w:qFormat/>
    <w:uiPriority w:val="0"/>
    <w:pPr>
      <w:tabs>
        <w:tab w:val="left" w:pos="360"/>
      </w:tabs>
      <w:spacing w:line="240" w:lineRule="auto"/>
      <w:ind w:firstLine="0" w:firstLineChars="0"/>
    </w:pPr>
    <w:rPr>
      <w:rFonts w:ascii="Times New Roman" w:hAnsi="Times New Roman"/>
      <w:szCs w:val="20"/>
    </w:rPr>
  </w:style>
  <w:style w:type="paragraph" w:customStyle="1" w:styleId="153">
    <w:name w:val="表内文字"/>
    <w:basedOn w:val="1"/>
    <w:qFormat/>
    <w:uiPriority w:val="0"/>
    <w:pPr>
      <w:tabs>
        <w:tab w:val="left" w:pos="1418"/>
      </w:tabs>
      <w:ind w:firstLine="0" w:firstLineChars="0"/>
      <w:jc w:val="center"/>
    </w:pPr>
    <w:rPr>
      <w:rFonts w:ascii="仿宋_GB2312" w:hAnsi="Times New Roman" w:eastAsia="仿宋_GB2312"/>
      <w:spacing w:val="-20"/>
      <w:kern w:val="0"/>
    </w:rPr>
  </w:style>
  <w:style w:type="paragraph" w:customStyle="1" w:styleId="154">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5">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7">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5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18"/>
      <w:szCs w:val="18"/>
    </w:rPr>
  </w:style>
  <w:style w:type="paragraph" w:customStyle="1" w:styleId="1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60">
    <w:name w:val="trs_editor"/>
    <w:basedOn w:val="1"/>
    <w:qFormat/>
    <w:uiPriority w:val="0"/>
    <w:pPr>
      <w:widowControl/>
      <w:spacing w:before="100" w:beforeAutospacing="1" w:after="100" w:afterAutospacing="1"/>
      <w:jc w:val="left"/>
    </w:pPr>
    <w:rPr>
      <w:rFonts w:cs="宋体"/>
      <w:kern w:val="0"/>
    </w:rPr>
  </w:style>
  <w:style w:type="paragraph" w:customStyle="1" w:styleId="161">
    <w:name w:val="font8"/>
    <w:basedOn w:val="1"/>
    <w:qFormat/>
    <w:uiPriority w:val="0"/>
    <w:pPr>
      <w:widowControl/>
      <w:spacing w:before="100" w:beforeAutospacing="1" w:after="100" w:afterAutospacing="1" w:line="240" w:lineRule="auto"/>
      <w:ind w:firstLine="0" w:firstLineChars="0"/>
      <w:jc w:val="left"/>
    </w:pPr>
    <w:rPr>
      <w:rFonts w:ascii="Times New Roman" w:hAnsi="Times New Roman" w:cs="宋体"/>
      <w:color w:val="000000"/>
      <w:kern w:val="0"/>
      <w:sz w:val="18"/>
      <w:szCs w:val="18"/>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163">
    <w:name w:val="列出段落2"/>
    <w:basedOn w:val="1"/>
    <w:qFormat/>
    <w:uiPriority w:val="99"/>
    <w:pPr>
      <w:ind w:firstLine="420"/>
    </w:pPr>
    <w:rPr>
      <w:rFonts w:ascii="Times New Roman" w:hAnsi="Times New Roman"/>
      <w:szCs w:val="22"/>
    </w:rPr>
  </w:style>
  <w:style w:type="paragraph" w:customStyle="1" w:styleId="164">
    <w:name w:val="p16"/>
    <w:basedOn w:val="1"/>
    <w:qFormat/>
    <w:uiPriority w:val="0"/>
    <w:pPr>
      <w:widowControl/>
      <w:spacing w:line="240" w:lineRule="auto"/>
      <w:ind w:left="420" w:hanging="420" w:firstLineChars="0"/>
    </w:pPr>
    <w:rPr>
      <w:rFonts w:ascii="Times New Roman" w:hAnsi="Times New Roman"/>
      <w:kern w:val="0"/>
      <w:szCs w:val="21"/>
    </w:rPr>
  </w:style>
  <w:style w:type="paragraph" w:customStyle="1" w:styleId="165">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66">
    <w:name w:val="样式3"/>
    <w:basedOn w:val="167"/>
    <w:qFormat/>
    <w:uiPriority w:val="0"/>
    <w:pPr>
      <w:spacing w:line="240" w:lineRule="auto"/>
    </w:pPr>
  </w:style>
  <w:style w:type="paragraph" w:customStyle="1" w:styleId="167">
    <w:name w:val="样式2"/>
    <w:basedOn w:val="136"/>
    <w:qFormat/>
    <w:uiPriority w:val="0"/>
    <w:pPr>
      <w:ind w:firstLine="0" w:firstLineChars="0"/>
    </w:pPr>
    <w:rPr>
      <w:rFonts w:ascii="Times New Roman" w:hAnsi="Times New Roman"/>
    </w:rPr>
  </w:style>
  <w:style w:type="paragraph" w:customStyle="1" w:styleId="168">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69">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70">
    <w:name w:val="head 1.1.1"/>
    <w:basedOn w:val="125"/>
    <w:qFormat/>
    <w:uiPriority w:val="0"/>
    <w:pPr>
      <w:numPr>
        <w:ilvl w:val="2"/>
        <w:numId w:val="3"/>
      </w:numPr>
      <w:spacing w:line="240" w:lineRule="auto"/>
      <w:ind w:firstLine="0" w:firstLineChars="0"/>
    </w:pPr>
    <w:rPr>
      <w:bCs/>
      <w:szCs w:val="22"/>
    </w:rPr>
  </w:style>
  <w:style w:type="paragraph" w:customStyle="1" w:styleId="1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18"/>
      <w:szCs w:val="18"/>
    </w:rPr>
  </w:style>
  <w:style w:type="paragraph" w:customStyle="1" w:styleId="17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73">
    <w:name w:val="Char Char Char Char Char Char Char Char Char Char"/>
    <w:basedOn w:val="11"/>
    <w:qFormat/>
    <w:uiPriority w:val="0"/>
    <w:pPr>
      <w:shd w:val="clear" w:color="auto" w:fill="000080"/>
      <w:spacing w:line="240" w:lineRule="auto"/>
      <w:ind w:firstLine="0" w:firstLineChars="0"/>
    </w:pPr>
    <w:rPr>
      <w:rFonts w:ascii="Tahoma" w:hAnsi="Tahoma"/>
      <w:sz w:val="24"/>
      <w:szCs w:val="24"/>
    </w:rPr>
  </w:style>
  <w:style w:type="paragraph" w:customStyle="1" w:styleId="1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color w:val="000000"/>
      <w:kern w:val="0"/>
      <w:sz w:val="18"/>
      <w:szCs w:val="18"/>
    </w:rPr>
  </w:style>
  <w:style w:type="paragraph" w:customStyle="1" w:styleId="175">
    <w:name w:val="标题3"/>
    <w:basedOn w:val="5"/>
    <w:link w:val="176"/>
    <w:qFormat/>
    <w:uiPriority w:val="0"/>
    <w:pPr>
      <w:spacing w:before="260" w:after="260" w:line="415" w:lineRule="auto"/>
    </w:pPr>
    <w:rPr>
      <w:b w:val="0"/>
      <w:bCs w:val="0"/>
      <w:kern w:val="0"/>
      <w:sz w:val="28"/>
      <w:szCs w:val="28"/>
    </w:rPr>
  </w:style>
  <w:style w:type="character" w:customStyle="1" w:styleId="176">
    <w:name w:val="标题3 Char"/>
    <w:link w:val="175"/>
    <w:qFormat/>
    <w:uiPriority w:val="0"/>
    <w:rPr>
      <w:rFonts w:ascii="宋体" w:hAnsi="宋体" w:eastAsia="宋体" w:cs="Times New Roman"/>
      <w:sz w:val="28"/>
      <w:szCs w:val="28"/>
    </w:rPr>
  </w:style>
  <w:style w:type="paragraph" w:customStyle="1" w:styleId="177">
    <w:name w:val="部分1"/>
    <w:basedOn w:val="1"/>
    <w:qFormat/>
    <w:uiPriority w:val="0"/>
    <w:pPr>
      <w:keepNext/>
      <w:pageBreakBefore/>
      <w:tabs>
        <w:tab w:val="left" w:pos="720"/>
      </w:tabs>
      <w:jc w:val="center"/>
      <w:outlineLvl w:val="0"/>
    </w:pPr>
    <w:rPr>
      <w:rFonts w:ascii="Times New Roman" w:hAnsi="Times New Roman" w:eastAsia="黑体"/>
      <w:b/>
      <w:kern w:val="44"/>
      <w:sz w:val="36"/>
    </w:rPr>
  </w:style>
  <w:style w:type="paragraph" w:customStyle="1" w:styleId="178">
    <w:name w:val="font7"/>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18"/>
      <w:szCs w:val="18"/>
    </w:rPr>
  </w:style>
  <w:style w:type="paragraph" w:customStyle="1" w:styleId="17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color w:val="000000"/>
      <w:kern w:val="0"/>
      <w:sz w:val="18"/>
      <w:szCs w:val="18"/>
    </w:rPr>
  </w:style>
  <w:style w:type="paragraph" w:customStyle="1" w:styleId="180">
    <w:name w:val="四级目录 Char Char Char Char Char"/>
    <w:next w:val="1"/>
    <w:qFormat/>
    <w:uiPriority w:val="0"/>
    <w:pPr>
      <w:spacing w:after="160" w:line="360" w:lineRule="auto"/>
      <w:ind w:left="200" w:leftChars="200"/>
    </w:pPr>
    <w:rPr>
      <w:rFonts w:ascii="Times New Roman" w:hAnsi="Times New Roman" w:eastAsia="仿宋_GB2312" w:cs="Times New Roman"/>
      <w:sz w:val="30"/>
      <w:lang w:val="en-US" w:eastAsia="en-US" w:bidi="ar-SA"/>
    </w:rPr>
  </w:style>
  <w:style w:type="paragraph" w:customStyle="1" w:styleId="1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82">
    <w:name w:val="样式4"/>
    <w:basedOn w:val="1"/>
    <w:qFormat/>
    <w:uiPriority w:val="0"/>
    <w:pPr>
      <w:ind w:firstLine="0" w:firstLineChars="0"/>
      <w:jc w:val="center"/>
    </w:pPr>
    <w:rPr>
      <w:rFonts w:ascii="Times New Roman" w:hAnsi="Times New Roman"/>
      <w:sz w:val="20"/>
    </w:rPr>
  </w:style>
  <w:style w:type="paragraph" w:customStyle="1" w:styleId="183">
    <w:name w:val="默认段落字体 Para Char Char Char Char Char Char Char Char Char1 Char Char Char Char"/>
    <w:basedOn w:val="1"/>
    <w:qFormat/>
    <w:uiPriority w:val="0"/>
    <w:rPr>
      <w:rFonts w:ascii="Tahoma" w:hAnsi="Tahoma"/>
      <w:szCs w:val="20"/>
    </w:rPr>
  </w:style>
  <w:style w:type="paragraph" w:customStyle="1" w:styleId="184">
    <w:name w:val="Char"/>
    <w:basedOn w:val="1"/>
    <w:qFormat/>
    <w:uiPriority w:val="0"/>
    <w:pPr>
      <w:spacing w:line="240" w:lineRule="auto"/>
      <w:ind w:firstLine="0" w:firstLineChars="0"/>
    </w:pPr>
    <w:rPr>
      <w:rFonts w:ascii="仿宋_GB2312" w:hAnsi="Times New Roman" w:eastAsia="仿宋_GB2312"/>
      <w:b/>
      <w:sz w:val="32"/>
      <w:szCs w:val="32"/>
    </w:rPr>
  </w:style>
  <w:style w:type="paragraph" w:customStyle="1" w:styleId="185">
    <w:name w:val="_Style 3"/>
    <w:basedOn w:val="1"/>
    <w:next w:val="163"/>
    <w:qFormat/>
    <w:uiPriority w:val="0"/>
    <w:pPr>
      <w:ind w:firstLine="420"/>
    </w:pPr>
    <w:rPr>
      <w:rFonts w:ascii="Times New Roman" w:hAnsi="Times New Roman"/>
      <w:szCs w:val="22"/>
    </w:rPr>
  </w:style>
  <w:style w:type="paragraph" w:customStyle="1" w:styleId="186">
    <w:name w:val="正文缩进1"/>
    <w:basedOn w:val="1"/>
    <w:next w:val="10"/>
    <w:qFormat/>
    <w:uiPriority w:val="0"/>
    <w:pPr>
      <w:autoSpaceDE w:val="0"/>
      <w:autoSpaceDN w:val="0"/>
      <w:adjustRightInd w:val="0"/>
      <w:snapToGrid w:val="0"/>
      <w:spacing w:after="120"/>
      <w:ind w:left="420" w:firstLine="480" w:firstLineChars="0"/>
    </w:pPr>
    <w:rPr>
      <w:rFonts w:ascii="Times New Roman" w:hAnsi="Times New Roman"/>
      <w:szCs w:val="20"/>
    </w:rPr>
  </w:style>
  <w:style w:type="paragraph" w:customStyle="1" w:styleId="187">
    <w:name w:val="_Style 54"/>
    <w:basedOn w:val="1"/>
    <w:qFormat/>
    <w:uiPriority w:val="0"/>
    <w:pPr>
      <w:spacing w:line="240" w:lineRule="auto"/>
      <w:ind w:firstLine="0" w:firstLineChars="0"/>
    </w:pPr>
    <w:rPr>
      <w:rFonts w:ascii="Times New Roman" w:hAnsi="Times New Roman"/>
    </w:r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89">
    <w:name w:val="_Style 185"/>
    <w:qFormat/>
    <w:uiPriority w:val="0"/>
    <w:pPr>
      <w:spacing w:after="160" w:line="278" w:lineRule="auto"/>
    </w:pPr>
    <w:rPr>
      <w:rFonts w:ascii="Times New Roman" w:hAnsi="Times New Roman" w:eastAsia="宋体" w:cs="Times New Roman"/>
      <w:kern w:val="2"/>
      <w:sz w:val="24"/>
      <w:szCs w:val="24"/>
      <w:lang w:val="en-US" w:eastAsia="zh-CN" w:bidi="ar-SA"/>
    </w:rPr>
  </w:style>
  <w:style w:type="paragraph" w:customStyle="1" w:styleId="1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18"/>
      <w:szCs w:val="18"/>
    </w:rPr>
  </w:style>
  <w:style w:type="paragraph" w:customStyle="1" w:styleId="191">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1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18"/>
      <w:szCs w:val="18"/>
    </w:rPr>
  </w:style>
  <w:style w:type="paragraph" w:customStyle="1" w:styleId="19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9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color w:val="000000"/>
      <w:kern w:val="0"/>
      <w:sz w:val="18"/>
      <w:szCs w:val="18"/>
    </w:rPr>
  </w:style>
  <w:style w:type="paragraph" w:customStyle="1" w:styleId="195">
    <w:name w:val="文字"/>
    <w:basedOn w:val="1"/>
    <w:qFormat/>
    <w:uiPriority w:val="0"/>
    <w:pPr>
      <w:tabs>
        <w:tab w:val="left" w:pos="8520"/>
      </w:tabs>
      <w:spacing w:line="312" w:lineRule="auto"/>
      <w:ind w:right="-210" w:firstLine="556" w:firstLineChars="0"/>
    </w:pPr>
    <w:rPr>
      <w:rFonts w:ascii="楷体_GB2312" w:hAnsi="Times New Roman" w:eastAsia="楷体_GB2312"/>
      <w:sz w:val="28"/>
      <w:szCs w:val="20"/>
    </w:rPr>
  </w:style>
  <w:style w:type="character" w:customStyle="1" w:styleId="196">
    <w:name w:val="on1"/>
    <w:qFormat/>
    <w:uiPriority w:val="0"/>
  </w:style>
  <w:style w:type="character" w:customStyle="1" w:styleId="197">
    <w:name w:val="bulletintext1"/>
    <w:qFormat/>
    <w:uiPriority w:val="0"/>
    <w:rPr>
      <w:color w:val="000000"/>
      <w:sz w:val="18"/>
      <w:szCs w:val="18"/>
    </w:rPr>
  </w:style>
  <w:style w:type="character" w:customStyle="1" w:styleId="198">
    <w:name w:val="font21"/>
    <w:qFormat/>
    <w:uiPriority w:val="0"/>
    <w:rPr>
      <w:rFonts w:hint="eastAsia" w:ascii="仿宋" w:hAnsi="仿宋" w:eastAsia="仿宋" w:cs="仿宋"/>
      <w:color w:val="000000"/>
      <w:sz w:val="24"/>
      <w:szCs w:val="24"/>
      <w:u w:val="none"/>
    </w:rPr>
  </w:style>
  <w:style w:type="paragraph" w:customStyle="1" w:styleId="199">
    <w:name w:val="_Style 1"/>
    <w:basedOn w:val="1"/>
    <w:qFormat/>
    <w:uiPriority w:val="34"/>
    <w:pPr>
      <w:ind w:firstLine="420"/>
    </w:pPr>
    <w:rPr>
      <w:szCs w:val="21"/>
    </w:rPr>
  </w:style>
  <w:style w:type="paragraph" w:customStyle="1" w:styleId="200">
    <w:name w:val="样式 首行缩进:  2 字符"/>
    <w:basedOn w:val="1"/>
    <w:qFormat/>
    <w:uiPriority w:val="0"/>
    <w:pPr>
      <w:ind w:firstLine="420"/>
    </w:pPr>
    <w:rPr>
      <w:rFonts w:eastAsia="楷体" w:cs="宋体"/>
      <w:szCs w:val="20"/>
    </w:rPr>
  </w:style>
  <w:style w:type="paragraph" w:customStyle="1" w:styleId="201">
    <w:name w:val="Table Paragraph"/>
    <w:basedOn w:val="1"/>
    <w:qFormat/>
    <w:uiPriority w:val="1"/>
    <w:rPr>
      <w:rFonts w:cs="宋体"/>
      <w:lang w:val="zh-CN" w:bidi="zh-CN"/>
    </w:rPr>
  </w:style>
  <w:style w:type="character" w:customStyle="1" w:styleId="202">
    <w:name w:val="NormalCharacter"/>
    <w:qFormat/>
    <w:uiPriority w:val="0"/>
    <w:rPr>
      <w:rFonts w:ascii="Times New Roman" w:hAnsi="Times New Roman" w:eastAsia="宋体"/>
    </w:rPr>
  </w:style>
  <w:style w:type="paragraph" w:customStyle="1" w:styleId="203">
    <w:name w:val="16、“(一)”三级标题"/>
    <w:basedOn w:val="1"/>
    <w:qFormat/>
    <w:uiPriority w:val="0"/>
    <w:pPr>
      <w:numPr>
        <w:ilvl w:val="2"/>
        <w:numId w:val="4"/>
      </w:numPr>
      <w:wordWrap w:val="0"/>
      <w:topLinePunct/>
      <w:ind w:firstLine="803"/>
      <w:outlineLvl w:val="2"/>
    </w:pPr>
    <w:rPr>
      <w:rFonts w:hint="eastAsia"/>
      <w:b/>
      <w:snapToGrid w:val="0"/>
      <w:sz w:val="21"/>
    </w:rPr>
  </w:style>
  <w:style w:type="paragraph" w:customStyle="1" w:styleId="204">
    <w:name w:val="17“1.”四级标题"/>
    <w:basedOn w:val="205"/>
    <w:qFormat/>
    <w:uiPriority w:val="0"/>
    <w:pPr>
      <w:numPr>
        <w:ilvl w:val="3"/>
        <w:numId w:val="4"/>
      </w:numPr>
      <w:ind w:firstLine="803"/>
    </w:pPr>
  </w:style>
  <w:style w:type="paragraph" w:customStyle="1" w:styleId="205">
    <w:name w:val="02、首行缩进2字符正文"/>
    <w:basedOn w:val="1"/>
    <w:qFormat/>
    <w:uiPriority w:val="0"/>
    <w:pPr>
      <w:tabs>
        <w:tab w:val="left" w:pos="0"/>
      </w:tabs>
      <w:wordWrap w:val="0"/>
      <w:topLinePunct/>
      <w:ind w:firstLine="480"/>
    </w:pPr>
    <w:rPr>
      <w:rFonts w:hint="eastAsia"/>
      <w:sz w:val="21"/>
    </w:rPr>
  </w:style>
  <w:style w:type="character" w:customStyle="1" w:styleId="206">
    <w:name w:val="fontstyle01"/>
    <w:qFormat/>
    <w:uiPriority w:val="0"/>
    <w:rPr>
      <w:rFonts w:hint="eastAsia" w:ascii="宋体" w:hAnsi="宋体" w:eastAsia="宋体"/>
      <w:color w:val="000000"/>
      <w:sz w:val="24"/>
      <w:szCs w:val="24"/>
    </w:rPr>
  </w:style>
  <w:style w:type="paragraph" w:customStyle="1" w:styleId="207">
    <w:name w:val="列表段落2"/>
    <w:basedOn w:val="1"/>
    <w:qFormat/>
    <w:uiPriority w:val="99"/>
    <w:pPr>
      <w:ind w:firstLine="420"/>
    </w:pPr>
  </w:style>
  <w:style w:type="paragraph" w:customStyle="1" w:styleId="208">
    <w:name w:val="修订1"/>
    <w:qFormat/>
    <w:uiPriority w:val="99"/>
    <w:pPr>
      <w:spacing w:after="160" w:line="278" w:lineRule="auto"/>
    </w:pPr>
    <w:rPr>
      <w:rFonts w:ascii="宋体" w:hAnsi="宋体" w:eastAsia="宋体" w:cs="Times New Roman"/>
      <w:kern w:val="2"/>
      <w:sz w:val="24"/>
      <w:szCs w:val="24"/>
      <w:lang w:val="en-US" w:eastAsia="zh-CN" w:bidi="ar-SA"/>
    </w:rPr>
  </w:style>
  <w:style w:type="paragraph" w:customStyle="1" w:styleId="209">
    <w:name w:val="修订2"/>
    <w:qFormat/>
    <w:uiPriority w:val="99"/>
    <w:pPr>
      <w:spacing w:after="160" w:line="278" w:lineRule="auto"/>
    </w:pPr>
    <w:rPr>
      <w:rFonts w:ascii="宋体" w:hAnsi="宋体" w:eastAsia="宋体" w:cs="Times New Roman"/>
      <w:kern w:val="2"/>
      <w:sz w:val="24"/>
      <w:szCs w:val="24"/>
      <w:lang w:val="en-US" w:eastAsia="zh-CN" w:bidi="ar-SA"/>
    </w:rPr>
  </w:style>
  <w:style w:type="paragraph" w:customStyle="1" w:styleId="210">
    <w:name w:val="Table Text"/>
    <w:basedOn w:val="1"/>
    <w:qFormat/>
    <w:uiPriority w:val="0"/>
    <w:rPr>
      <w:rFonts w:cs="宋体"/>
      <w:sz w:val="22"/>
      <w:szCs w:val="22"/>
      <w:lang w:eastAsia="en-US"/>
    </w:rPr>
  </w:style>
  <w:style w:type="paragraph" w:customStyle="1" w:styleId="211">
    <w:name w:val="标题 61"/>
    <w:basedOn w:val="1"/>
    <w:qFormat/>
    <w:uiPriority w:val="1"/>
    <w:pPr>
      <w:spacing w:before="20"/>
      <w:ind w:left="100"/>
      <w:jc w:val="left"/>
      <w:outlineLvl w:val="6"/>
    </w:pPr>
    <w:rPr>
      <w:rFonts w:cs="宋体"/>
      <w:b/>
      <w:bCs/>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21873</Words>
  <Characters>23247</Characters>
  <Paragraphs>1280</Paragraphs>
  <TotalTime>5</TotalTime>
  <ScaleCrop>false</ScaleCrop>
  <LinksUpToDate>false</LinksUpToDate>
  <CharactersWithSpaces>23477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2024-05-18T19:34:00Z</dcterms:created>
  <dc:creator>Administrator</dc:creator>
  <cp:lastModifiedBy>ws</cp:lastModifiedBy>
  <cp:lastPrinted>2024-12-26T03:02:00Z</cp:lastPrinted>
  <dcterms:modified xsi:type="dcterms:W3CDTF">2025-05-23T06:02:28Z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61576D114CB64250A5C87C932747D4A5_13</vt:lpwstr>
  </property>
  <property fmtid="{D5CDD505-2E9C-101B-9397-08002B2CF9AE}" pid="4" name="commondata">
    <vt:lpwstr>eyJoZGlkIjoiNDFiMTYwZWIzMTJiMzU2MDhiNmNlNmMzMWM5MjdmYjkifQ==</vt:lpwstr>
  </property>
  <property fmtid="{D5CDD505-2E9C-101B-9397-08002B2CF9AE}" pid="5" name="KSOTemplateDocerSaveRecord">
    <vt:lpwstr>eyJoZGlkIjoiNWMzNmExNzk5Mjk0YzM1NDczODNhYTBiOGRlYWI4ZDUiLCJ1c2VySWQiOiI5Mjc5NTA1NjYifQ==</vt:lpwstr>
  </property>
</Properties>
</file>