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仿宋_GB2312" w:hAnsi="仿宋" w:eastAsia="仿宋_GB2312" w:cs="仿宋"/>
          <w:b/>
          <w:sz w:val="32"/>
          <w:szCs w:val="32"/>
        </w:rPr>
      </w:pPr>
      <w:r>
        <w:rPr>
          <w:rFonts w:hint="eastAsia" w:ascii="仿宋_GB2312" w:hAnsi="仿宋" w:eastAsia="仿宋_GB2312" w:cs="仿宋"/>
          <w:b/>
          <w:sz w:val="32"/>
          <w:szCs w:val="32"/>
        </w:rPr>
        <w:t>2</w:t>
      </w:r>
      <w:r>
        <w:rPr>
          <w:rFonts w:ascii="仿宋_GB2312" w:hAnsi="仿宋" w:eastAsia="仿宋_GB2312" w:cs="仿宋"/>
          <w:b/>
          <w:sz w:val="32"/>
          <w:szCs w:val="32"/>
        </w:rPr>
        <w:t>02</w:t>
      </w:r>
      <w:r>
        <w:rPr>
          <w:rFonts w:hint="eastAsia" w:ascii="仿宋_GB2312" w:hAnsi="仿宋" w:eastAsia="仿宋_GB2312" w:cs="仿宋"/>
          <w:b/>
          <w:sz w:val="32"/>
          <w:szCs w:val="32"/>
        </w:rPr>
        <w:t>5</w:t>
      </w:r>
      <w:r>
        <w:rPr>
          <w:rFonts w:ascii="仿宋_GB2312" w:hAnsi="仿宋" w:eastAsia="仿宋_GB2312" w:cs="仿宋"/>
          <w:b/>
          <w:sz w:val="32"/>
          <w:szCs w:val="32"/>
        </w:rPr>
        <w:t>-202</w:t>
      </w:r>
      <w:r>
        <w:rPr>
          <w:rFonts w:hint="eastAsia" w:ascii="仿宋_GB2312" w:hAnsi="仿宋" w:eastAsia="仿宋_GB2312" w:cs="仿宋"/>
          <w:b/>
          <w:sz w:val="32"/>
          <w:szCs w:val="32"/>
        </w:rPr>
        <w:t>6年浙江省公安JW航空队直升机航空保险项目</w:t>
      </w:r>
    </w:p>
    <w:p>
      <w:pPr>
        <w:pStyle w:val="2"/>
        <w:jc w:val="center"/>
        <w:rPr>
          <w:rFonts w:hint="eastAsia" w:ascii="宋体" w:hAnsi="宋体"/>
          <w:sz w:val="24"/>
        </w:rPr>
      </w:pPr>
      <w:bookmarkStart w:id="2" w:name="_GoBack"/>
      <w:r>
        <w:rPr>
          <w:rFonts w:hint="eastAsia" w:ascii="仿宋_GB2312" w:hAnsi="仿宋" w:eastAsia="仿宋_GB2312" w:cs="仿宋"/>
          <w:b/>
          <w:sz w:val="32"/>
          <w:szCs w:val="32"/>
        </w:rPr>
        <w:t>采购</w:t>
      </w:r>
      <w:r>
        <w:rPr>
          <w:rFonts w:hint="eastAsia" w:ascii="仿宋_GB2312" w:hAnsi="仿宋" w:eastAsia="仿宋_GB2312" w:cs="仿宋"/>
          <w:b/>
          <w:sz w:val="32"/>
          <w:szCs w:val="32"/>
          <w:lang w:val="en-US" w:eastAsia="zh-CN"/>
        </w:rPr>
        <w:t>评分表及满意度评分表意见征询</w:t>
      </w:r>
    </w:p>
    <w:bookmarkEnd w:id="2"/>
    <w:p>
      <w:pPr>
        <w:pStyle w:val="2"/>
        <w:rPr>
          <w:rFonts w:ascii="宋体" w:hAnsi="宋体"/>
          <w:sz w:val="24"/>
        </w:rPr>
      </w:pPr>
      <w:r>
        <w:rPr>
          <w:rFonts w:hint="eastAsia" w:ascii="宋体" w:hAnsi="宋体"/>
          <w:sz w:val="24"/>
        </w:rPr>
        <w:t>续签条件:</w:t>
      </w:r>
    </w:p>
    <w:p>
      <w:pPr>
        <w:ind w:firstLine="240" w:firstLineChars="100"/>
        <w:rPr>
          <w:rFonts w:hint="eastAsia" w:ascii="宋体" w:hAnsi="宋体"/>
          <w:sz w:val="24"/>
        </w:rPr>
      </w:pPr>
      <w:bookmarkStart w:id="0" w:name="_Hlk193014280"/>
      <w:r>
        <w:rPr>
          <w:rFonts w:hint="eastAsia" w:ascii="宋体" w:hAnsi="宋体"/>
          <w:sz w:val="24"/>
        </w:rPr>
        <w:t>合同履行期限：详见招标文件。</w:t>
      </w:r>
      <w:r>
        <w:rPr>
          <w:rFonts w:hint="eastAsia" w:ascii="宋体" w:hAnsi="宋体"/>
          <w:b/>
          <w:bCs/>
          <w:sz w:val="24"/>
        </w:rPr>
        <w:t>本次招标结论2年有效，分年签订合同。续签合同前应通过招标方满意度考评（通过分为8</w:t>
      </w:r>
      <w:r>
        <w:rPr>
          <w:rFonts w:ascii="宋体" w:hAnsi="宋体"/>
          <w:b/>
          <w:bCs/>
          <w:sz w:val="24"/>
        </w:rPr>
        <w:t>5</w:t>
      </w:r>
      <w:r>
        <w:rPr>
          <w:rFonts w:hint="eastAsia" w:ascii="宋体" w:hAnsi="宋体"/>
          <w:b/>
          <w:bCs/>
          <w:sz w:val="24"/>
        </w:rPr>
        <w:t>分及以上），考评未通过或续签保费超过原合同或续签保障低于原合同，应重新招标。</w:t>
      </w:r>
    </w:p>
    <w:bookmarkEnd w:id="0"/>
    <w:p>
      <w:pPr>
        <w:pStyle w:val="3"/>
        <w:rPr>
          <w:rFonts w:ascii="宋体" w:hAnsi="宋体"/>
          <w:sz w:val="24"/>
        </w:rPr>
      </w:pPr>
    </w:p>
    <w:tbl>
      <w:tblPr>
        <w:tblStyle w:val="25"/>
        <w:tblpPr w:leftFromText="180" w:rightFromText="180" w:vertAnchor="text" w:tblpY="1"/>
        <w:tblOverlap w:val="never"/>
        <w:tblW w:w="8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892"/>
        <w:gridCol w:w="4811"/>
        <w:gridCol w:w="708"/>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序号</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评分类型</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评分标准</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分值</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打分</w:t>
            </w:r>
          </w:p>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1</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报价</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(评标基准价／有效投标报价)*最大分值</w:t>
            </w:r>
          </w:p>
          <w:p>
            <w:pPr>
              <w:pStyle w:val="2"/>
              <w:rPr>
                <w:rFonts w:ascii="宋体" w:hAnsi="宋体"/>
                <w:sz w:val="24"/>
              </w:rPr>
            </w:pPr>
            <w:r>
              <w:rPr>
                <w:rFonts w:hint="eastAsia" w:ascii="宋体" w:hAnsi="宋体" w:cstheme="minorEastAsia"/>
                <w:sz w:val="24"/>
              </w:rPr>
              <w:t>采用低价优先法计算，即满足招标文件要求且投标价格最低的投标报价为评标基准价，其价格分为满分。其他投标人的价格分按照下列公式计算：投标报价得分=(评标基准价／投标报价)×25，计算分数时四舍五入取小数点后两位。</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25</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2</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技术</w:t>
            </w:r>
          </w:p>
        </w:tc>
        <w:tc>
          <w:tcPr>
            <w:tcW w:w="4811" w:type="dxa"/>
            <w:shd w:val="clear" w:color="auto" w:fill="auto"/>
          </w:tcPr>
          <w:p>
            <w:pPr>
              <w:spacing w:before="156" w:beforeLines="50" w:after="156" w:afterLines="50" w:line="34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不符合（负偏离）技术要求中标注“▲”条款（不可偏离）的不得分；</w:t>
            </w:r>
          </w:p>
          <w:p>
            <w:pPr>
              <w:spacing w:before="156" w:beforeLines="50" w:after="156" w:afterLines="50" w:line="340" w:lineRule="exact"/>
              <w:rPr>
                <w:rFonts w:hint="eastAsia" w:ascii="宋体" w:hAnsi="宋体"/>
                <w:b/>
                <w:color w:val="000000"/>
                <w:sz w:val="24"/>
              </w:rPr>
            </w:pPr>
          </w:p>
          <w:p>
            <w:pPr>
              <w:pStyle w:val="2"/>
              <w:spacing w:line="340" w:lineRule="exact"/>
              <w:rPr>
                <w:rFonts w:hint="eastAsia" w:ascii="宋体" w:hAnsi="宋体"/>
                <w:b/>
                <w:color w:val="000000"/>
                <w:sz w:val="24"/>
              </w:rPr>
            </w:pPr>
            <w:r>
              <w:rPr>
                <w:rFonts w:hint="eastAsia" w:ascii="宋体" w:hAnsi="宋体"/>
                <w:b/>
                <w:color w:val="000000"/>
                <w:sz w:val="24"/>
              </w:rPr>
              <w:t>满足招标文件明确的全部技术条款要求的该项得满分；</w:t>
            </w:r>
          </w:p>
          <w:p>
            <w:pPr>
              <w:pStyle w:val="3"/>
              <w:spacing w:line="340" w:lineRule="exact"/>
              <w:rPr>
                <w:rFonts w:ascii="宋体" w:hAnsi="宋体"/>
                <w:sz w:val="24"/>
              </w:rPr>
            </w:pPr>
            <w:r>
              <w:rPr>
                <w:rFonts w:hint="eastAsia" w:ascii="宋体" w:hAnsi="宋体"/>
                <w:b/>
                <w:color w:val="000000"/>
                <w:sz w:val="24"/>
              </w:rPr>
              <w:t>技术条款低于技术条款要求（负偏离）的每项扣1分；标★技术条款低于技术条款要求（负偏离）的每项扣3分；扣完为止。</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21</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3</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技术</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投标人在完全响应招标文件要求的技术条款要求基础之上对技术条款进行改善，每一项实质性优化得1分（需提供优化内容，未提供不得分），此项最高得分5分。</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5</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4</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技术</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投标人提供的服务内容丰富度、合理性，以及投保理赔程序清晰简便迅速，各类培训和增值服务丰富实用程度，再保安排合理性。</w:t>
            </w:r>
          </w:p>
          <w:p>
            <w:pPr>
              <w:rPr>
                <w:rFonts w:hint="eastAsia" w:ascii="宋体" w:hAnsi="宋体" w:cs="仿宋"/>
                <w:sz w:val="24"/>
              </w:rPr>
            </w:pPr>
            <w:r>
              <w:rPr>
                <w:rFonts w:hint="eastAsia" w:ascii="宋体" w:hAnsi="宋体" w:cs="仿宋"/>
                <w:sz w:val="24"/>
              </w:rPr>
              <w:t>服务内容丰富、合理，投保理赔程序清晰简便迅速，各类培训和增值服务丰富实用，再保安排合理，4-5分；</w:t>
            </w:r>
            <w:r>
              <w:rPr>
                <w:rFonts w:hint="eastAsia" w:ascii="宋体" w:hAnsi="宋体" w:cs="仿宋"/>
                <w:sz w:val="24"/>
              </w:rPr>
              <w:br w:type="textWrapping"/>
            </w:r>
            <w:r>
              <w:rPr>
                <w:rFonts w:hint="eastAsia" w:ascii="宋体" w:hAnsi="宋体" w:cs="仿宋"/>
                <w:sz w:val="24"/>
              </w:rPr>
              <w:t>服务内容充实，投保理赔程序规范简便，各类服务基本满足本项目需求，2-3分；</w:t>
            </w:r>
          </w:p>
          <w:p>
            <w:pPr>
              <w:pStyle w:val="2"/>
              <w:rPr>
                <w:rFonts w:ascii="宋体" w:hAnsi="宋体"/>
                <w:sz w:val="24"/>
              </w:rPr>
            </w:pPr>
            <w:r>
              <w:rPr>
                <w:rFonts w:hint="eastAsia" w:ascii="宋体" w:hAnsi="宋体" w:cs="仿宋"/>
                <w:sz w:val="24"/>
              </w:rPr>
              <w:t>服务内容一般，投保、理赔、培训等服务欠缺或可操作性低，0-1分。</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5</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5</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技术</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投标人提供的飞行安全预防服务措施针对性和及时性。</w:t>
            </w:r>
          </w:p>
          <w:p>
            <w:pPr>
              <w:rPr>
                <w:rFonts w:hint="eastAsia" w:ascii="宋体" w:hAnsi="宋体" w:cs="仿宋"/>
                <w:sz w:val="24"/>
              </w:rPr>
            </w:pPr>
            <w:r>
              <w:rPr>
                <w:rFonts w:hint="eastAsia" w:ascii="宋体" w:hAnsi="宋体" w:cs="仿宋"/>
                <w:sz w:val="24"/>
              </w:rPr>
              <w:t>飞行安全预防服务措施针对性强，3-4分；</w:t>
            </w:r>
          </w:p>
          <w:p>
            <w:pPr>
              <w:rPr>
                <w:rFonts w:hint="eastAsia" w:ascii="宋体" w:hAnsi="宋体" w:cs="仿宋"/>
                <w:sz w:val="24"/>
              </w:rPr>
            </w:pPr>
            <w:r>
              <w:rPr>
                <w:rFonts w:hint="eastAsia" w:ascii="宋体" w:hAnsi="宋体" w:cs="仿宋"/>
                <w:sz w:val="24"/>
              </w:rPr>
              <w:t>飞行安全预防服务措施比较合理，1-2分；</w:t>
            </w:r>
          </w:p>
          <w:p>
            <w:pPr>
              <w:pStyle w:val="2"/>
              <w:rPr>
                <w:rFonts w:ascii="宋体" w:hAnsi="宋体"/>
                <w:sz w:val="24"/>
              </w:rPr>
            </w:pPr>
            <w:r>
              <w:rPr>
                <w:rFonts w:hint="eastAsia" w:ascii="宋体" w:hAnsi="宋体" w:cs="仿宋"/>
                <w:sz w:val="24"/>
              </w:rPr>
              <w:t>没有飞行安全预防服务措施或特色服务意义不大，0分。</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4</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6</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技术</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结合采购人工作实际，投标人提供的应急保障响应方案的合理性、可行性。-</w:t>
            </w:r>
          </w:p>
          <w:p>
            <w:pPr>
              <w:pStyle w:val="2"/>
              <w:tabs>
                <w:tab w:val="left" w:pos="1126"/>
              </w:tabs>
              <w:rPr>
                <w:rFonts w:ascii="宋体" w:hAnsi="宋体"/>
                <w:sz w:val="24"/>
              </w:rPr>
            </w:pPr>
            <w:r>
              <w:rPr>
                <w:rFonts w:hint="eastAsia" w:ascii="宋体" w:hAnsi="宋体"/>
                <w:sz w:val="24"/>
              </w:rPr>
              <w:t>方案合理性、可行性强，4-5分；</w:t>
            </w:r>
          </w:p>
          <w:p>
            <w:pPr>
              <w:pStyle w:val="3"/>
              <w:rPr>
                <w:rFonts w:ascii="宋体" w:hAnsi="宋体"/>
                <w:sz w:val="24"/>
              </w:rPr>
            </w:pPr>
            <w:r>
              <w:rPr>
                <w:rFonts w:hint="eastAsia" w:ascii="宋体" w:hAnsi="宋体"/>
                <w:sz w:val="24"/>
              </w:rPr>
              <w:t>方案合理性、可行性较合理，2-3分；</w:t>
            </w:r>
          </w:p>
          <w:p>
            <w:pPr>
              <w:pStyle w:val="3"/>
              <w:rPr>
                <w:rFonts w:ascii="宋体" w:hAnsi="宋体"/>
                <w:sz w:val="24"/>
              </w:rPr>
            </w:pPr>
            <w:r>
              <w:rPr>
                <w:rFonts w:hint="eastAsia" w:ascii="宋体" w:hAnsi="宋体"/>
                <w:sz w:val="24"/>
              </w:rPr>
              <w:t>方案合理性、可行性欠缺，0-1分。</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5-</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7</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技术</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结合采购人工作实际，投标人应急保障响应可提供的服务网点、服务工具。-。</w:t>
            </w:r>
          </w:p>
          <w:p>
            <w:pPr>
              <w:pStyle w:val="3"/>
              <w:rPr>
                <w:rFonts w:ascii="宋体" w:hAnsi="宋体"/>
                <w:sz w:val="24"/>
              </w:rPr>
            </w:pPr>
            <w:r>
              <w:rPr>
                <w:rFonts w:hint="eastAsia" w:ascii="宋体" w:hAnsi="宋体"/>
                <w:sz w:val="24"/>
              </w:rPr>
              <w:t>-提供服务网点、服务工具得5分</w:t>
            </w:r>
          </w:p>
          <w:p>
            <w:pPr>
              <w:pStyle w:val="3"/>
              <w:rPr>
                <w:rFonts w:ascii="宋体" w:hAnsi="宋体"/>
                <w:sz w:val="24"/>
              </w:rPr>
            </w:pPr>
            <w:r>
              <w:rPr>
                <w:rFonts w:hint="eastAsia" w:ascii="宋体" w:hAnsi="宋体"/>
                <w:sz w:val="24"/>
              </w:rPr>
              <w:t>无服务网点、服务工具得0分</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5</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8</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技术</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投标人（</w:t>
            </w:r>
            <w:r>
              <w:rPr>
                <w:rFonts w:hint="eastAsia" w:ascii="宋体" w:hAnsi="宋体" w:cs="仿宋"/>
                <w:b/>
                <w:bCs/>
                <w:sz w:val="24"/>
                <w:u w:val="single"/>
              </w:rPr>
              <w:t>投标人财产险公司总公司及其全国各地分公司</w:t>
            </w:r>
            <w:r>
              <w:rPr>
                <w:rFonts w:hint="eastAsia" w:ascii="宋体" w:hAnsi="宋体"/>
                <w:b/>
                <w:color w:val="000000"/>
                <w:sz w:val="24"/>
              </w:rPr>
              <w:t>）近15年（2010年1月1日至2024年12月31日，以出险日期为准）</w:t>
            </w:r>
          </w:p>
          <w:p>
            <w:pPr>
              <w:pStyle w:val="2"/>
              <w:spacing w:line="340" w:lineRule="exact"/>
              <w:rPr>
                <w:rFonts w:hint="eastAsia" w:ascii="宋体" w:hAnsi="宋体"/>
                <w:b/>
                <w:color w:val="000000"/>
                <w:sz w:val="24"/>
              </w:rPr>
            </w:pPr>
            <w:r>
              <w:rPr>
                <w:rFonts w:hint="eastAsia" w:ascii="宋体" w:hAnsi="宋体"/>
                <w:b/>
                <w:color w:val="000000"/>
                <w:sz w:val="24"/>
              </w:rPr>
              <w:t>1.有同类航空</w:t>
            </w:r>
            <w:r>
              <w:rPr>
                <w:rFonts w:hint="eastAsia" w:ascii="宋体" w:hAnsi="宋体" w:cstheme="minorEastAsia"/>
                <w:sz w:val="24"/>
              </w:rPr>
              <w:t>（警航）</w:t>
            </w:r>
            <w:r>
              <w:rPr>
                <w:rFonts w:hint="eastAsia" w:ascii="宋体" w:hAnsi="宋体"/>
                <w:b/>
                <w:color w:val="000000"/>
                <w:sz w:val="24"/>
              </w:rPr>
              <w:t>保险项目理赔情况的，得1分，此项得分最高为3分；</w:t>
            </w:r>
          </w:p>
          <w:p>
            <w:pPr>
              <w:pStyle w:val="3"/>
              <w:spacing w:line="340" w:lineRule="exact"/>
              <w:rPr>
                <w:rFonts w:ascii="宋体" w:hAnsi="宋体"/>
                <w:b/>
                <w:color w:val="000000"/>
                <w:sz w:val="24"/>
              </w:rPr>
            </w:pPr>
            <w:r>
              <w:rPr>
                <w:rFonts w:hint="eastAsia" w:ascii="宋体" w:hAnsi="宋体"/>
                <w:b/>
                <w:color w:val="000000"/>
                <w:sz w:val="24"/>
              </w:rPr>
              <w:t>2.有通用航空保险项目理赔情况的，每个得0.5分，此项得分最高为3分。</w:t>
            </w:r>
          </w:p>
          <w:p>
            <w:pPr>
              <w:pStyle w:val="3"/>
              <w:spacing w:line="340" w:lineRule="exact"/>
              <w:rPr>
                <w:rFonts w:ascii="宋体" w:hAnsi="宋体"/>
                <w:b/>
                <w:color w:val="000000"/>
                <w:sz w:val="24"/>
              </w:rPr>
            </w:pPr>
            <w:r>
              <w:rPr>
                <w:rFonts w:hint="eastAsia" w:ascii="宋体" w:hAnsi="宋体" w:cstheme="minorEastAsia"/>
                <w:sz w:val="24"/>
              </w:rPr>
              <w:t>此条业绩统计不含无人机，</w:t>
            </w:r>
            <w:r>
              <w:rPr>
                <w:rFonts w:hint="eastAsia" w:ascii="宋体" w:hAnsi="宋体"/>
                <w:b/>
                <w:color w:val="000000"/>
                <w:sz w:val="24"/>
              </w:rPr>
              <w:t>须同时提供：（1）保单复印件；（2）赔款计算书；（3）赔款支付凭证或银行回款凭证-作为证明材料。</w:t>
            </w:r>
          </w:p>
          <w:p>
            <w:pPr>
              <w:pStyle w:val="3"/>
              <w:spacing w:line="340" w:lineRule="exact"/>
              <w:rPr>
                <w:rFonts w:hint="eastAsia" w:ascii="宋体" w:hAnsi="宋体" w:cs="仿宋"/>
                <w:b/>
                <w:bCs/>
                <w:sz w:val="24"/>
                <w:u w:val="single"/>
              </w:rPr>
            </w:pPr>
            <w:r>
              <w:rPr>
                <w:rFonts w:hint="eastAsia" w:ascii="宋体" w:hAnsi="宋体" w:cstheme="minorEastAsia"/>
                <w:sz w:val="24"/>
              </w:rPr>
              <w:t>此外如为共保项目须为首席承保人，并提供共保协议复印件</w:t>
            </w:r>
            <w:r>
              <w:rPr>
                <w:rFonts w:hint="eastAsia" w:ascii="宋体" w:hAnsi="宋体" w:cs="仿宋"/>
                <w:b/>
                <w:bCs/>
                <w:sz w:val="24"/>
                <w:u w:val="single"/>
              </w:rPr>
              <w:t>。</w:t>
            </w:r>
          </w:p>
          <w:p>
            <w:pPr>
              <w:pStyle w:val="3"/>
              <w:spacing w:line="340" w:lineRule="exact"/>
              <w:rPr>
                <w:rFonts w:hint="eastAsia" w:ascii="宋体" w:hAnsi="宋体" w:cs="仿宋"/>
                <w:b/>
                <w:bCs/>
                <w:sz w:val="24"/>
                <w:u w:val="single"/>
              </w:rPr>
            </w:pP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6</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9</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技术</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争议案件处理方面，在1个工作日内进行反馈、给予解决方案的：按照方案说明详细性、准确性、符合性打分。</w:t>
            </w:r>
          </w:p>
          <w:p>
            <w:pPr>
              <w:rPr>
                <w:rFonts w:hint="eastAsia" w:ascii="宋体" w:hAnsi="宋体" w:cstheme="minorEastAsia"/>
                <w:sz w:val="24"/>
              </w:rPr>
            </w:pPr>
            <w:r>
              <w:rPr>
                <w:rFonts w:hint="eastAsia" w:ascii="宋体" w:hAnsi="宋体" w:cstheme="minorEastAsia"/>
                <w:sz w:val="24"/>
              </w:rPr>
              <w:t>处理速度快，解决问题效率高，得4-5分；</w:t>
            </w:r>
          </w:p>
          <w:p>
            <w:pPr>
              <w:pStyle w:val="2"/>
              <w:rPr>
                <w:rFonts w:hint="eastAsia" w:ascii="宋体" w:hAnsi="宋体" w:cstheme="minorEastAsia"/>
                <w:sz w:val="24"/>
              </w:rPr>
            </w:pPr>
            <w:r>
              <w:rPr>
                <w:rFonts w:hint="eastAsia" w:ascii="宋体" w:hAnsi="宋体" w:cstheme="minorEastAsia"/>
                <w:sz w:val="24"/>
              </w:rPr>
              <w:t>处理速度较快，解决问题效率较高，得2-3分；</w:t>
            </w:r>
          </w:p>
          <w:p>
            <w:pPr>
              <w:pStyle w:val="3"/>
              <w:rPr>
                <w:rFonts w:ascii="宋体" w:hAnsi="宋体"/>
                <w:sz w:val="24"/>
              </w:rPr>
            </w:pPr>
            <w:r>
              <w:rPr>
                <w:rFonts w:hint="eastAsia" w:ascii="宋体" w:hAnsi="宋体"/>
                <w:sz w:val="24"/>
              </w:rPr>
              <w:t>处理速度慢、解决问题效率低，得0-1分</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5</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10</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技术</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本项目专业服务团队配置（含项目负责人）方案整体情况。</w:t>
            </w:r>
          </w:p>
          <w:p>
            <w:pPr>
              <w:rPr>
                <w:rFonts w:hint="eastAsia" w:ascii="宋体" w:hAnsi="宋体" w:cstheme="minorEastAsia"/>
                <w:sz w:val="24"/>
              </w:rPr>
            </w:pPr>
            <w:r>
              <w:rPr>
                <w:rFonts w:hint="eastAsia" w:ascii="宋体" w:hAnsi="宋体" w:cstheme="minorEastAsia"/>
                <w:sz w:val="24"/>
              </w:rPr>
              <w:t>根据投标人设立的项目组织管理机构人员(领导小组、服务小组、理赔小组)资质进行评分：</w:t>
            </w:r>
          </w:p>
          <w:p>
            <w:pPr>
              <w:numPr>
                <w:ilvl w:val="0"/>
                <w:numId w:val="2"/>
              </w:numPr>
              <w:suppressAutoHyphens w:val="0"/>
              <w:rPr>
                <w:rFonts w:hint="eastAsia" w:ascii="宋体" w:hAnsi="宋体" w:cstheme="minorEastAsia"/>
                <w:sz w:val="24"/>
              </w:rPr>
            </w:pPr>
            <w:r>
              <w:rPr>
                <w:rFonts w:hint="eastAsia" w:ascii="宋体" w:hAnsi="宋体" w:cstheme="minorEastAsia"/>
                <w:sz w:val="24"/>
              </w:rPr>
              <w:t>有</w:t>
            </w:r>
            <w:r>
              <w:rPr>
                <w:rFonts w:hint="eastAsia" w:ascii="宋体" w:hAnsi="宋体"/>
                <w:sz w:val="24"/>
              </w:rPr>
              <w:t>警航项目管理</w:t>
            </w:r>
            <w:r>
              <w:rPr>
                <w:rFonts w:hint="eastAsia" w:ascii="宋体" w:hAnsi="宋体" w:cstheme="minorEastAsia"/>
                <w:sz w:val="24"/>
              </w:rPr>
              <w:t>服务经验丰富的、且职责分工明确，得4-5分；</w:t>
            </w:r>
          </w:p>
          <w:p>
            <w:pPr>
              <w:numPr>
                <w:ilvl w:val="0"/>
                <w:numId w:val="2"/>
              </w:numPr>
              <w:suppressAutoHyphens w:val="0"/>
              <w:rPr>
                <w:rFonts w:hint="eastAsia" w:ascii="宋体" w:hAnsi="宋体" w:cstheme="minorEastAsia"/>
                <w:sz w:val="24"/>
              </w:rPr>
            </w:pPr>
            <w:r>
              <w:rPr>
                <w:rFonts w:hint="eastAsia" w:ascii="宋体" w:hAnsi="宋体" w:cstheme="minorEastAsia"/>
                <w:sz w:val="24"/>
              </w:rPr>
              <w:t>有类似项目服务经验，职责分工基本符合采购需求，得2-3分；</w:t>
            </w:r>
          </w:p>
          <w:p>
            <w:pPr>
              <w:numPr>
                <w:ilvl w:val="0"/>
                <w:numId w:val="2"/>
              </w:numPr>
              <w:suppressAutoHyphens w:val="0"/>
              <w:rPr>
                <w:rFonts w:hint="eastAsia" w:ascii="宋体" w:hAnsi="宋体" w:cstheme="minorEastAsia"/>
                <w:sz w:val="24"/>
              </w:rPr>
            </w:pPr>
            <w:r>
              <w:rPr>
                <w:rFonts w:hint="eastAsia" w:ascii="宋体" w:hAnsi="宋体" w:cstheme="minorEastAsia"/>
                <w:sz w:val="24"/>
              </w:rPr>
              <w:t>无类似项目服务经验，得0-1分；</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5</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11</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商务资信</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根据各投标人总公司综合实力情况（2024年第三季度的综合偿付能力充足率）</w:t>
            </w:r>
          </w:p>
          <w:p>
            <w:pPr>
              <w:pStyle w:val="2"/>
              <w:spacing w:line="34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（1）综合偿付能力充足率大于或等于220%的，得4分；</w:t>
            </w:r>
          </w:p>
          <w:p>
            <w:pPr>
              <w:pStyle w:val="3"/>
              <w:spacing w:line="3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（2）综合偿付能力充足率大于或等于210%（含）-220%（不含）的，得3分；</w:t>
            </w:r>
          </w:p>
          <w:p>
            <w:pPr>
              <w:pStyle w:val="3"/>
              <w:spacing w:line="3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（3）综合偿付能力充足率大于或等于200%（含）-210%（不含）的，得2分；</w:t>
            </w:r>
          </w:p>
          <w:p>
            <w:pPr>
              <w:pStyle w:val="3"/>
              <w:spacing w:line="3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（4）综合偿付能力充足率大于或等于190%（含）-200%（不含）的，得1分；</w:t>
            </w:r>
          </w:p>
          <w:p>
            <w:pPr>
              <w:pStyle w:val="3"/>
              <w:spacing w:line="3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（5）综合偿付能力充足率小于190%的，得0分；</w:t>
            </w:r>
          </w:p>
          <w:p>
            <w:pPr>
              <w:pStyle w:val="3"/>
              <w:spacing w:line="340" w:lineRule="exact"/>
              <w:rPr>
                <w:rFonts w:ascii="宋体" w:hAnsi="宋体"/>
                <w:b/>
                <w:color w:val="000000"/>
                <w:sz w:val="24"/>
              </w:rPr>
            </w:pPr>
            <w:r>
              <w:rPr>
                <w:rFonts w:hint="eastAsia" w:ascii="宋体" w:hAnsi="宋体"/>
                <w:b/>
                <w:color w:val="000000" w:themeColor="text1"/>
                <w:sz w:val="24"/>
                <w14:textFill>
                  <w14:solidFill>
                    <w14:schemeClr w14:val="tx1"/>
                  </w14:solidFill>
                </w14:textFill>
              </w:rPr>
              <w:t>证明材料：</w:t>
            </w:r>
            <w:r>
              <w:rPr>
                <w:rFonts w:hint="eastAsia" w:ascii="宋体" w:hAnsi="宋体"/>
                <w:b/>
                <w:color w:val="000000"/>
                <w:sz w:val="24"/>
              </w:rPr>
              <w:t>提供各投标人总公司官网公布的偿付能力报告并加盖投标人公章。</w:t>
            </w:r>
          </w:p>
          <w:p>
            <w:pPr>
              <w:pStyle w:val="3"/>
              <w:spacing w:line="340" w:lineRule="exact"/>
              <w:rPr>
                <w:rFonts w:ascii="宋体" w:hAnsi="宋体"/>
                <w:b/>
                <w:color w:val="000000"/>
                <w:sz w:val="24"/>
              </w:rPr>
            </w:pPr>
            <w:r>
              <w:rPr>
                <w:rFonts w:hint="eastAsia" w:ascii="宋体" w:hAnsi="宋体"/>
                <w:b/>
                <w:color w:val="000000"/>
                <w:sz w:val="24"/>
              </w:rPr>
              <w:t>-</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4</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12</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商务资信</w:t>
            </w:r>
          </w:p>
        </w:tc>
        <w:tc>
          <w:tcPr>
            <w:tcW w:w="4811"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根据中国银保监会消费者权益保护局《关于2023年第一季度保险消费投诉情况的通报》（银保监消保发【2023】2号）万张保单投诉量（件/万张）进行评审；万张保单投诉低于0.1（含）得2分，0.1（不含）一0.5得1分，其余不得分。</w:t>
            </w:r>
          </w:p>
          <w:p>
            <w:pPr>
              <w:pStyle w:val="2"/>
              <w:rPr>
                <w:rFonts w:ascii="宋体" w:hAnsi="宋体"/>
                <w:sz w:val="24"/>
              </w:rPr>
            </w:pPr>
            <w:r>
              <w:rPr>
                <w:rFonts w:hint="eastAsia" w:ascii="宋体" w:hAnsi="宋体"/>
                <w:sz w:val="24"/>
              </w:rPr>
              <w:t>国家金融监督管理总局的网站上：</w:t>
            </w:r>
            <w:r>
              <w:fldChar w:fldCharType="begin"/>
            </w:r>
            <w:r>
              <w:instrText xml:space="preserve"> HYPERLINK "https://www.nfra.gov.cn/cn/view/pages/ItemDetail.html?docId=1113177&amp;itemId=925&amp;generaltype=0" </w:instrText>
            </w:r>
            <w:r>
              <w:fldChar w:fldCharType="separate"/>
            </w:r>
            <w:r>
              <w:rPr>
                <w:rStyle w:val="23"/>
                <w:rFonts w:hint="eastAsia" w:ascii="宋体" w:hAnsi="宋体"/>
                <w:sz w:val="24"/>
              </w:rPr>
              <w:t>https://www.nfra.gov.cn/cn/view/pages/ItemDetail.html?docId=1113177&amp;itemId=925&amp;generaltype=0</w:t>
            </w:r>
            <w:r>
              <w:rPr>
                <w:rStyle w:val="23"/>
                <w:rFonts w:hint="eastAsia" w:ascii="宋体" w:hAnsi="宋体"/>
                <w:sz w:val="24"/>
              </w:rPr>
              <w:fldChar w:fldCharType="end"/>
            </w:r>
            <w:r>
              <w:rPr>
                <w:rFonts w:hint="eastAsia" w:ascii="宋体" w:hAnsi="宋体"/>
                <w:sz w:val="24"/>
              </w:rPr>
              <w:t>下载证明材料并加盖投标人公章</w:t>
            </w:r>
          </w:p>
          <w:p>
            <w:pPr>
              <w:pStyle w:val="3"/>
              <w:rPr>
                <w:rFonts w:ascii="宋体" w:hAnsi="宋体"/>
                <w:sz w:val="24"/>
              </w:rPr>
            </w:pPr>
            <w:r>
              <w:rPr>
                <w:rFonts w:hint="eastAsia" w:ascii="宋体" w:hAnsi="宋体"/>
                <w:sz w:val="24"/>
              </w:rPr>
              <w:t>-</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2</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13</w:t>
            </w:r>
          </w:p>
        </w:tc>
        <w:tc>
          <w:tcPr>
            <w:tcW w:w="892"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商务资信</w:t>
            </w:r>
          </w:p>
        </w:tc>
        <w:tc>
          <w:tcPr>
            <w:tcW w:w="4811" w:type="dxa"/>
            <w:shd w:val="clear" w:color="auto" w:fill="auto"/>
          </w:tcPr>
          <w:p>
            <w:pPr>
              <w:spacing w:before="156" w:beforeLines="50" w:after="156" w:afterLines="50" w:line="340" w:lineRule="exact"/>
              <w:rPr>
                <w:rFonts w:ascii="宋体" w:hAnsi="宋体"/>
                <w:sz w:val="24"/>
              </w:rPr>
            </w:pPr>
            <w:r>
              <w:rPr>
                <w:rFonts w:hint="eastAsia" w:ascii="宋体" w:hAnsi="宋体"/>
                <w:b/>
                <w:color w:val="000000"/>
                <w:sz w:val="24"/>
              </w:rPr>
              <w:t>经验或业绩要求（详见商务要求表）</w:t>
            </w:r>
            <w:r>
              <w:rPr>
                <w:rFonts w:hint="eastAsia" w:ascii="宋体" w:hAnsi="宋体"/>
                <w:sz w:val="24"/>
              </w:rPr>
              <w:t>=</w:t>
            </w:r>
          </w:p>
          <w:p>
            <w:pPr>
              <w:adjustRightInd w:val="0"/>
              <w:snapToGrid w:val="0"/>
              <w:rPr>
                <w:rFonts w:hint="eastAsia" w:ascii="宋体" w:hAnsi="宋体" w:cs="宋体"/>
                <w:sz w:val="24"/>
              </w:rPr>
            </w:pPr>
            <w:r>
              <w:rPr>
                <w:rFonts w:hint="eastAsia" w:ascii="宋体" w:hAnsi="宋体" w:cs="宋体"/>
                <w:sz w:val="24"/>
              </w:rPr>
              <w:t>投标人（</w:t>
            </w:r>
            <w:r>
              <w:rPr>
                <w:rFonts w:hint="eastAsia" w:ascii="宋体" w:hAnsi="宋体" w:cs="仿宋"/>
                <w:b/>
                <w:bCs/>
                <w:sz w:val="24"/>
                <w:u w:val="single"/>
              </w:rPr>
              <w:t>投标人财产险总公司及其全国各地分公司-</w:t>
            </w:r>
            <w:r>
              <w:rPr>
                <w:rFonts w:hint="eastAsia" w:ascii="宋体" w:hAnsi="宋体" w:cs="宋体"/>
                <w:sz w:val="24"/>
              </w:rPr>
              <w:t>）近5年（2020年1月1日至2024年12月31日，以保单合同签订日期为准）：</w:t>
            </w:r>
          </w:p>
          <w:p>
            <w:pPr>
              <w:pStyle w:val="2"/>
              <w:spacing w:line="340" w:lineRule="exact"/>
              <w:rPr>
                <w:rFonts w:hint="eastAsia" w:ascii="宋体" w:hAnsi="宋体"/>
                <w:b/>
                <w:color w:val="000000"/>
                <w:sz w:val="24"/>
              </w:rPr>
            </w:pPr>
            <w:r>
              <w:rPr>
                <w:rFonts w:hint="eastAsia" w:ascii="宋体" w:hAnsi="宋体"/>
                <w:b/>
                <w:color w:val="000000"/>
                <w:sz w:val="24"/>
              </w:rPr>
              <w:t>1.</w:t>
            </w:r>
            <w:r>
              <w:rPr>
                <w:rFonts w:hint="eastAsia" w:ascii="宋体" w:hAnsi="宋体" w:cstheme="minorEastAsia"/>
                <w:sz w:val="24"/>
              </w:rPr>
              <w:t xml:space="preserve"> 有同类航空（警航）保险项目</w:t>
            </w:r>
            <w:bookmarkStart w:id="1" w:name="_Hlk193014264"/>
            <w:r>
              <w:rPr>
                <w:rFonts w:hint="eastAsia" w:ascii="宋体" w:hAnsi="宋体" w:cstheme="minorEastAsia"/>
                <w:sz w:val="24"/>
              </w:rPr>
              <w:t>首席或者独家承保业绩的</w:t>
            </w:r>
            <w:bookmarkEnd w:id="1"/>
            <w:r>
              <w:rPr>
                <w:rFonts w:hint="eastAsia" w:ascii="宋体" w:hAnsi="宋体" w:cstheme="minorEastAsia"/>
                <w:sz w:val="24"/>
              </w:rPr>
              <w:t>，每个得1分</w:t>
            </w:r>
            <w:r>
              <w:rPr>
                <w:rFonts w:hint="eastAsia" w:ascii="宋体" w:hAnsi="宋体"/>
                <w:b/>
                <w:color w:val="000000"/>
                <w:sz w:val="24"/>
              </w:rPr>
              <w:t>，此项得分最高为4分；</w:t>
            </w:r>
          </w:p>
          <w:p>
            <w:pPr>
              <w:pStyle w:val="3"/>
              <w:spacing w:line="340" w:lineRule="exact"/>
              <w:rPr>
                <w:rFonts w:ascii="宋体" w:hAnsi="宋体"/>
                <w:b/>
                <w:color w:val="000000"/>
                <w:sz w:val="24"/>
              </w:rPr>
            </w:pPr>
            <w:r>
              <w:rPr>
                <w:rFonts w:hint="eastAsia" w:ascii="宋体" w:hAnsi="宋体"/>
                <w:b/>
                <w:color w:val="000000"/>
                <w:sz w:val="24"/>
              </w:rPr>
              <w:t>2.有通用航空保险项目</w:t>
            </w:r>
            <w:r>
              <w:rPr>
                <w:rFonts w:hint="eastAsia" w:ascii="宋体" w:hAnsi="宋体" w:cstheme="minorEastAsia"/>
                <w:sz w:val="24"/>
              </w:rPr>
              <w:t>首席或者独家承保业绩的</w:t>
            </w:r>
            <w:r>
              <w:rPr>
                <w:rFonts w:hint="eastAsia" w:ascii="宋体" w:hAnsi="宋体"/>
                <w:b/>
                <w:color w:val="000000"/>
                <w:sz w:val="24"/>
              </w:rPr>
              <w:t>，每个得0.5分，此项得分最高为</w:t>
            </w:r>
            <w:r>
              <w:rPr>
                <w:rFonts w:ascii="宋体" w:hAnsi="宋体"/>
                <w:b/>
                <w:color w:val="000000"/>
                <w:sz w:val="24"/>
              </w:rPr>
              <w:t>4</w:t>
            </w:r>
            <w:r>
              <w:rPr>
                <w:rFonts w:hint="eastAsia" w:ascii="宋体" w:hAnsi="宋体"/>
                <w:b/>
                <w:color w:val="000000"/>
                <w:sz w:val="24"/>
              </w:rPr>
              <w:t>分。</w:t>
            </w:r>
          </w:p>
          <w:p>
            <w:pPr>
              <w:pStyle w:val="3"/>
              <w:rPr>
                <w:rFonts w:ascii="宋体" w:hAnsi="宋体"/>
                <w:sz w:val="24"/>
              </w:rPr>
            </w:pPr>
            <w:r>
              <w:rPr>
                <w:rFonts w:hint="eastAsia" w:ascii="宋体" w:hAnsi="宋体" w:cstheme="minorEastAsia"/>
                <w:sz w:val="24"/>
              </w:rPr>
              <w:t>此条业绩统计不含无人机。</w:t>
            </w:r>
            <w:r>
              <w:rPr>
                <w:rFonts w:hint="eastAsia" w:ascii="宋体" w:hAnsi="宋体" w:cs="宋体"/>
                <w:sz w:val="24"/>
              </w:rPr>
              <w:t>上述项目须提供保单复印件作为证明材料，此外如为共保项目须为首席承保人并提供共保协议复印件，同一客户不同年份项目只计一次分数。</w:t>
            </w:r>
          </w:p>
        </w:tc>
        <w:tc>
          <w:tcPr>
            <w:tcW w:w="708" w:type="dxa"/>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8</w:t>
            </w:r>
          </w:p>
        </w:tc>
        <w:tc>
          <w:tcPr>
            <w:tcW w:w="991" w:type="dxa"/>
            <w:shd w:val="clear" w:color="auto" w:fill="auto"/>
          </w:tcPr>
          <w:p>
            <w:pPr>
              <w:spacing w:before="156" w:beforeLines="50" w:after="156" w:afterLines="50" w:line="340" w:lineRule="exact"/>
              <w:jc w:val="center"/>
              <w:rPr>
                <w:rFonts w:hint="eastAsia" w:ascii="宋体" w:hAnsi="宋体"/>
                <w:b/>
                <w:color w:val="000000"/>
                <w:sz w:val="24"/>
              </w:rPr>
            </w:pPr>
            <w:r>
              <w:rPr>
                <w:rFonts w:hint="eastAsia" w:ascii="宋体" w:hAnsi="宋体"/>
                <w:b/>
                <w:color w:val="000000"/>
                <w:sz w:val="24"/>
              </w:rPr>
              <w:t>客观分</w:t>
            </w:r>
          </w:p>
        </w:tc>
      </w:tr>
    </w:tbl>
    <w:p>
      <w:pPr>
        <w:pStyle w:val="3"/>
        <w:rPr>
          <w:rFonts w:ascii="宋体" w:hAnsi="宋体"/>
          <w:sz w:val="24"/>
        </w:rPr>
      </w:pPr>
    </w:p>
    <w:p>
      <w:pPr>
        <w:pStyle w:val="3"/>
        <w:rPr>
          <w:rFonts w:ascii="宋体" w:hAnsi="宋体"/>
          <w:sz w:val="24"/>
        </w:rPr>
      </w:pPr>
    </w:p>
    <w:p>
      <w:pPr>
        <w:pStyle w:val="3"/>
        <w:rPr>
          <w:rFonts w:hint="eastAsia" w:ascii="宋体" w:hAnsi="宋体"/>
          <w:sz w:val="24"/>
        </w:rPr>
      </w:pPr>
    </w:p>
    <w:p>
      <w:pPr>
        <w:pStyle w:val="3"/>
        <w:rPr>
          <w:rFonts w:ascii="宋体" w:hAnsi="宋体"/>
          <w:sz w:val="24"/>
        </w:rPr>
      </w:pPr>
      <w:r>
        <w:rPr>
          <w:rFonts w:hint="eastAsia" w:ascii="宋体" w:hAnsi="宋体"/>
          <w:sz w:val="24"/>
        </w:rPr>
        <w:t>满意度评分表</w:t>
      </w:r>
    </w:p>
    <w:tbl>
      <w:tblPr>
        <w:tblStyle w:val="25"/>
        <w:tblW w:w="7074" w:type="dxa"/>
        <w:tblInd w:w="-5" w:type="dxa"/>
        <w:tblLayout w:type="fixed"/>
        <w:tblCellMar>
          <w:top w:w="0" w:type="dxa"/>
          <w:left w:w="108" w:type="dxa"/>
          <w:bottom w:w="0" w:type="dxa"/>
          <w:right w:w="108" w:type="dxa"/>
        </w:tblCellMar>
      </w:tblPr>
      <w:tblGrid>
        <w:gridCol w:w="540"/>
        <w:gridCol w:w="1160"/>
        <w:gridCol w:w="2300"/>
        <w:gridCol w:w="696"/>
        <w:gridCol w:w="2378"/>
      </w:tblGrid>
      <w:tr>
        <w:tblPrEx>
          <w:tblLayout w:type="fixed"/>
          <w:tblCellMar>
            <w:top w:w="0" w:type="dxa"/>
            <w:left w:w="108" w:type="dxa"/>
            <w:bottom w:w="0" w:type="dxa"/>
            <w:right w:w="108" w:type="dxa"/>
          </w:tblCellMar>
        </w:tblPrEx>
        <w:trPr>
          <w:trHeight w:val="315"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序号</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评分要素</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主要内容</w:t>
            </w:r>
          </w:p>
        </w:tc>
        <w:tc>
          <w:tcPr>
            <w:tcW w:w="696" w:type="dxa"/>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分值</w:t>
            </w:r>
          </w:p>
        </w:tc>
        <w:tc>
          <w:tcPr>
            <w:tcW w:w="2378" w:type="dxa"/>
            <w:tcBorders>
              <w:top w:val="single" w:color="auto" w:sz="4" w:space="0"/>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评分办法</w:t>
            </w:r>
          </w:p>
        </w:tc>
      </w:tr>
      <w:tr>
        <w:tblPrEx>
          <w:tblLayout w:type="fixed"/>
          <w:tblCellMar>
            <w:top w:w="0" w:type="dxa"/>
            <w:left w:w="108" w:type="dxa"/>
            <w:bottom w:w="0" w:type="dxa"/>
            <w:right w:w="108" w:type="dxa"/>
          </w:tblCellMar>
        </w:tblPrEx>
        <w:trPr>
          <w:trHeight w:val="653" w:hRule="atLeast"/>
        </w:trPr>
        <w:tc>
          <w:tcPr>
            <w:tcW w:w="540"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1</w:t>
            </w: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2025年度服务履行情况</w:t>
            </w:r>
            <w:r>
              <w:rPr>
                <w:rFonts w:hint="eastAsia" w:ascii="宋体" w:hAnsi="宋体" w:cs="宋体"/>
                <w:color w:val="000000"/>
                <w:kern w:val="0"/>
                <w:sz w:val="24"/>
              </w:rPr>
              <w:br w:type="textWrapping"/>
            </w:r>
            <w:r>
              <w:rPr>
                <w:rFonts w:hint="eastAsia" w:ascii="宋体" w:hAnsi="宋体" w:cs="宋体"/>
                <w:color w:val="000000"/>
                <w:kern w:val="0"/>
                <w:sz w:val="24"/>
              </w:rPr>
              <w:t>（55分）</w:t>
            </w:r>
          </w:p>
        </w:tc>
        <w:tc>
          <w:tcPr>
            <w:tcW w:w="2300"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xml:space="preserve">保险责任 </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10</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完成，10分；</w:t>
            </w:r>
            <w:r>
              <w:rPr>
                <w:rFonts w:hint="eastAsia" w:ascii="宋体" w:hAnsi="宋体" w:cs="宋体"/>
                <w:color w:val="000000"/>
                <w:kern w:val="0"/>
                <w:sz w:val="24"/>
              </w:rPr>
              <w:br w:type="textWrapping"/>
            </w:r>
            <w:r>
              <w:rPr>
                <w:rFonts w:hint="eastAsia" w:ascii="宋体" w:hAnsi="宋体" w:cs="宋体"/>
                <w:color w:val="000000"/>
                <w:kern w:val="0"/>
                <w:sz w:val="24"/>
              </w:rPr>
              <w:t>未完成，0分。</w:t>
            </w:r>
          </w:p>
        </w:tc>
      </w:tr>
      <w:tr>
        <w:tblPrEx>
          <w:tblLayout w:type="fixed"/>
          <w:tblCellMar>
            <w:top w:w="0" w:type="dxa"/>
            <w:left w:w="108" w:type="dxa"/>
            <w:bottom w:w="0" w:type="dxa"/>
            <w:right w:w="108" w:type="dxa"/>
          </w:tblCellMar>
        </w:tblPrEx>
        <w:trPr>
          <w:trHeight w:val="97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xml:space="preserve">服务承诺 </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15</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完成，15分；</w:t>
            </w:r>
            <w:r>
              <w:rPr>
                <w:rFonts w:hint="eastAsia" w:ascii="宋体" w:hAnsi="宋体" w:cs="宋体"/>
                <w:color w:val="000000"/>
                <w:kern w:val="0"/>
                <w:sz w:val="24"/>
              </w:rPr>
              <w:br w:type="textWrapping"/>
            </w:r>
            <w:r>
              <w:rPr>
                <w:rFonts w:hint="eastAsia" w:ascii="宋体" w:hAnsi="宋体" w:cs="宋体"/>
                <w:color w:val="000000"/>
                <w:kern w:val="0"/>
                <w:sz w:val="24"/>
              </w:rPr>
              <w:t>部分完成，10分；</w:t>
            </w:r>
            <w:r>
              <w:rPr>
                <w:rFonts w:hint="eastAsia" w:ascii="宋体" w:hAnsi="宋体" w:cs="宋体"/>
                <w:color w:val="000000"/>
                <w:kern w:val="0"/>
                <w:sz w:val="24"/>
              </w:rPr>
              <w:br w:type="textWrapping"/>
            </w:r>
            <w:r>
              <w:rPr>
                <w:rFonts w:hint="eastAsia" w:ascii="宋体" w:hAnsi="宋体" w:cs="宋体"/>
                <w:color w:val="000000"/>
                <w:kern w:val="0"/>
                <w:sz w:val="24"/>
              </w:rPr>
              <w:t>未完成，0分。</w:t>
            </w:r>
          </w:p>
        </w:tc>
      </w:tr>
      <w:tr>
        <w:tblPrEx>
          <w:tblLayout w:type="fixed"/>
          <w:tblCellMar>
            <w:top w:w="0" w:type="dxa"/>
            <w:left w:w="108" w:type="dxa"/>
            <w:bottom w:w="0" w:type="dxa"/>
            <w:right w:w="108" w:type="dxa"/>
          </w:tblCellMar>
        </w:tblPrEx>
        <w:trPr>
          <w:trHeight w:val="107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xml:space="preserve">理赔服务承诺 </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10</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完成，10分；</w:t>
            </w:r>
            <w:r>
              <w:rPr>
                <w:rFonts w:hint="eastAsia" w:ascii="宋体" w:hAnsi="宋体" w:cs="宋体"/>
                <w:color w:val="000000"/>
                <w:kern w:val="0"/>
                <w:sz w:val="24"/>
              </w:rPr>
              <w:br w:type="textWrapping"/>
            </w:r>
            <w:r>
              <w:rPr>
                <w:rFonts w:hint="eastAsia" w:ascii="宋体" w:hAnsi="宋体" w:cs="宋体"/>
                <w:color w:val="000000"/>
                <w:kern w:val="0"/>
                <w:sz w:val="24"/>
              </w:rPr>
              <w:t>部分完成，5分；</w:t>
            </w:r>
            <w:r>
              <w:rPr>
                <w:rFonts w:hint="eastAsia" w:ascii="宋体" w:hAnsi="宋体" w:cs="宋体"/>
                <w:color w:val="000000"/>
                <w:kern w:val="0"/>
                <w:sz w:val="24"/>
              </w:rPr>
              <w:br w:type="textWrapping"/>
            </w:r>
            <w:r>
              <w:rPr>
                <w:rFonts w:hint="eastAsia" w:ascii="宋体" w:hAnsi="宋体" w:cs="宋体"/>
                <w:color w:val="000000"/>
                <w:kern w:val="0"/>
                <w:sz w:val="24"/>
              </w:rPr>
              <w:t>未完成，0分。</w:t>
            </w:r>
          </w:p>
        </w:tc>
      </w:tr>
      <w:tr>
        <w:tblPrEx>
          <w:tblLayout w:type="fixed"/>
          <w:tblCellMar>
            <w:top w:w="0" w:type="dxa"/>
            <w:left w:w="108" w:type="dxa"/>
            <w:bottom w:w="0" w:type="dxa"/>
            <w:right w:w="108" w:type="dxa"/>
          </w:tblCellMar>
        </w:tblPrEx>
        <w:trPr>
          <w:trHeight w:val="1043"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xml:space="preserve">项目团队组织承诺 </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10</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完成，10分；</w:t>
            </w:r>
            <w:r>
              <w:rPr>
                <w:rFonts w:hint="eastAsia" w:ascii="宋体" w:hAnsi="宋体" w:cs="宋体"/>
                <w:color w:val="000000"/>
                <w:kern w:val="0"/>
                <w:sz w:val="24"/>
              </w:rPr>
              <w:br w:type="textWrapping"/>
            </w:r>
            <w:r>
              <w:rPr>
                <w:rFonts w:hint="eastAsia" w:ascii="宋体" w:hAnsi="宋体" w:cs="宋体"/>
                <w:color w:val="000000"/>
                <w:kern w:val="0"/>
                <w:sz w:val="24"/>
              </w:rPr>
              <w:t>部分完成，5分；</w:t>
            </w:r>
            <w:r>
              <w:rPr>
                <w:rFonts w:hint="eastAsia" w:ascii="宋体" w:hAnsi="宋体" w:cs="宋体"/>
                <w:color w:val="000000"/>
                <w:kern w:val="0"/>
                <w:sz w:val="24"/>
              </w:rPr>
              <w:br w:type="textWrapping"/>
            </w:r>
            <w:r>
              <w:rPr>
                <w:rFonts w:hint="eastAsia" w:ascii="宋体" w:hAnsi="宋体" w:cs="宋体"/>
                <w:color w:val="000000"/>
                <w:kern w:val="0"/>
                <w:sz w:val="24"/>
              </w:rPr>
              <w:t>未完成，0分。</w:t>
            </w:r>
          </w:p>
        </w:tc>
      </w:tr>
      <w:tr>
        <w:tblPrEx>
          <w:tblLayout w:type="fixed"/>
          <w:tblCellMar>
            <w:top w:w="0" w:type="dxa"/>
            <w:left w:w="108" w:type="dxa"/>
            <w:bottom w:w="0" w:type="dxa"/>
            <w:right w:w="108" w:type="dxa"/>
          </w:tblCellMar>
        </w:tblPrEx>
        <w:trPr>
          <w:trHeight w:val="1095" w:hRule="atLeast"/>
        </w:trPr>
        <w:tc>
          <w:tcPr>
            <w:tcW w:w="540"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xml:space="preserve">增值及特色服务承诺 </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10</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完成，10分；</w:t>
            </w:r>
            <w:r>
              <w:rPr>
                <w:rFonts w:hint="eastAsia" w:ascii="宋体" w:hAnsi="宋体" w:cs="宋体"/>
                <w:color w:val="000000"/>
                <w:kern w:val="0"/>
                <w:sz w:val="24"/>
              </w:rPr>
              <w:br w:type="textWrapping"/>
            </w:r>
            <w:r>
              <w:rPr>
                <w:rFonts w:hint="eastAsia" w:ascii="宋体" w:hAnsi="宋体" w:cs="宋体"/>
                <w:color w:val="000000"/>
                <w:kern w:val="0"/>
                <w:sz w:val="24"/>
              </w:rPr>
              <w:t>部分完成，5分；</w:t>
            </w:r>
            <w:r>
              <w:rPr>
                <w:rFonts w:hint="eastAsia" w:ascii="宋体" w:hAnsi="宋体" w:cs="宋体"/>
                <w:color w:val="000000"/>
                <w:kern w:val="0"/>
                <w:sz w:val="24"/>
              </w:rPr>
              <w:br w:type="textWrapping"/>
            </w:r>
            <w:r>
              <w:rPr>
                <w:rFonts w:hint="eastAsia" w:ascii="宋体" w:hAnsi="宋体" w:cs="宋体"/>
                <w:color w:val="000000"/>
                <w:kern w:val="0"/>
                <w:sz w:val="24"/>
              </w:rPr>
              <w:t>未完成，0分</w:t>
            </w:r>
          </w:p>
        </w:tc>
      </w:tr>
      <w:tr>
        <w:tblPrEx>
          <w:tblLayout w:type="fixed"/>
          <w:tblCellMar>
            <w:top w:w="0" w:type="dxa"/>
            <w:left w:w="108" w:type="dxa"/>
            <w:bottom w:w="0" w:type="dxa"/>
            <w:right w:w="108" w:type="dxa"/>
          </w:tblCellMar>
        </w:tblPrEx>
        <w:trPr>
          <w:trHeight w:val="368" w:hRule="atLeast"/>
        </w:trPr>
        <w:tc>
          <w:tcPr>
            <w:tcW w:w="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2</w:t>
            </w: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2026-2027年度计划服务承诺情况（45分）</w:t>
            </w:r>
          </w:p>
        </w:tc>
        <w:tc>
          <w:tcPr>
            <w:tcW w:w="2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综合偿付能力充足率</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trHeight w:val="458"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4</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trHeight w:val="743"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类似项目理赔经验</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6</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xml:space="preserve"> </w:t>
            </w:r>
          </w:p>
        </w:tc>
      </w:tr>
      <w:tr>
        <w:tblPrEx>
          <w:tblLayout w:type="fixed"/>
          <w:tblCellMar>
            <w:top w:w="0" w:type="dxa"/>
            <w:left w:w="108" w:type="dxa"/>
            <w:bottom w:w="0" w:type="dxa"/>
            <w:right w:w="108" w:type="dxa"/>
          </w:tblCellMar>
        </w:tblPrEx>
        <w:trPr>
          <w:trHeight w:val="46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类似项目承保经验</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8</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xml:space="preserve"> </w:t>
            </w:r>
          </w:p>
        </w:tc>
      </w:tr>
      <w:tr>
        <w:tblPrEx>
          <w:tblLayout w:type="fixed"/>
          <w:tblCellMar>
            <w:top w:w="0" w:type="dxa"/>
            <w:left w:w="108" w:type="dxa"/>
            <w:bottom w:w="0" w:type="dxa"/>
            <w:right w:w="108" w:type="dxa"/>
          </w:tblCellMar>
        </w:tblPrEx>
        <w:trPr>
          <w:trHeight w:val="503"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服务团队配置</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5</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xml:space="preserve"> </w:t>
            </w:r>
          </w:p>
        </w:tc>
      </w:tr>
      <w:tr>
        <w:tblPrEx>
          <w:tblLayout w:type="fixed"/>
          <w:tblCellMar>
            <w:top w:w="0" w:type="dxa"/>
            <w:left w:w="108" w:type="dxa"/>
            <w:bottom w:w="0" w:type="dxa"/>
            <w:right w:w="108" w:type="dxa"/>
          </w:tblCellMar>
        </w:tblPrEx>
        <w:trPr>
          <w:trHeight w:val="563"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常规服务方案</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3</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xml:space="preserve"> </w:t>
            </w:r>
          </w:p>
        </w:tc>
      </w:tr>
      <w:tr>
        <w:tblPrEx>
          <w:tblLayout w:type="fixed"/>
          <w:tblCellMar>
            <w:top w:w="0" w:type="dxa"/>
            <w:left w:w="108" w:type="dxa"/>
            <w:bottom w:w="0" w:type="dxa"/>
            <w:right w:w="108" w:type="dxa"/>
          </w:tblCellMar>
        </w:tblPrEx>
        <w:trPr>
          <w:trHeight w:val="563"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tcPr>
          <w:p>
            <w:pPr>
              <w:spacing w:before="156" w:beforeLines="50" w:after="156" w:afterLines="50" w:line="340" w:lineRule="exact"/>
              <w:rPr>
                <w:rFonts w:hint="eastAsia" w:ascii="宋体" w:hAnsi="宋体" w:cs="宋体"/>
                <w:color w:val="000000"/>
                <w:kern w:val="0"/>
                <w:sz w:val="24"/>
              </w:rPr>
            </w:pPr>
            <w:r>
              <w:rPr>
                <w:rFonts w:hint="eastAsia" w:ascii="宋体" w:hAnsi="宋体"/>
                <w:b/>
                <w:color w:val="000000"/>
                <w:sz w:val="24"/>
              </w:rPr>
              <w:t>飞行安全预防服务措施</w:t>
            </w:r>
          </w:p>
        </w:tc>
        <w:tc>
          <w:tcPr>
            <w:tcW w:w="696" w:type="dxa"/>
            <w:tcBorders>
              <w:top w:val="nil"/>
              <w:left w:val="nil"/>
              <w:bottom w:val="single" w:color="auto" w:sz="4" w:space="0"/>
              <w:right w:val="single" w:color="auto" w:sz="4" w:space="0"/>
            </w:tcBorders>
            <w:shd w:val="clear" w:color="auto" w:fill="auto"/>
          </w:tcPr>
          <w:p>
            <w:pPr>
              <w:widowControl/>
              <w:suppressAutoHyphens w:val="0"/>
              <w:jc w:val="center"/>
              <w:rPr>
                <w:rFonts w:hint="eastAsia" w:ascii="宋体" w:hAnsi="宋体" w:cs="宋体"/>
                <w:color w:val="000000"/>
                <w:kern w:val="0"/>
                <w:sz w:val="24"/>
              </w:rPr>
            </w:pPr>
            <w:r>
              <w:rPr>
                <w:rFonts w:hint="eastAsia" w:ascii="宋体" w:hAnsi="宋体"/>
                <w:b/>
                <w:color w:val="000000"/>
                <w:sz w:val="24"/>
              </w:rPr>
              <w:t>4</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trHeight w:val="563"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tcPr>
          <w:p>
            <w:pPr>
              <w:spacing w:before="156" w:beforeLines="50" w:after="156" w:afterLines="50" w:line="340" w:lineRule="exact"/>
              <w:rPr>
                <w:rFonts w:hint="eastAsia" w:ascii="宋体" w:hAnsi="宋体"/>
                <w:b/>
                <w:color w:val="000000"/>
                <w:sz w:val="24"/>
              </w:rPr>
            </w:pPr>
            <w:r>
              <w:rPr>
                <w:rFonts w:hint="eastAsia" w:ascii="宋体" w:hAnsi="宋体"/>
                <w:b/>
                <w:color w:val="000000"/>
                <w:sz w:val="24"/>
              </w:rPr>
              <w:t>应急保障响应方案</w:t>
            </w:r>
          </w:p>
        </w:tc>
        <w:tc>
          <w:tcPr>
            <w:tcW w:w="696" w:type="dxa"/>
            <w:tcBorders>
              <w:top w:val="nil"/>
              <w:left w:val="nil"/>
              <w:bottom w:val="single" w:color="auto" w:sz="4" w:space="0"/>
              <w:right w:val="single" w:color="auto" w:sz="4" w:space="0"/>
            </w:tcBorders>
            <w:shd w:val="clear" w:color="auto" w:fill="auto"/>
          </w:tcPr>
          <w:p>
            <w:pPr>
              <w:widowControl/>
              <w:suppressAutoHyphens w:val="0"/>
              <w:jc w:val="center"/>
              <w:rPr>
                <w:rFonts w:hint="eastAsia" w:ascii="宋体" w:hAnsi="宋体" w:cs="宋体"/>
                <w:color w:val="000000"/>
                <w:kern w:val="0"/>
                <w:sz w:val="24"/>
              </w:rPr>
            </w:pPr>
            <w:r>
              <w:rPr>
                <w:rFonts w:hint="eastAsia" w:ascii="宋体" w:hAnsi="宋体"/>
                <w:b/>
                <w:color w:val="000000"/>
                <w:sz w:val="24"/>
              </w:rPr>
              <w:t>5</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p>
        </w:tc>
      </w:tr>
      <w:tr>
        <w:tblPrEx>
          <w:tblLayout w:type="fixed"/>
          <w:tblCellMar>
            <w:top w:w="0" w:type="dxa"/>
            <w:left w:w="108" w:type="dxa"/>
            <w:bottom w:w="0" w:type="dxa"/>
            <w:right w:w="108" w:type="dxa"/>
          </w:tblCellMar>
        </w:tblPrEx>
        <w:trPr>
          <w:trHeight w:val="465"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理赔服务方案</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5</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增值服务及特色服务</w:t>
            </w: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r>
              <w:rPr>
                <w:rFonts w:hint="eastAsia" w:ascii="宋体" w:hAnsi="宋体" w:cs="宋体"/>
                <w:color w:val="000000"/>
                <w:kern w:val="0"/>
                <w:sz w:val="24"/>
              </w:rPr>
              <w:t>5</w:t>
            </w: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38" w:hRule="atLeast"/>
        </w:trPr>
        <w:tc>
          <w:tcPr>
            <w:tcW w:w="54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uppressAutoHyphens w:val="0"/>
              <w:jc w:val="left"/>
              <w:rPr>
                <w:rFonts w:hint="eastAsia" w:ascii="宋体" w:hAnsi="宋体" w:cs="宋体"/>
                <w:color w:val="000000"/>
                <w:kern w:val="0"/>
                <w:sz w:val="24"/>
              </w:rPr>
            </w:pPr>
          </w:p>
        </w:tc>
        <w:tc>
          <w:tcPr>
            <w:tcW w:w="2300" w:type="dxa"/>
            <w:tcBorders>
              <w:top w:val="nil"/>
              <w:left w:val="nil"/>
              <w:bottom w:val="single" w:color="auto" w:sz="4" w:space="0"/>
              <w:right w:val="single" w:color="auto" w:sz="4" w:space="0"/>
            </w:tcBorders>
            <w:shd w:val="clear" w:color="auto" w:fill="auto"/>
            <w:vAlign w:val="center"/>
          </w:tcPr>
          <w:p>
            <w:pPr>
              <w:widowControl/>
              <w:suppressAutoHyphens w:val="0"/>
              <w:jc w:val="left"/>
              <w:rPr>
                <w:rFonts w:hint="eastAsia" w:ascii="宋体" w:hAnsi="宋体" w:cs="宋体"/>
                <w:color w:val="000000"/>
                <w:kern w:val="0"/>
                <w:sz w:val="24"/>
              </w:rPr>
            </w:pPr>
          </w:p>
        </w:tc>
        <w:tc>
          <w:tcPr>
            <w:tcW w:w="696" w:type="dxa"/>
            <w:tcBorders>
              <w:top w:val="nil"/>
              <w:left w:val="nil"/>
              <w:bottom w:val="single" w:color="auto" w:sz="4" w:space="0"/>
              <w:right w:val="single" w:color="auto" w:sz="4" w:space="0"/>
            </w:tcBorders>
            <w:shd w:val="clear" w:color="auto" w:fill="auto"/>
            <w:vAlign w:val="center"/>
          </w:tcPr>
          <w:p>
            <w:pPr>
              <w:widowControl/>
              <w:suppressAutoHyphens w:val="0"/>
              <w:jc w:val="center"/>
              <w:rPr>
                <w:rFonts w:hint="eastAsia" w:ascii="宋体" w:hAnsi="宋体" w:cs="宋体"/>
                <w:color w:val="000000"/>
                <w:kern w:val="0"/>
                <w:sz w:val="24"/>
              </w:rPr>
            </w:pPr>
          </w:p>
        </w:tc>
        <w:tc>
          <w:tcPr>
            <w:tcW w:w="2378" w:type="dxa"/>
            <w:tcBorders>
              <w:top w:val="nil"/>
              <w:left w:val="nil"/>
              <w:bottom w:val="single" w:color="auto" w:sz="4" w:space="0"/>
              <w:right w:val="single" w:color="auto" w:sz="4" w:space="0"/>
            </w:tcBorders>
            <w:shd w:val="clear" w:color="auto" w:fill="auto"/>
          </w:tcPr>
          <w:p>
            <w:pPr>
              <w:widowControl/>
              <w:suppressAutoHyphens w:val="0"/>
              <w:jc w:val="left"/>
              <w:rPr>
                <w:rFonts w:hint="eastAsia" w:ascii="宋体" w:hAnsi="宋体" w:cs="宋体"/>
                <w:color w:val="000000"/>
                <w:kern w:val="0"/>
                <w:sz w:val="24"/>
              </w:rPr>
            </w:pPr>
          </w:p>
        </w:tc>
      </w:tr>
    </w:tbl>
    <w:p>
      <w:pPr>
        <w:rPr>
          <w:rFonts w:ascii="宋体" w:hAnsi="宋体"/>
          <w:sz w:val="24"/>
        </w:rPr>
      </w:pPr>
      <w:r>
        <w:rPr>
          <w:rFonts w:hint="eastAsia" w:ascii="宋体" w:hAnsi="宋体" w:cs="宋体"/>
          <w:color w:val="000000"/>
          <w:kern w:val="0"/>
          <w:sz w:val="24"/>
        </w:rPr>
        <w:t>-</w:t>
      </w:r>
    </w:p>
    <w:sectPr>
      <w:headerReference r:id="rId3" w:type="default"/>
      <w:footerReference r:id="rId4"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0000000000000000000"/>
    <w:charset w:val="86"/>
    <w:family w:val="auto"/>
    <w:pitch w:val="default"/>
    <w:sig w:usb0="00000000" w:usb1="00000000" w:usb2="00000016" w:usb3="00000000" w:csb0="602E0107"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PAGE   \* MERGEFORMAT</w:instrText>
    </w:r>
    <w:r>
      <w:fldChar w:fldCharType="separate"/>
    </w:r>
    <w:r>
      <w:rPr>
        <w:lang w:val="zh-CN"/>
      </w:rPr>
      <w:t>2</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tabs>
        <w:tab w:val="left" w:pos="552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777E8"/>
    <w:multiLevelType w:val="multilevel"/>
    <w:tmpl w:val="18A777E8"/>
    <w:lvl w:ilvl="0" w:tentative="0">
      <w:start w:val="1"/>
      <w:numFmt w:val="decimal"/>
      <w:pStyle w:val="15"/>
      <w:suff w:val="nothing"/>
      <w:lvlText w:val="%1."/>
      <w:lvlJc w:val="left"/>
      <w:pPr>
        <w:ind w:left="0" w:firstLine="0"/>
      </w:pPr>
      <w:rPr>
        <w:rFonts w:hint="eastAsia"/>
        <w:b/>
        <w:i w:val="0"/>
        <w:sz w:val="32"/>
        <w:szCs w:val="32"/>
      </w:rPr>
    </w:lvl>
    <w:lvl w:ilvl="1" w:tentative="0">
      <w:start w:val="0"/>
      <w:numFmt w:val="decimal"/>
      <w:pStyle w:val="53"/>
      <w:suff w:val="nothing"/>
      <w:lvlText w:val="%1.%2."/>
      <w:lvlJc w:val="left"/>
      <w:pPr>
        <w:ind w:left="380" w:hanging="380"/>
      </w:pPr>
      <w:rPr>
        <w:rFonts w:hint="eastAsia"/>
        <w:b/>
        <w:i w:val="0"/>
        <w:sz w:val="28"/>
        <w:szCs w:val="28"/>
      </w:rPr>
    </w:lvl>
    <w:lvl w:ilvl="2" w:tentative="0">
      <w:start w:val="1"/>
      <w:numFmt w:val="decimal"/>
      <w:pStyle w:val="54"/>
      <w:suff w:val="nothing"/>
      <w:lvlText w:val="%1.%2.%3."/>
      <w:lvlJc w:val="left"/>
      <w:pPr>
        <w:ind w:left="0" w:firstLine="0"/>
      </w:pPr>
      <w:rPr>
        <w:rFonts w:hint="eastAsia"/>
        <w:b/>
        <w:i w:val="0"/>
        <w:sz w:val="24"/>
        <w:szCs w:val="24"/>
      </w:rPr>
    </w:lvl>
    <w:lvl w:ilvl="3" w:tentative="0">
      <w:start w:val="1"/>
      <w:numFmt w:val="decimal"/>
      <w:pStyle w:val="5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
    <w:nsid w:val="435435BB"/>
    <w:multiLevelType w:val="singleLevel"/>
    <w:tmpl w:val="435435BB"/>
    <w:lvl w:ilvl="0" w:tentative="0">
      <w:start w:val="1"/>
      <w:numFmt w:val="decimal"/>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A02"/>
    <w:rsid w:val="00017676"/>
    <w:rsid w:val="00056F5E"/>
    <w:rsid w:val="00064A16"/>
    <w:rsid w:val="000F2ACF"/>
    <w:rsid w:val="000F4AD2"/>
    <w:rsid w:val="00137ECD"/>
    <w:rsid w:val="00141F5F"/>
    <w:rsid w:val="00152854"/>
    <w:rsid w:val="00161CD1"/>
    <w:rsid w:val="0016751A"/>
    <w:rsid w:val="00167A63"/>
    <w:rsid w:val="00183D41"/>
    <w:rsid w:val="00202C45"/>
    <w:rsid w:val="00206616"/>
    <w:rsid w:val="00240016"/>
    <w:rsid w:val="00280692"/>
    <w:rsid w:val="00295B08"/>
    <w:rsid w:val="00296928"/>
    <w:rsid w:val="002A35D5"/>
    <w:rsid w:val="002A51B0"/>
    <w:rsid w:val="002B1113"/>
    <w:rsid w:val="002D2E14"/>
    <w:rsid w:val="003004CE"/>
    <w:rsid w:val="003067D9"/>
    <w:rsid w:val="00317A22"/>
    <w:rsid w:val="00327520"/>
    <w:rsid w:val="00337B84"/>
    <w:rsid w:val="00353490"/>
    <w:rsid w:val="00370EAC"/>
    <w:rsid w:val="00373E8B"/>
    <w:rsid w:val="0039379B"/>
    <w:rsid w:val="003952EF"/>
    <w:rsid w:val="003A12E7"/>
    <w:rsid w:val="003A4BEE"/>
    <w:rsid w:val="003A7748"/>
    <w:rsid w:val="003C382F"/>
    <w:rsid w:val="003D555B"/>
    <w:rsid w:val="003F6C61"/>
    <w:rsid w:val="003F6C85"/>
    <w:rsid w:val="0040391C"/>
    <w:rsid w:val="004454C0"/>
    <w:rsid w:val="00461E4D"/>
    <w:rsid w:val="004754A2"/>
    <w:rsid w:val="004C69DA"/>
    <w:rsid w:val="004F7143"/>
    <w:rsid w:val="00513EC7"/>
    <w:rsid w:val="00522788"/>
    <w:rsid w:val="00560060"/>
    <w:rsid w:val="005819AC"/>
    <w:rsid w:val="005D1CB2"/>
    <w:rsid w:val="005E1BED"/>
    <w:rsid w:val="00624141"/>
    <w:rsid w:val="00643D6D"/>
    <w:rsid w:val="00651642"/>
    <w:rsid w:val="00657F64"/>
    <w:rsid w:val="006A4465"/>
    <w:rsid w:val="006B0CE9"/>
    <w:rsid w:val="006B2485"/>
    <w:rsid w:val="006E048D"/>
    <w:rsid w:val="006E28EE"/>
    <w:rsid w:val="006F6868"/>
    <w:rsid w:val="00725769"/>
    <w:rsid w:val="007540AB"/>
    <w:rsid w:val="0075576B"/>
    <w:rsid w:val="0078170D"/>
    <w:rsid w:val="00796644"/>
    <w:rsid w:val="007A3D56"/>
    <w:rsid w:val="007E3429"/>
    <w:rsid w:val="008131BB"/>
    <w:rsid w:val="00842E00"/>
    <w:rsid w:val="0086109E"/>
    <w:rsid w:val="0087131E"/>
    <w:rsid w:val="00883300"/>
    <w:rsid w:val="00895187"/>
    <w:rsid w:val="00896A8C"/>
    <w:rsid w:val="008A6F27"/>
    <w:rsid w:val="008B4DCB"/>
    <w:rsid w:val="009515AD"/>
    <w:rsid w:val="00962E7A"/>
    <w:rsid w:val="00981941"/>
    <w:rsid w:val="00981C4A"/>
    <w:rsid w:val="0099617A"/>
    <w:rsid w:val="009A47B6"/>
    <w:rsid w:val="009B06AB"/>
    <w:rsid w:val="009B06C4"/>
    <w:rsid w:val="009B1E89"/>
    <w:rsid w:val="009B222A"/>
    <w:rsid w:val="009C7B16"/>
    <w:rsid w:val="009D2480"/>
    <w:rsid w:val="00A04E84"/>
    <w:rsid w:val="00A12849"/>
    <w:rsid w:val="00A13CA4"/>
    <w:rsid w:val="00A22844"/>
    <w:rsid w:val="00A2525D"/>
    <w:rsid w:val="00A74F0D"/>
    <w:rsid w:val="00AA6D78"/>
    <w:rsid w:val="00B00A05"/>
    <w:rsid w:val="00B042A9"/>
    <w:rsid w:val="00B14735"/>
    <w:rsid w:val="00B25166"/>
    <w:rsid w:val="00B3219E"/>
    <w:rsid w:val="00B45134"/>
    <w:rsid w:val="00B74AA0"/>
    <w:rsid w:val="00B900A8"/>
    <w:rsid w:val="00BA1A02"/>
    <w:rsid w:val="00BA3D81"/>
    <w:rsid w:val="00BB1FFB"/>
    <w:rsid w:val="00BD3C5A"/>
    <w:rsid w:val="00BD510B"/>
    <w:rsid w:val="00BE42C2"/>
    <w:rsid w:val="00BF0573"/>
    <w:rsid w:val="00C3303B"/>
    <w:rsid w:val="00C525D8"/>
    <w:rsid w:val="00C52C7F"/>
    <w:rsid w:val="00C60666"/>
    <w:rsid w:val="00C6152A"/>
    <w:rsid w:val="00C9720F"/>
    <w:rsid w:val="00CF448F"/>
    <w:rsid w:val="00D10BC2"/>
    <w:rsid w:val="00D30C5F"/>
    <w:rsid w:val="00D51AFE"/>
    <w:rsid w:val="00D65077"/>
    <w:rsid w:val="00D73FBE"/>
    <w:rsid w:val="00D86B04"/>
    <w:rsid w:val="00D92005"/>
    <w:rsid w:val="00DC34E1"/>
    <w:rsid w:val="00DD48B2"/>
    <w:rsid w:val="00DE3164"/>
    <w:rsid w:val="00DF4E62"/>
    <w:rsid w:val="00E10FFF"/>
    <w:rsid w:val="00E35585"/>
    <w:rsid w:val="00E42C64"/>
    <w:rsid w:val="00E45E46"/>
    <w:rsid w:val="00E70A03"/>
    <w:rsid w:val="00E7570A"/>
    <w:rsid w:val="00E84A5F"/>
    <w:rsid w:val="00E92E2E"/>
    <w:rsid w:val="00EA7D8E"/>
    <w:rsid w:val="00ED7F24"/>
    <w:rsid w:val="00EE4984"/>
    <w:rsid w:val="00EE4DF3"/>
    <w:rsid w:val="00F415D0"/>
    <w:rsid w:val="00F94FA2"/>
    <w:rsid w:val="00FB1C3E"/>
    <w:rsid w:val="00FD4B35"/>
    <w:rsid w:val="00FD772F"/>
    <w:rsid w:val="00FE1AAC"/>
    <w:rsid w:val="00FE6FC8"/>
    <w:rsid w:val="43581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after="0" w:line="240" w:lineRule="auto"/>
      <w:jc w:val="both"/>
    </w:pPr>
    <w:rPr>
      <w:rFonts w:ascii="Calibri" w:hAnsi="Calibri" w:eastAsia="宋体" w:cs="Times New Roman"/>
      <w:kern w:val="2"/>
      <w:sz w:val="21"/>
      <w:szCs w:val="24"/>
      <w:lang w:val="en-US" w:eastAsia="zh-CN" w:bidi="ar-SA"/>
      <w14:ligatures w14:val="none"/>
    </w:rPr>
  </w:style>
  <w:style w:type="paragraph" w:styleId="4">
    <w:name w:val="heading 1"/>
    <w:basedOn w:val="1"/>
    <w:next w:val="1"/>
    <w:link w:val="26"/>
    <w:qFormat/>
    <w:uiPriority w:val="9"/>
    <w:pPr>
      <w:keepNext/>
      <w:keepLines/>
      <w:suppressAutoHyphens w:val="0"/>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5">
    <w:name w:val="heading 2"/>
    <w:basedOn w:val="1"/>
    <w:next w:val="1"/>
    <w:link w:val="27"/>
    <w:unhideWhenUsed/>
    <w:qFormat/>
    <w:uiPriority w:val="9"/>
    <w:pPr>
      <w:keepNext/>
      <w:keepLines/>
      <w:suppressAutoHyphens w:val="0"/>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6">
    <w:name w:val="heading 3"/>
    <w:basedOn w:val="1"/>
    <w:next w:val="1"/>
    <w:link w:val="28"/>
    <w:unhideWhenUsed/>
    <w:qFormat/>
    <w:uiPriority w:val="9"/>
    <w:pPr>
      <w:keepNext/>
      <w:keepLines/>
      <w:suppressAutoHyphens w:val="0"/>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7">
    <w:name w:val="heading 4"/>
    <w:basedOn w:val="1"/>
    <w:next w:val="1"/>
    <w:link w:val="29"/>
    <w:unhideWhenUsed/>
    <w:qFormat/>
    <w:uiPriority w:val="9"/>
    <w:pPr>
      <w:keepNext/>
      <w:keepLines/>
      <w:suppressAutoHyphens w:val="0"/>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8">
    <w:name w:val="heading 5"/>
    <w:basedOn w:val="1"/>
    <w:next w:val="1"/>
    <w:link w:val="30"/>
    <w:unhideWhenUsed/>
    <w:qFormat/>
    <w:uiPriority w:val="9"/>
    <w:pPr>
      <w:keepNext/>
      <w:keepLines/>
      <w:suppressAutoHyphens w:val="0"/>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9">
    <w:name w:val="heading 6"/>
    <w:basedOn w:val="1"/>
    <w:next w:val="1"/>
    <w:link w:val="31"/>
    <w:unhideWhenUsed/>
    <w:qFormat/>
    <w:uiPriority w:val="9"/>
    <w:pPr>
      <w:keepNext/>
      <w:keepLines/>
      <w:suppressAutoHyphens w:val="0"/>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10">
    <w:name w:val="heading 7"/>
    <w:basedOn w:val="1"/>
    <w:next w:val="1"/>
    <w:link w:val="32"/>
    <w:unhideWhenUsed/>
    <w:qFormat/>
    <w:uiPriority w:val="9"/>
    <w:pPr>
      <w:keepNext/>
      <w:keepLines/>
      <w:suppressAutoHyphens w:val="0"/>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11">
    <w:name w:val="heading 8"/>
    <w:basedOn w:val="1"/>
    <w:next w:val="1"/>
    <w:link w:val="33"/>
    <w:unhideWhenUsed/>
    <w:qFormat/>
    <w:uiPriority w:val="9"/>
    <w:pPr>
      <w:keepNext/>
      <w:keepLines/>
      <w:suppressAutoHyphens w:val="0"/>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2">
    <w:name w:val="heading 9"/>
    <w:basedOn w:val="1"/>
    <w:next w:val="1"/>
    <w:link w:val="34"/>
    <w:unhideWhenUsed/>
    <w:qFormat/>
    <w:uiPriority w:val="9"/>
    <w:pPr>
      <w:keepNext/>
      <w:keepLines/>
      <w:suppressAutoHyphens w:val="0"/>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21">
    <w:name w:val="Default Paragraph Font"/>
    <w:unhideWhenUsed/>
    <w:uiPriority w:val="1"/>
  </w:style>
  <w:style w:type="table" w:default="1" w:styleId="25">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3"/>
    <w:link w:val="45"/>
    <w:uiPriority w:val="0"/>
    <w:pPr>
      <w:spacing w:after="140" w:line="276" w:lineRule="auto"/>
    </w:pPr>
  </w:style>
  <w:style w:type="paragraph" w:styleId="3">
    <w:name w:val="Body Text 2"/>
    <w:basedOn w:val="1"/>
    <w:link w:val="47"/>
    <w:qFormat/>
    <w:uiPriority w:val="0"/>
    <w:pPr>
      <w:spacing w:after="120" w:line="480" w:lineRule="auto"/>
    </w:pPr>
  </w:style>
  <w:style w:type="paragraph" w:styleId="13">
    <w:name w:val="annotation subject"/>
    <w:basedOn w:val="14"/>
    <w:next w:val="14"/>
    <w:link w:val="51"/>
    <w:unhideWhenUsed/>
    <w:uiPriority w:val="99"/>
    <w:rPr>
      <w:b/>
      <w:bCs/>
    </w:rPr>
  </w:style>
  <w:style w:type="paragraph" w:styleId="14">
    <w:name w:val="annotation text"/>
    <w:basedOn w:val="1"/>
    <w:link w:val="50"/>
    <w:unhideWhenUsed/>
    <w:uiPriority w:val="99"/>
    <w:pPr>
      <w:jc w:val="left"/>
    </w:pPr>
  </w:style>
  <w:style w:type="paragraph" w:styleId="15">
    <w:name w:val="endnote text"/>
    <w:basedOn w:val="1"/>
    <w:link w:val="52"/>
    <w:qFormat/>
    <w:uiPriority w:val="0"/>
    <w:pPr>
      <w:numPr>
        <w:ilvl w:val="0"/>
        <w:numId w:val="1"/>
      </w:numPr>
      <w:suppressAutoHyphens w:val="0"/>
      <w:snapToGrid w:val="0"/>
      <w:spacing w:afterLines="50"/>
      <w:jc w:val="left"/>
    </w:pPr>
    <w:rPr>
      <w:rFonts w:ascii="宋体"/>
      <w:snapToGrid w:val="0"/>
      <w:kern w:val="0"/>
      <w:szCs w:val="20"/>
    </w:rPr>
  </w:style>
  <w:style w:type="paragraph" w:styleId="16">
    <w:name w:val="footer"/>
    <w:basedOn w:val="1"/>
    <w:link w:val="46"/>
    <w:qFormat/>
    <w:uiPriority w:val="99"/>
    <w:pPr>
      <w:tabs>
        <w:tab w:val="center" w:pos="4153"/>
        <w:tab w:val="right" w:pos="8306"/>
      </w:tabs>
      <w:snapToGrid w:val="0"/>
      <w:jc w:val="left"/>
    </w:pPr>
    <w:rPr>
      <w:sz w:val="18"/>
      <w:szCs w:val="18"/>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link w:val="36"/>
    <w:qFormat/>
    <w:uiPriority w:val="11"/>
    <w:pPr>
      <w:suppressAutoHyphens w:val="0"/>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9">
    <w:name w:val="toc 6"/>
    <w:basedOn w:val="1"/>
    <w:next w:val="1"/>
    <w:unhideWhenUsed/>
    <w:qFormat/>
    <w:uiPriority w:val="39"/>
    <w:pPr>
      <w:suppressAutoHyphens w:val="0"/>
      <w:spacing w:after="57"/>
      <w:ind w:left="1417"/>
    </w:pPr>
    <w:rPr>
      <w:rFonts w:asciiTheme="minorHAnsi" w:hAnsiTheme="minorHAnsi" w:eastAsiaTheme="minorEastAsia" w:cstheme="minorBidi"/>
      <w:kern w:val="0"/>
      <w:szCs w:val="22"/>
    </w:rPr>
  </w:style>
  <w:style w:type="paragraph" w:styleId="20">
    <w:name w:val="Title"/>
    <w:basedOn w:val="1"/>
    <w:next w:val="1"/>
    <w:link w:val="35"/>
    <w:qFormat/>
    <w:uiPriority w:val="10"/>
    <w:pPr>
      <w:suppressAutoHyphens w:val="0"/>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styleId="22">
    <w:name w:val="HTML Definition"/>
    <w:unhideWhenUsed/>
    <w:qFormat/>
    <w:uiPriority w:val="99"/>
    <w:rPr>
      <w:i/>
    </w:rPr>
  </w:style>
  <w:style w:type="character" w:styleId="23">
    <w:name w:val="Hyperlink"/>
    <w:basedOn w:val="21"/>
    <w:unhideWhenUsed/>
    <w:uiPriority w:val="99"/>
    <w:rPr>
      <w:color w:val="0563C1" w:themeColor="hyperlink"/>
      <w:u w:val="single"/>
      <w14:textFill>
        <w14:solidFill>
          <w14:schemeClr w14:val="hlink"/>
        </w14:solidFill>
      </w14:textFill>
    </w:rPr>
  </w:style>
  <w:style w:type="character" w:styleId="24">
    <w:name w:val="annotation reference"/>
    <w:basedOn w:val="21"/>
    <w:unhideWhenUsed/>
    <w:uiPriority w:val="99"/>
    <w:rPr>
      <w:sz w:val="21"/>
      <w:szCs w:val="21"/>
    </w:rPr>
  </w:style>
  <w:style w:type="character" w:customStyle="1" w:styleId="26">
    <w:name w:val="标题 1 字符"/>
    <w:basedOn w:val="21"/>
    <w:link w:val="4"/>
    <w:uiPriority w:val="9"/>
    <w:rPr>
      <w:rFonts w:asciiTheme="majorHAnsi" w:hAnsiTheme="majorHAnsi" w:eastAsiaTheme="majorEastAsia" w:cstheme="majorBidi"/>
      <w:color w:val="2F5597" w:themeColor="accent1" w:themeShade="BF"/>
      <w:sz w:val="48"/>
      <w:szCs w:val="48"/>
    </w:rPr>
  </w:style>
  <w:style w:type="character" w:customStyle="1" w:styleId="27">
    <w:name w:val="标题 2 字符"/>
    <w:basedOn w:val="21"/>
    <w:link w:val="5"/>
    <w:semiHidden/>
    <w:uiPriority w:val="9"/>
    <w:rPr>
      <w:rFonts w:asciiTheme="majorHAnsi" w:hAnsiTheme="majorHAnsi" w:eastAsiaTheme="majorEastAsia" w:cstheme="majorBidi"/>
      <w:color w:val="2F5597" w:themeColor="accent1" w:themeShade="BF"/>
      <w:sz w:val="40"/>
      <w:szCs w:val="40"/>
    </w:rPr>
  </w:style>
  <w:style w:type="character" w:customStyle="1" w:styleId="28">
    <w:name w:val="标题 3 字符"/>
    <w:basedOn w:val="21"/>
    <w:link w:val="6"/>
    <w:semiHidden/>
    <w:uiPriority w:val="9"/>
    <w:rPr>
      <w:rFonts w:asciiTheme="majorHAnsi" w:hAnsiTheme="majorHAnsi" w:eastAsiaTheme="majorEastAsia" w:cstheme="majorBidi"/>
      <w:color w:val="2F5597" w:themeColor="accent1" w:themeShade="BF"/>
      <w:sz w:val="32"/>
      <w:szCs w:val="32"/>
    </w:rPr>
  </w:style>
  <w:style w:type="character" w:customStyle="1" w:styleId="29">
    <w:name w:val="标题 4 字符"/>
    <w:basedOn w:val="21"/>
    <w:link w:val="7"/>
    <w:semiHidden/>
    <w:uiPriority w:val="9"/>
    <w:rPr>
      <w:rFonts w:cstheme="majorBidi"/>
      <w:color w:val="2F5597" w:themeColor="accent1" w:themeShade="BF"/>
      <w:sz w:val="28"/>
      <w:szCs w:val="28"/>
    </w:rPr>
  </w:style>
  <w:style w:type="character" w:customStyle="1" w:styleId="30">
    <w:name w:val="标题 5 字符"/>
    <w:basedOn w:val="21"/>
    <w:link w:val="8"/>
    <w:semiHidden/>
    <w:uiPriority w:val="9"/>
    <w:rPr>
      <w:rFonts w:cstheme="majorBidi"/>
      <w:color w:val="2F5597" w:themeColor="accent1" w:themeShade="BF"/>
      <w:sz w:val="24"/>
    </w:rPr>
  </w:style>
  <w:style w:type="character" w:customStyle="1" w:styleId="31">
    <w:name w:val="标题 6 字符"/>
    <w:basedOn w:val="21"/>
    <w:link w:val="9"/>
    <w:semiHidden/>
    <w:uiPriority w:val="9"/>
    <w:rPr>
      <w:rFonts w:cstheme="majorBidi"/>
      <w:b/>
      <w:bCs/>
      <w:color w:val="2F5597" w:themeColor="accent1" w:themeShade="BF"/>
    </w:rPr>
  </w:style>
  <w:style w:type="character" w:customStyle="1" w:styleId="32">
    <w:name w:val="标题 7 字符"/>
    <w:basedOn w:val="21"/>
    <w:link w:val="10"/>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21"/>
    <w:link w:val="11"/>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21"/>
    <w:link w:val="12"/>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21"/>
    <w:link w:val="20"/>
    <w:uiPriority w:val="10"/>
    <w:rPr>
      <w:rFonts w:asciiTheme="majorHAnsi" w:hAnsiTheme="majorHAnsi" w:eastAsiaTheme="majorEastAsia" w:cstheme="majorBidi"/>
      <w:spacing w:val="-10"/>
      <w:kern w:val="28"/>
      <w:sz w:val="56"/>
      <w:szCs w:val="56"/>
    </w:rPr>
  </w:style>
  <w:style w:type="character" w:customStyle="1" w:styleId="36">
    <w:name w:val="副标题 字符"/>
    <w:basedOn w:val="21"/>
    <w:link w:val="18"/>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customStyle="1" w:styleId="37">
    <w:name w:val="Quote"/>
    <w:basedOn w:val="1"/>
    <w:next w:val="1"/>
    <w:link w:val="38"/>
    <w:qFormat/>
    <w:uiPriority w:val="29"/>
    <w:pPr>
      <w:suppressAutoHyphens w:val="0"/>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8">
    <w:name w:val="引用 字符"/>
    <w:basedOn w:val="21"/>
    <w:link w:val="37"/>
    <w:uiPriority w:val="29"/>
    <w:rPr>
      <w:i/>
      <w:iCs/>
      <w:color w:val="404040" w:themeColor="text1" w:themeTint="BF"/>
      <w14:textFill>
        <w14:solidFill>
          <w14:schemeClr w14:val="tx1">
            <w14:lumMod w14:val="75000"/>
            <w14:lumOff w14:val="25000"/>
          </w14:schemeClr>
        </w14:solidFill>
      </w14:textFill>
    </w:rPr>
  </w:style>
  <w:style w:type="paragraph" w:customStyle="1" w:styleId="39">
    <w:name w:val="List Paragraph"/>
    <w:basedOn w:val="1"/>
    <w:qFormat/>
    <w:uiPriority w:val="34"/>
    <w:pPr>
      <w:suppressAutoHyphens w:val="0"/>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40">
    <w:name w:val="Intense Emphasis"/>
    <w:basedOn w:val="21"/>
    <w:qFormat/>
    <w:uiPriority w:val="21"/>
    <w:rPr>
      <w:i/>
      <w:iCs/>
      <w:color w:val="2F5597" w:themeColor="accent1" w:themeShade="BF"/>
    </w:rPr>
  </w:style>
  <w:style w:type="paragraph" w:customStyle="1" w:styleId="41">
    <w:name w:val="Intense Quote"/>
    <w:basedOn w:val="1"/>
    <w:next w:val="1"/>
    <w:link w:val="42"/>
    <w:qFormat/>
    <w:uiPriority w:val="30"/>
    <w:pPr>
      <w:pBdr>
        <w:top w:val="single" w:color="2F5496" w:themeColor="accent1" w:themeShade="BF" w:sz="4" w:space="10"/>
        <w:bottom w:val="single" w:color="2F5496" w:themeColor="accent1" w:themeShade="BF" w:sz="4" w:space="10"/>
      </w:pBdr>
      <w:suppressAutoHyphens w:val="0"/>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42">
    <w:name w:val="明显引用 字符"/>
    <w:basedOn w:val="21"/>
    <w:link w:val="41"/>
    <w:uiPriority w:val="30"/>
    <w:rPr>
      <w:i/>
      <w:iCs/>
      <w:color w:val="2F5597" w:themeColor="accent1" w:themeShade="BF"/>
    </w:rPr>
  </w:style>
  <w:style w:type="character" w:customStyle="1" w:styleId="43">
    <w:name w:val="Intense Reference"/>
    <w:basedOn w:val="21"/>
    <w:qFormat/>
    <w:uiPriority w:val="32"/>
    <w:rPr>
      <w:b/>
      <w:bCs/>
      <w:smallCaps/>
      <w:color w:val="2F5597" w:themeColor="accent1" w:themeShade="BF"/>
      <w:spacing w:val="5"/>
    </w:rPr>
  </w:style>
  <w:style w:type="character" w:customStyle="1" w:styleId="44">
    <w:name w:val="页眉 字符"/>
    <w:basedOn w:val="21"/>
    <w:link w:val="17"/>
    <w:uiPriority w:val="99"/>
    <w:rPr>
      <w:rFonts w:ascii="Calibri" w:hAnsi="Calibri" w:eastAsia="宋体" w:cs="Times New Roman"/>
      <w:sz w:val="18"/>
      <w:szCs w:val="18"/>
      <w14:ligatures w14:val="none"/>
    </w:rPr>
  </w:style>
  <w:style w:type="character" w:customStyle="1" w:styleId="45">
    <w:name w:val="正文文本 字符"/>
    <w:basedOn w:val="21"/>
    <w:link w:val="2"/>
    <w:uiPriority w:val="0"/>
    <w:rPr>
      <w:rFonts w:ascii="Calibri" w:hAnsi="Calibri" w:eastAsia="宋体" w:cs="Times New Roman"/>
      <w:sz w:val="21"/>
      <w14:ligatures w14:val="none"/>
    </w:rPr>
  </w:style>
  <w:style w:type="character" w:customStyle="1" w:styleId="46">
    <w:name w:val="页脚 字符"/>
    <w:basedOn w:val="21"/>
    <w:link w:val="16"/>
    <w:uiPriority w:val="99"/>
    <w:rPr>
      <w:rFonts w:ascii="Calibri" w:hAnsi="Calibri" w:eastAsia="宋体" w:cs="Times New Roman"/>
      <w:sz w:val="18"/>
      <w:szCs w:val="18"/>
      <w14:ligatures w14:val="none"/>
    </w:rPr>
  </w:style>
  <w:style w:type="character" w:customStyle="1" w:styleId="47">
    <w:name w:val="正文文本 2 字符"/>
    <w:basedOn w:val="21"/>
    <w:link w:val="3"/>
    <w:uiPriority w:val="0"/>
    <w:rPr>
      <w:rFonts w:ascii="Calibri" w:hAnsi="Calibri" w:eastAsia="宋体" w:cs="Times New Roman"/>
      <w:sz w:val="21"/>
      <w14:ligatures w14:val="none"/>
    </w:rPr>
  </w:style>
  <w:style w:type="paragraph" w:customStyle="1" w:styleId="48">
    <w:name w:val="Revision"/>
    <w:hidden/>
    <w:semiHidden/>
    <w:uiPriority w:val="99"/>
    <w:pPr>
      <w:spacing w:after="0" w:line="240" w:lineRule="auto"/>
    </w:pPr>
    <w:rPr>
      <w:rFonts w:ascii="Calibri" w:hAnsi="Calibri" w:eastAsia="宋体" w:cs="Times New Roman"/>
      <w:kern w:val="2"/>
      <w:sz w:val="21"/>
      <w:szCs w:val="24"/>
      <w:lang w:val="en-US" w:eastAsia="zh-CN" w:bidi="ar-SA"/>
      <w14:ligatures w14:val="none"/>
    </w:rPr>
  </w:style>
  <w:style w:type="character" w:customStyle="1" w:styleId="49">
    <w:name w:val="Unresolved Mention"/>
    <w:basedOn w:val="21"/>
    <w:unhideWhenUsed/>
    <w:uiPriority w:val="99"/>
    <w:rPr>
      <w:color w:val="605E5C"/>
      <w:shd w:val="clear" w:color="auto" w:fill="E1DFDD"/>
    </w:rPr>
  </w:style>
  <w:style w:type="character" w:customStyle="1" w:styleId="50">
    <w:name w:val="批注文字 字符"/>
    <w:basedOn w:val="21"/>
    <w:link w:val="14"/>
    <w:uiPriority w:val="99"/>
    <w:rPr>
      <w:rFonts w:ascii="Calibri" w:hAnsi="Calibri" w:eastAsia="宋体" w:cs="Times New Roman"/>
      <w:sz w:val="21"/>
      <w14:ligatures w14:val="none"/>
    </w:rPr>
  </w:style>
  <w:style w:type="character" w:customStyle="1" w:styleId="51">
    <w:name w:val="批注主题 字符"/>
    <w:basedOn w:val="50"/>
    <w:link w:val="13"/>
    <w:semiHidden/>
    <w:uiPriority w:val="99"/>
    <w:rPr>
      <w:rFonts w:ascii="Calibri" w:hAnsi="Calibri" w:eastAsia="宋体" w:cs="Times New Roman"/>
      <w:b/>
      <w:bCs/>
      <w:sz w:val="21"/>
      <w14:ligatures w14:val="none"/>
    </w:rPr>
  </w:style>
  <w:style w:type="character" w:customStyle="1" w:styleId="52">
    <w:name w:val="尾注文本 字符"/>
    <w:basedOn w:val="21"/>
    <w:link w:val="15"/>
    <w:qFormat/>
    <w:uiPriority w:val="0"/>
    <w:rPr>
      <w:rFonts w:ascii="宋体" w:hAnsi="Calibri" w:eastAsia="宋体" w:cs="Times New Roman"/>
      <w:snapToGrid w:val="0"/>
      <w:kern w:val="0"/>
      <w:sz w:val="21"/>
      <w:szCs w:val="20"/>
      <w14:ligatures w14:val="none"/>
    </w:rPr>
  </w:style>
  <w:style w:type="paragraph" w:customStyle="1" w:styleId="53">
    <w:name w:val="样式 样式 标题 4 + 段后: 0.5 行1"/>
    <w:basedOn w:val="1"/>
    <w:next w:val="15"/>
    <w:qFormat/>
    <w:uiPriority w:val="99"/>
    <w:pPr>
      <w:keepNext/>
      <w:numPr>
        <w:ilvl w:val="1"/>
        <w:numId w:val="1"/>
      </w:numPr>
      <w:tabs>
        <w:tab w:val="left" w:pos="1200"/>
        <w:tab w:val="left" w:pos="2040"/>
      </w:tabs>
      <w:suppressAutoHyphens w:val="0"/>
      <w:spacing w:before="120" w:after="120" w:afterLines="50"/>
      <w:ind w:left="0" w:firstLine="0"/>
      <w:jc w:val="left"/>
      <w:outlineLvl w:val="3"/>
    </w:pPr>
    <w:rPr>
      <w:rFonts w:ascii="宋体" w:hAnsi="Times New Roman" w:cs="宋体"/>
      <w:b/>
      <w:bCs/>
      <w:snapToGrid w:val="0"/>
      <w:kern w:val="0"/>
      <w:szCs w:val="20"/>
    </w:rPr>
  </w:style>
  <w:style w:type="paragraph" w:customStyle="1" w:styleId="54">
    <w:name w:val="样式 正文"/>
    <w:basedOn w:val="1"/>
    <w:next w:val="1"/>
    <w:qFormat/>
    <w:uiPriority w:val="99"/>
    <w:pPr>
      <w:numPr>
        <w:ilvl w:val="2"/>
        <w:numId w:val="1"/>
      </w:numPr>
      <w:suppressAutoHyphens w:val="0"/>
      <w:spacing w:afterLines="50"/>
      <w:jc w:val="left"/>
    </w:pPr>
    <w:rPr>
      <w:rFonts w:ascii="宋体" w:hAnsi="Times New Roman" w:cs="宋体"/>
      <w:snapToGrid w:val="0"/>
      <w:kern w:val="0"/>
      <w:szCs w:val="20"/>
    </w:rPr>
  </w:style>
  <w:style w:type="paragraph" w:customStyle="1" w:styleId="55">
    <w:name w:val="样式 标题 4Chapter X.X.X. + 段后: 0.5 行1"/>
    <w:basedOn w:val="7"/>
    <w:next w:val="7"/>
    <w:qFormat/>
    <w:uiPriority w:val="99"/>
    <w:pPr>
      <w:keepLines w:val="0"/>
      <w:numPr>
        <w:ilvl w:val="3"/>
        <w:numId w:val="1"/>
      </w:numPr>
      <w:spacing w:before="120" w:after="290" w:afterLines="50" w:line="240" w:lineRule="auto"/>
      <w:ind w:left="425" w:hanging="425"/>
    </w:pPr>
    <w:rPr>
      <w:rFonts w:ascii="宋体" w:hAnsi="Times New Roman" w:eastAsia="宋体" w:cs="宋体"/>
      <w:b/>
      <w:bCs/>
      <w:snapToGrid w:val="0"/>
      <w:color w:val="auto"/>
      <w:kern w:val="0"/>
      <w:sz w:val="21"/>
      <w:szCs w:val="20"/>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09C953-92D9-4355-AC87-3DD5DF58D504}">
  <ds:schemaRefs/>
</ds:datastoreItem>
</file>

<file path=docProps/app.xml><?xml version="1.0" encoding="utf-8"?>
<Properties xmlns="http://schemas.openxmlformats.org/officeDocument/2006/extended-properties" xmlns:vt="http://schemas.openxmlformats.org/officeDocument/2006/docPropsVTypes">
  <Template>Normal</Template>
  <Pages>5</Pages>
  <Words>412</Words>
  <Characters>2355</Characters>
  <Lines>19</Lines>
  <Paragraphs>5</Paragraphs>
  <TotalTime>0</TotalTime>
  <ScaleCrop>false</ScaleCrop>
  <LinksUpToDate>false</LinksUpToDate>
  <CharactersWithSpaces>2762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2025-03-31T06:26:00Z</dcterms:created>
  <dc:creator>B000396/吴莉莉</dc:creator>
  <cp:lastModifiedBy>95181</cp:lastModifiedBy>
  <cp:lastPrinted>2025-03-07T07:57:00Z</cp:lastPrinted>
  <dcterms:modified xsi:type="dcterms:W3CDTF">2025-03-31T07:11:53Z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