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zh-CN"/>
              </w:rPr>
              <w:t>中国工商银行浙江分行防尾随联动互锁安全门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color w:val="000000"/>
                <w:lang w:val="zh-CN"/>
              </w:rPr>
              <w:t>防盗安全门采购项目</w:t>
            </w: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财会/统一-浙江-2024-024/总0240-保卫-防尾随联动互锁安全门</w:t>
            </w: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37E8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948" w:type="dxa"/>
            <w:vAlign w:val="center"/>
          </w:tcPr>
          <w:p w14:paraId="375281D1">
            <w:pPr>
              <w:spacing w:line="240" w:lineRule="exact"/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4036ED40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-2303780</wp:posOffset>
                  </wp:positionV>
                  <wp:extent cx="2433955" cy="2472055"/>
                  <wp:effectExtent l="0" t="0" r="4445" b="444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24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41C722C"/>
    <w:rsid w:val="08723838"/>
    <w:rsid w:val="0CE630F4"/>
    <w:rsid w:val="0E352F0F"/>
    <w:rsid w:val="0EF51F08"/>
    <w:rsid w:val="1A997D47"/>
    <w:rsid w:val="1E9200C8"/>
    <w:rsid w:val="27FC175D"/>
    <w:rsid w:val="2A3A742E"/>
    <w:rsid w:val="2C2417C6"/>
    <w:rsid w:val="3455036E"/>
    <w:rsid w:val="357A5E2D"/>
    <w:rsid w:val="388B201D"/>
    <w:rsid w:val="3A7D2E26"/>
    <w:rsid w:val="3FF93CF7"/>
    <w:rsid w:val="4B490FD8"/>
    <w:rsid w:val="4C50470C"/>
    <w:rsid w:val="4D192582"/>
    <w:rsid w:val="5102211D"/>
    <w:rsid w:val="556C5117"/>
    <w:rsid w:val="5EEC1512"/>
    <w:rsid w:val="5F120C2D"/>
    <w:rsid w:val="632C4B5B"/>
    <w:rsid w:val="6CB87DCB"/>
    <w:rsid w:val="7C3D1F9C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221</Characters>
  <Lines>2</Lines>
  <Paragraphs>1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bilibili</cp:lastModifiedBy>
  <dcterms:modified xsi:type="dcterms:W3CDTF">2024-12-11T03:16:53Z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A11ED54E0804432A856BAFED8230C22B_13</vt:lpwstr>
  </property>
</Properties>
</file>