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4A259">
      <w:pPr>
        <w:spacing w:line="360" w:lineRule="auto"/>
        <w:jc w:val="center"/>
        <w:rPr>
          <w:rFonts w:hint="eastAsia" w:ascii="仿宋" w:hAnsi="仿宋" w:eastAsia="仿宋" w:cs="仿宋"/>
          <w:sz w:val="44"/>
          <w:szCs w:val="44"/>
          <w:u w:val="single"/>
        </w:rPr>
      </w:pPr>
      <w:bookmarkStart w:id="0" w:name="_Toc20384570"/>
      <w:r>
        <w:rPr>
          <w:rFonts w:hint="eastAsia" w:ascii="仿宋" w:hAnsi="仿宋" w:eastAsia="仿宋" w:cs="仿宋"/>
          <w:sz w:val="32"/>
          <w:szCs w:val="32"/>
        </w:rPr>
        <w:t xml:space="preserve"> </w:t>
      </w:r>
    </w:p>
    <w:p w14:paraId="6604CE3B">
      <w:pPr>
        <w:spacing w:line="360" w:lineRule="auto"/>
        <w:jc w:val="center"/>
        <w:rPr>
          <w:rFonts w:hint="eastAsia" w:ascii="仿宋" w:hAnsi="仿宋" w:eastAsia="仿宋" w:cs="仿宋"/>
          <w:sz w:val="48"/>
          <w:szCs w:val="48"/>
        </w:rPr>
      </w:pPr>
    </w:p>
    <w:p w14:paraId="74D330FF">
      <w:pPr>
        <w:spacing w:line="360" w:lineRule="auto"/>
        <w:jc w:val="center"/>
        <w:rPr>
          <w:rFonts w:hint="eastAsia" w:ascii="仿宋" w:hAnsi="仿宋" w:eastAsia="仿宋" w:cs="仿宋"/>
          <w:sz w:val="48"/>
          <w:szCs w:val="48"/>
        </w:rPr>
      </w:pPr>
    </w:p>
    <w:p w14:paraId="4878B817">
      <w:pPr>
        <w:spacing w:line="360" w:lineRule="auto"/>
        <w:jc w:val="center"/>
        <w:rPr>
          <w:rFonts w:hint="eastAsia" w:ascii="仿宋" w:hAnsi="仿宋" w:eastAsia="仿宋" w:cs="仿宋"/>
          <w:sz w:val="52"/>
          <w:szCs w:val="52"/>
        </w:rPr>
      </w:pPr>
      <w:r>
        <w:rPr>
          <w:rFonts w:hint="eastAsia" w:ascii="仿宋" w:hAnsi="仿宋" w:eastAsia="仿宋" w:cs="仿宋"/>
          <w:sz w:val="52"/>
          <w:szCs w:val="52"/>
          <w:lang w:val="en-US" w:eastAsia="zh-CN"/>
        </w:rPr>
        <w:t>舟山</w:t>
      </w:r>
      <w:r>
        <w:rPr>
          <w:rFonts w:hint="eastAsia" w:ascii="仿宋" w:hAnsi="仿宋" w:eastAsia="仿宋" w:cs="仿宋"/>
          <w:sz w:val="52"/>
          <w:szCs w:val="52"/>
        </w:rPr>
        <w:t>市政府采购项目</w:t>
      </w:r>
    </w:p>
    <w:p w14:paraId="7AA1CAC1">
      <w:pPr>
        <w:spacing w:line="360" w:lineRule="auto"/>
        <w:jc w:val="center"/>
        <w:rPr>
          <w:rFonts w:hint="eastAsia" w:ascii="仿宋" w:hAnsi="仿宋" w:eastAsia="仿宋" w:cs="仿宋"/>
          <w:sz w:val="52"/>
          <w:szCs w:val="52"/>
        </w:rPr>
      </w:pPr>
      <w:r>
        <w:rPr>
          <w:rFonts w:hint="eastAsia" w:ascii="仿宋" w:hAnsi="仿宋" w:eastAsia="仿宋" w:cs="仿宋"/>
          <w:sz w:val="52"/>
          <w:szCs w:val="52"/>
        </w:rPr>
        <w:t>采购需求</w:t>
      </w:r>
    </w:p>
    <w:p w14:paraId="728C83BB">
      <w:pPr>
        <w:spacing w:line="360" w:lineRule="auto"/>
        <w:jc w:val="center"/>
        <w:rPr>
          <w:rFonts w:hint="eastAsia" w:ascii="仿宋" w:hAnsi="仿宋" w:eastAsia="仿宋" w:cs="仿宋"/>
          <w:sz w:val="32"/>
          <w:szCs w:val="32"/>
        </w:rPr>
      </w:pPr>
    </w:p>
    <w:p w14:paraId="0E13CC4D">
      <w:pPr>
        <w:spacing w:line="360" w:lineRule="auto"/>
        <w:jc w:val="center"/>
        <w:rPr>
          <w:rFonts w:hint="eastAsia" w:ascii="仿宋" w:hAnsi="仿宋" w:eastAsia="仿宋" w:cs="仿宋"/>
          <w:sz w:val="44"/>
          <w:szCs w:val="44"/>
        </w:rPr>
      </w:pPr>
    </w:p>
    <w:p w14:paraId="3DC1960F">
      <w:pPr>
        <w:spacing w:line="360" w:lineRule="auto"/>
        <w:jc w:val="center"/>
        <w:rPr>
          <w:rFonts w:hint="eastAsia" w:ascii="仿宋" w:hAnsi="仿宋" w:eastAsia="仿宋" w:cs="仿宋"/>
          <w:sz w:val="44"/>
          <w:szCs w:val="44"/>
        </w:rPr>
      </w:pPr>
    </w:p>
    <w:p w14:paraId="07E0346C">
      <w:pPr>
        <w:spacing w:line="360" w:lineRule="auto"/>
        <w:jc w:val="center"/>
        <w:rPr>
          <w:rFonts w:hint="eastAsia" w:ascii="仿宋" w:hAnsi="仿宋" w:eastAsia="仿宋" w:cs="仿宋"/>
          <w:sz w:val="44"/>
          <w:szCs w:val="44"/>
        </w:rPr>
      </w:pPr>
    </w:p>
    <w:p w14:paraId="1B63E0DE">
      <w:pPr>
        <w:spacing w:line="360" w:lineRule="auto"/>
        <w:ind w:left="420" w:leftChars="200" w:firstLine="1260" w:firstLineChars="450"/>
        <w:rPr>
          <w:rFonts w:hint="default" w:ascii="仿宋" w:hAnsi="仿宋" w:eastAsia="仿宋" w:cs="仿宋"/>
          <w:sz w:val="28"/>
          <w:szCs w:val="28"/>
          <w:u w:val="single"/>
          <w:lang w:val="en-US" w:eastAsia="zh-CN"/>
        </w:rPr>
      </w:pPr>
      <w:r>
        <w:rPr>
          <w:rFonts w:hint="eastAsia" w:ascii="仿宋" w:hAnsi="仿宋" w:eastAsia="仿宋" w:cs="仿宋"/>
          <w:sz w:val="28"/>
          <w:szCs w:val="28"/>
        </w:rPr>
        <w:t>采购单位：</w:t>
      </w:r>
      <w:r>
        <w:rPr>
          <w:rFonts w:hint="eastAsia" w:ascii="仿宋" w:hAnsi="仿宋" w:eastAsia="仿宋" w:cs="仿宋"/>
          <w:sz w:val="28"/>
          <w:szCs w:val="28"/>
          <w:u w:val="single"/>
          <w:lang w:eastAsia="zh-CN"/>
        </w:rPr>
        <w:t>舟山市定海区公路与运输管理中心</w:t>
      </w:r>
      <w:r>
        <w:rPr>
          <w:rFonts w:hint="eastAsia" w:ascii="仿宋" w:hAnsi="仿宋" w:eastAsia="仿宋" w:cs="仿宋"/>
          <w:sz w:val="28"/>
          <w:szCs w:val="28"/>
          <w:u w:val="single"/>
          <w:lang w:val="en-US" w:eastAsia="zh-CN"/>
        </w:rPr>
        <w:t xml:space="preserve">  </w:t>
      </w:r>
    </w:p>
    <w:p w14:paraId="730264E4">
      <w:pPr>
        <w:spacing w:line="360" w:lineRule="auto"/>
        <w:ind w:left="420" w:leftChars="200" w:firstLine="1260" w:firstLineChars="450"/>
        <w:rPr>
          <w:rFonts w:hint="eastAsia" w:ascii="仿宋" w:hAnsi="仿宋" w:eastAsia="仿宋" w:cs="仿宋"/>
          <w:sz w:val="28"/>
          <w:szCs w:val="28"/>
          <w:u w:val="single"/>
          <w:lang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eastAsia="zh-CN"/>
        </w:rPr>
        <w:t>舟山市定海区公路照明能源托管项目</w:t>
      </w:r>
    </w:p>
    <w:p w14:paraId="515C2CF8">
      <w:pPr>
        <w:spacing w:line="360" w:lineRule="auto"/>
        <w:ind w:left="420" w:leftChars="200" w:firstLine="1260" w:firstLineChars="450"/>
        <w:rPr>
          <w:rFonts w:hint="default" w:ascii="仿宋" w:hAnsi="仿宋" w:eastAsia="仿宋" w:cs="仿宋"/>
          <w:sz w:val="28"/>
          <w:szCs w:val="28"/>
          <w:u w:val="single"/>
          <w:lang w:val="en-US" w:eastAsia="zh-CN"/>
        </w:rPr>
      </w:pPr>
      <w:r>
        <w:rPr>
          <w:rFonts w:hint="eastAsia" w:ascii="仿宋" w:hAnsi="仿宋" w:eastAsia="仿宋" w:cs="仿宋"/>
          <w:sz w:val="28"/>
          <w:szCs w:val="28"/>
        </w:rPr>
        <w:t>编制单位：</w:t>
      </w:r>
      <w:r>
        <w:rPr>
          <w:rFonts w:hint="eastAsia" w:ascii="仿宋" w:hAnsi="仿宋" w:eastAsia="仿宋" w:cs="仿宋"/>
          <w:sz w:val="28"/>
          <w:szCs w:val="28"/>
          <w:u w:val="single"/>
          <w:lang w:eastAsia="zh-CN"/>
        </w:rPr>
        <w:t>舟山市定海区公路与运输管理中心</w:t>
      </w:r>
      <w:r>
        <w:rPr>
          <w:rFonts w:hint="eastAsia" w:ascii="仿宋" w:hAnsi="仿宋" w:eastAsia="仿宋" w:cs="仿宋"/>
          <w:sz w:val="28"/>
          <w:szCs w:val="28"/>
          <w:u w:val="single"/>
          <w:lang w:val="en-US" w:eastAsia="zh-CN"/>
        </w:rPr>
        <w:t xml:space="preserve">  </w:t>
      </w:r>
    </w:p>
    <w:p w14:paraId="414C6087">
      <w:pPr>
        <w:pStyle w:val="6"/>
        <w:spacing w:line="360" w:lineRule="auto"/>
        <w:ind w:firstLine="1680" w:firstLineChars="600"/>
        <w:rPr>
          <w:rFonts w:hint="default" w:ascii="仿宋" w:hAnsi="仿宋" w:eastAsia="仿宋" w:cs="仿宋"/>
          <w:sz w:val="28"/>
          <w:szCs w:val="28"/>
          <w:lang w:val="en-US" w:eastAsia="zh-CN"/>
        </w:rPr>
      </w:pPr>
      <w:r>
        <w:rPr>
          <w:rFonts w:hint="eastAsia" w:ascii="仿宋" w:hAnsi="仿宋" w:eastAsia="仿宋" w:cs="仿宋"/>
          <w:sz w:val="28"/>
          <w:szCs w:val="28"/>
        </w:rPr>
        <w:t>编制单位：</w:t>
      </w:r>
      <w:r>
        <w:rPr>
          <w:rFonts w:hint="eastAsia" w:ascii="仿宋" w:hAnsi="仿宋" w:eastAsia="仿宋" w:cs="仿宋"/>
          <w:sz w:val="28"/>
          <w:szCs w:val="28"/>
          <w:u w:val="single"/>
          <w:lang w:val="en-US" w:eastAsia="zh-CN"/>
        </w:rPr>
        <w:t xml:space="preserve">浙江省成套工程有限公司          </w:t>
      </w:r>
    </w:p>
    <w:p w14:paraId="687310EE">
      <w:pPr>
        <w:spacing w:line="360" w:lineRule="auto"/>
        <w:ind w:left="420" w:leftChars="200" w:firstLine="1260" w:firstLineChars="450"/>
        <w:rPr>
          <w:rFonts w:hint="default" w:ascii="仿宋" w:hAnsi="仿宋" w:eastAsia="仿宋" w:cs="仿宋"/>
          <w:sz w:val="28"/>
          <w:szCs w:val="28"/>
          <w:u w:val="single"/>
          <w:lang w:val="en-US" w:eastAsia="zh-CN"/>
        </w:rPr>
      </w:pPr>
      <w:r>
        <w:rPr>
          <w:rFonts w:hint="eastAsia" w:ascii="仿宋" w:hAnsi="仿宋" w:eastAsia="仿宋" w:cs="仿宋"/>
          <w:sz w:val="28"/>
          <w:szCs w:val="28"/>
        </w:rPr>
        <w:t>编制时间：</w:t>
      </w:r>
      <w:r>
        <w:rPr>
          <w:rFonts w:hint="eastAsia" w:ascii="仿宋" w:hAnsi="仿宋" w:eastAsia="仿宋" w:cs="仿宋"/>
          <w:sz w:val="28"/>
          <w:szCs w:val="28"/>
          <w:u w:val="single"/>
          <w:lang w:val="en-US" w:eastAsia="zh-CN"/>
        </w:rPr>
        <w:t>2025</w:t>
      </w:r>
      <w:r>
        <w:rPr>
          <w:rFonts w:hint="eastAsia" w:ascii="仿宋" w:hAnsi="仿宋" w:eastAsia="仿宋" w:cs="仿宋"/>
          <w:sz w:val="28"/>
          <w:szCs w:val="28"/>
          <w:highlight w:val="none"/>
          <w:u w:val="single"/>
          <w:lang w:val="en-US" w:eastAsia="zh-CN"/>
        </w:rPr>
        <w:t>年5月18日</w:t>
      </w:r>
      <w:r>
        <w:rPr>
          <w:rFonts w:hint="eastAsia" w:ascii="仿宋" w:hAnsi="仿宋" w:eastAsia="仿宋" w:cs="仿宋"/>
          <w:sz w:val="28"/>
          <w:szCs w:val="28"/>
          <w:u w:val="single"/>
          <w:lang w:val="en-US" w:eastAsia="zh-CN"/>
        </w:rPr>
        <w:t xml:space="preserve"> </w:t>
      </w:r>
    </w:p>
    <w:p w14:paraId="72C6BEDA">
      <w:pPr>
        <w:spacing w:line="360" w:lineRule="auto"/>
        <w:jc w:val="left"/>
        <w:rPr>
          <w:rFonts w:hint="eastAsia" w:ascii="仿宋" w:hAnsi="仿宋" w:eastAsia="仿宋" w:cs="仿宋"/>
          <w:b/>
          <w:sz w:val="28"/>
          <w:szCs w:val="28"/>
        </w:rPr>
      </w:pPr>
      <w:r>
        <w:rPr>
          <w:rFonts w:hint="eastAsia" w:ascii="仿宋" w:hAnsi="仿宋" w:eastAsia="仿宋" w:cs="仿宋"/>
          <w:sz w:val="32"/>
          <w:szCs w:val="32"/>
        </w:rPr>
        <w:br w:type="page"/>
      </w:r>
      <w:r>
        <w:rPr>
          <w:rFonts w:hint="eastAsia" w:ascii="仿宋" w:hAnsi="仿宋" w:eastAsia="仿宋" w:cs="仿宋"/>
          <w:b/>
          <w:sz w:val="28"/>
          <w:szCs w:val="28"/>
        </w:rPr>
        <w:t>一、需求调查情况</w:t>
      </w:r>
    </w:p>
    <w:p w14:paraId="139BAC07">
      <w:pPr>
        <w:spacing w:line="360" w:lineRule="auto"/>
        <w:jc w:val="left"/>
        <w:rPr>
          <w:rFonts w:hint="eastAsia" w:ascii="仿宋" w:hAnsi="仿宋" w:eastAsia="仿宋" w:cs="仿宋"/>
          <w:sz w:val="24"/>
        </w:rPr>
      </w:pPr>
      <w:r>
        <w:rPr>
          <w:rFonts w:hint="eastAsia" w:ascii="仿宋" w:hAnsi="仿宋" w:eastAsia="仿宋" w:cs="仿宋"/>
          <w:sz w:val="24"/>
        </w:rPr>
        <w:t>（一）本项目是否需要开展需求调查：</w:t>
      </w:r>
      <w:r>
        <w:rPr>
          <w:rFonts w:hint="eastAsia" w:ascii="仿宋" w:hAnsi="仿宋" w:eastAsia="仿宋" w:cs="仿宋"/>
          <w:sz w:val="24"/>
        </w:rPr>
        <w:sym w:font="Wingdings 2" w:char="0052"/>
      </w:r>
      <w:r>
        <w:rPr>
          <w:rFonts w:hint="eastAsia" w:ascii="仿宋" w:hAnsi="仿宋" w:eastAsia="仿宋" w:cs="仿宋"/>
          <w:sz w:val="24"/>
        </w:rPr>
        <w:t xml:space="preserve">是  </w:t>
      </w:r>
      <w:r>
        <w:rPr>
          <w:rFonts w:hint="eastAsia" w:ascii="仿宋" w:hAnsi="仿宋" w:eastAsia="仿宋" w:cs="仿宋"/>
          <w:sz w:val="24"/>
        </w:rPr>
        <w:sym w:font="Wingdings 2" w:char="F0A3"/>
      </w:r>
      <w:r>
        <w:rPr>
          <w:rFonts w:hint="eastAsia" w:ascii="仿宋" w:hAnsi="仿宋" w:eastAsia="仿宋" w:cs="仿宋"/>
          <w:sz w:val="24"/>
        </w:rPr>
        <w:t>否</w:t>
      </w:r>
    </w:p>
    <w:p w14:paraId="4F8BD2EE">
      <w:pPr>
        <w:spacing w:line="360" w:lineRule="auto"/>
        <w:jc w:val="left"/>
        <w:rPr>
          <w:rFonts w:hint="eastAsia" w:ascii="仿宋" w:hAnsi="仿宋" w:eastAsia="仿宋" w:cs="仿宋"/>
          <w:sz w:val="24"/>
        </w:rPr>
      </w:pPr>
      <w:r>
        <w:rPr>
          <w:rFonts w:hint="eastAsia" w:ascii="仿宋" w:hAnsi="仿宋" w:eastAsia="仿宋" w:cs="仿宋"/>
          <w:sz w:val="24"/>
        </w:rPr>
        <w:t>（二）本项目是否属于可以不再重复开展需求调查情形：</w:t>
      </w:r>
      <w:r>
        <w:rPr>
          <w:rFonts w:hint="eastAsia" w:ascii="仿宋" w:hAnsi="仿宋" w:eastAsia="仿宋" w:cs="仿宋"/>
          <w:sz w:val="24"/>
        </w:rPr>
        <w:sym w:font="Wingdings 2" w:char="F0A3"/>
      </w:r>
      <w:r>
        <w:rPr>
          <w:rFonts w:hint="eastAsia" w:ascii="仿宋" w:hAnsi="仿宋" w:eastAsia="仿宋" w:cs="仿宋"/>
          <w:sz w:val="24"/>
        </w:rPr>
        <w:t xml:space="preserve">是  </w:t>
      </w:r>
      <w:r>
        <w:rPr>
          <w:rFonts w:hint="eastAsia" w:ascii="仿宋" w:hAnsi="仿宋" w:eastAsia="仿宋" w:cs="仿宋"/>
          <w:sz w:val="24"/>
        </w:rPr>
        <w:sym w:font="Wingdings 2" w:char="0052"/>
      </w:r>
      <w:r>
        <w:rPr>
          <w:rFonts w:hint="eastAsia" w:ascii="仿宋" w:hAnsi="仿宋" w:eastAsia="仿宋" w:cs="仿宋"/>
          <w:sz w:val="24"/>
        </w:rPr>
        <w:t>否</w:t>
      </w:r>
    </w:p>
    <w:p w14:paraId="51997597">
      <w:pPr>
        <w:spacing w:line="360" w:lineRule="auto"/>
        <w:jc w:val="left"/>
        <w:rPr>
          <w:rFonts w:hint="eastAsia" w:ascii="仿宋" w:hAnsi="仿宋" w:eastAsia="仿宋" w:cs="仿宋"/>
          <w:sz w:val="24"/>
        </w:rPr>
      </w:pPr>
      <w:r>
        <w:rPr>
          <w:rFonts w:hint="eastAsia" w:ascii="仿宋" w:hAnsi="仿宋" w:eastAsia="仿宋" w:cs="仿宋"/>
          <w:sz w:val="24"/>
        </w:rPr>
        <w:t>（三）需求调查方式</w:t>
      </w:r>
    </w:p>
    <w:p w14:paraId="097E10EE">
      <w:pPr>
        <w:spacing w:line="360" w:lineRule="auto"/>
        <w:ind w:firstLine="420"/>
        <w:jc w:val="left"/>
        <w:rPr>
          <w:rFonts w:hint="eastAsia"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 xml:space="preserve">咨询 </w:t>
      </w:r>
      <w:r>
        <w:rPr>
          <w:rFonts w:hint="eastAsia" w:ascii="仿宋" w:hAnsi="仿宋" w:eastAsia="仿宋" w:cs="仿宋"/>
          <w:sz w:val="24"/>
        </w:rPr>
        <w:sym w:font="Wingdings 2" w:char="0052"/>
      </w:r>
      <w:r>
        <w:rPr>
          <w:rFonts w:hint="eastAsia" w:ascii="仿宋" w:hAnsi="仿宋" w:eastAsia="仿宋" w:cs="仿宋"/>
          <w:sz w:val="24"/>
        </w:rPr>
        <w:t xml:space="preserve">论证 </w:t>
      </w:r>
      <w:r>
        <w:rPr>
          <w:rFonts w:hint="eastAsia" w:ascii="仿宋" w:hAnsi="仿宋" w:eastAsia="仿宋" w:cs="仿宋"/>
          <w:sz w:val="24"/>
        </w:rPr>
        <w:sym w:font="Wingdings 2" w:char="F0A3"/>
      </w:r>
      <w:r>
        <w:rPr>
          <w:rFonts w:hint="eastAsia" w:ascii="仿宋" w:hAnsi="仿宋" w:eastAsia="仿宋" w:cs="仿宋"/>
          <w:sz w:val="24"/>
        </w:rPr>
        <w:t xml:space="preserve">问卷调查 </w:t>
      </w:r>
      <w:r>
        <w:rPr>
          <w:rFonts w:hint="eastAsia" w:ascii="仿宋" w:hAnsi="仿宋" w:eastAsia="仿宋" w:cs="仿宋"/>
          <w:sz w:val="24"/>
        </w:rPr>
        <w:sym w:font="Wingdings 2" w:char="0052"/>
      </w:r>
      <w:r>
        <w:rPr>
          <w:rFonts w:hint="eastAsia" w:ascii="仿宋" w:hAnsi="仿宋" w:eastAsia="仿宋" w:cs="仿宋"/>
          <w:sz w:val="24"/>
        </w:rPr>
        <w:t>其他方式（</w:t>
      </w:r>
      <w:r>
        <w:rPr>
          <w:rFonts w:hint="eastAsia" w:ascii="仿宋" w:hAnsi="仿宋" w:eastAsia="仿宋" w:cs="仿宋"/>
          <w:sz w:val="24"/>
          <w:u w:val="single"/>
        </w:rPr>
        <w:t xml:space="preserve">根据以往招标内容发布采购需求公示 </w:t>
      </w:r>
      <w:r>
        <w:rPr>
          <w:rFonts w:hint="eastAsia" w:ascii="仿宋" w:hAnsi="仿宋" w:eastAsia="仿宋" w:cs="仿宋"/>
          <w:sz w:val="24"/>
        </w:rPr>
        <w:t xml:space="preserve">）                        </w:t>
      </w:r>
    </w:p>
    <w:p w14:paraId="39964230">
      <w:pPr>
        <w:spacing w:line="360" w:lineRule="auto"/>
        <w:jc w:val="left"/>
        <w:rPr>
          <w:rFonts w:hint="eastAsia" w:ascii="仿宋" w:hAnsi="仿宋" w:eastAsia="仿宋" w:cs="仿宋"/>
          <w:sz w:val="24"/>
        </w:rPr>
      </w:pPr>
      <w:r>
        <w:rPr>
          <w:rFonts w:hint="eastAsia" w:ascii="仿宋" w:hAnsi="仿宋" w:eastAsia="仿宋" w:cs="仿宋"/>
          <w:sz w:val="24"/>
        </w:rPr>
        <w:t>（四）需求调查对象</w:t>
      </w:r>
    </w:p>
    <w:p w14:paraId="02A7DE9E">
      <w:pPr>
        <w:spacing w:line="360" w:lineRule="auto"/>
        <w:ind w:firstLine="720" w:firstLineChars="300"/>
        <w:jc w:val="left"/>
        <w:rPr>
          <w:rFonts w:hint="default" w:ascii="仿宋" w:hAnsi="仿宋" w:eastAsia="仿宋" w:cs="仿宋"/>
          <w:sz w:val="24"/>
          <w:u w:val="single"/>
          <w:lang w:val="en-US" w:eastAsia="zh-CN"/>
        </w:rPr>
      </w:pPr>
      <w:r>
        <w:rPr>
          <w:rFonts w:hint="eastAsia" w:ascii="仿宋" w:hAnsi="仿宋" w:eastAsia="仿宋" w:cs="仿宋"/>
          <w:sz w:val="24"/>
          <w:u w:val="single"/>
          <w:lang w:val="en-US" w:eastAsia="zh-CN"/>
        </w:rPr>
        <w:t>向相关有承接能力的单位进行咨询，并结合以往类似项目。</w:t>
      </w:r>
    </w:p>
    <w:p w14:paraId="33B3BF36">
      <w:pPr>
        <w:spacing w:line="360" w:lineRule="auto"/>
        <w:jc w:val="left"/>
        <w:rPr>
          <w:rFonts w:hint="eastAsia" w:ascii="仿宋" w:hAnsi="仿宋" w:eastAsia="仿宋" w:cs="仿宋"/>
          <w:sz w:val="24"/>
        </w:rPr>
      </w:pPr>
      <w:r>
        <w:rPr>
          <w:rFonts w:hint="eastAsia" w:ascii="仿宋" w:hAnsi="仿宋" w:eastAsia="仿宋" w:cs="仿宋"/>
          <w:sz w:val="24"/>
        </w:rPr>
        <w:t>（五）需求调查结果</w:t>
      </w:r>
    </w:p>
    <w:p w14:paraId="768389F4">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1.相关产业发展情况</w:t>
      </w:r>
    </w:p>
    <w:p w14:paraId="722BD0FD">
      <w:pPr>
        <w:spacing w:line="360" w:lineRule="auto"/>
        <w:ind w:firstLine="42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能源合同托管产业正从单一节能服务向综合能源解决方案升级、政策支持、技术创新和市场需求共同构建发展新生态。未来，随着数字化全球进程加快。行业将呈现“技术融合深化、服务模式创新、区域协同发展”的特点，为实现碳中和目标提供核心支撑。</w:t>
      </w:r>
    </w:p>
    <w:p w14:paraId="7DD2D970">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2.市场供给情况</w:t>
      </w:r>
    </w:p>
    <w:p w14:paraId="4744E9E7">
      <w:pPr>
        <w:spacing w:line="360" w:lineRule="auto"/>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能</w:t>
      </w:r>
      <w:r>
        <w:rPr>
          <w:rFonts w:hint="eastAsia" w:ascii="仿宋" w:hAnsi="仿宋" w:eastAsia="仿宋" w:cs="仿宋"/>
          <w:sz w:val="24"/>
          <w:highlight w:val="none"/>
          <w:u w:val="single"/>
          <w:lang w:val="en-US" w:eastAsia="zh-CN"/>
        </w:rPr>
        <w:t>承接</w:t>
      </w:r>
      <w:r>
        <w:rPr>
          <w:rFonts w:hint="eastAsia" w:ascii="仿宋" w:hAnsi="仿宋" w:eastAsia="仿宋" w:cs="仿宋"/>
          <w:sz w:val="24"/>
          <w:highlight w:val="none"/>
          <w:u w:val="single"/>
        </w:rPr>
        <w:t>此类项目的</w:t>
      </w:r>
      <w:r>
        <w:rPr>
          <w:rFonts w:hint="eastAsia" w:ascii="仿宋" w:hAnsi="仿宋" w:eastAsia="仿宋" w:cs="仿宋"/>
          <w:sz w:val="24"/>
          <w:highlight w:val="none"/>
          <w:u w:val="single"/>
          <w:lang w:val="en-US" w:eastAsia="zh-CN"/>
        </w:rPr>
        <w:t>潜在供应商</w:t>
      </w:r>
      <w:r>
        <w:rPr>
          <w:rFonts w:hint="eastAsia" w:ascii="仿宋" w:hAnsi="仿宋" w:eastAsia="仿宋" w:cs="仿宋"/>
          <w:sz w:val="24"/>
          <w:highlight w:val="none"/>
          <w:u w:val="single"/>
        </w:rPr>
        <w:t>较多。</w:t>
      </w:r>
    </w:p>
    <w:p w14:paraId="54B9711D">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3.同类采购项目历史成交信息情况</w:t>
      </w:r>
    </w:p>
    <w:p w14:paraId="562AB2F6">
      <w:pPr>
        <w:spacing w:line="360" w:lineRule="auto"/>
        <w:ind w:firstLine="420"/>
        <w:jc w:val="left"/>
        <w:rPr>
          <w:rFonts w:hint="eastAsia" w:ascii="仿宋" w:hAnsi="仿宋" w:eastAsia="仿宋" w:cs="仿宋"/>
          <w:sz w:val="24"/>
          <w:highlight w:val="none"/>
          <w:lang w:val="en-US" w:eastAsia="zh-CN"/>
        </w:rPr>
      </w:pPr>
      <w:r>
        <w:rPr>
          <w:rFonts w:hint="eastAsia"/>
          <w:lang w:eastAsia="zh-CN"/>
        </w:rPr>
        <w:t>（</w:t>
      </w:r>
      <w:r>
        <w:rPr>
          <w:rFonts w:hint="eastAsia"/>
          <w:lang w:val="en-US" w:eastAsia="zh-CN"/>
        </w:rPr>
        <w:t>1</w:t>
      </w:r>
      <w:r>
        <w:rPr>
          <w:rFonts w:hint="eastAsia"/>
          <w:lang w:eastAsia="zh-CN"/>
        </w:rPr>
        <w:t>）</w:t>
      </w:r>
      <w:r>
        <w:rPr>
          <w:rFonts w:hint="eastAsia" w:ascii="仿宋" w:hAnsi="仿宋" w:eastAsia="仿宋" w:cs="仿宋"/>
          <w:sz w:val="24"/>
          <w:highlight w:val="none"/>
        </w:rPr>
        <w:t>舟山北向疏港公路隧道照明节能改造工程合同能源管理项目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项目编号：ZJXCX2015-CG-003(CS01)，招标范围：对舟山北向疏港公路新小展岭隧道、旧小展岭隧道、新摩鼻岭隧道、旧摩鼻岭隧道共4条隧道的灯具共750套采用LED灯进行节能改造。由原来的常规隧道灯改造为节能的LED隧道灯。并对灯具进行安装、调试、维护、保养、移交等管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预算金额：180万元，专门面向中小企业。</w:t>
      </w:r>
    </w:p>
    <w:p w14:paraId="7E47D5A0">
      <w:pPr>
        <w:numPr>
          <w:ilvl w:val="-1"/>
          <w:numId w:val="0"/>
        </w:numPr>
        <w:spacing w:line="360" w:lineRule="auto"/>
        <w:ind w:firstLine="42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（2）舟山市行政中心北大楼综合能源托管服务项目（项目编号：ZJHP2025-CG-03 ，采购范围：舟山市机关事务管理中心拟委托专业能源服务公司，采用混合型合同能源管理方式，统筹推进舟山市行政中心北大楼实现能源利用高效化、清洁化、智能化、数字化，实现“零碳”公共机构建设的目标。本次项目的目标是通过技术节能、管理节能等方式，实现能源费用管控、综合能源降低。采购人按照合同约定向中标人支付能源费用，并由中标人负责缴纳采购人托管范围内的用能费用以及承担本招标文件约定的相关节能改造。后期项目投产后，中标单位与招标单位结算电价按实际当月电价结算，享有托管期内的约定的节能收益。本次招标，供应商需提供的服务内容为节能技术改造以及托管期内运维等事项。预算金额:1000万，</w:t>
      </w:r>
      <w:r>
        <w:rPr>
          <w:rFonts w:hint="eastAsia" w:ascii="仿宋" w:hAnsi="仿宋" w:eastAsia="仿宋" w:cs="仿宋"/>
          <w:color w:val="auto"/>
          <w:sz w:val="24"/>
          <w:szCs w:val="24"/>
          <w:highlight w:val="none"/>
        </w:rPr>
        <w:t>本项目预留预算总额的40%专门面向中小企业采购，其中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指上述40%中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预留给小微企业的比例</w:t>
      </w:r>
      <w:r>
        <w:rPr>
          <w:rFonts w:hint="eastAsia" w:ascii="仿宋" w:hAnsi="仿宋" w:eastAsia="仿宋" w:cs="仿宋"/>
          <w:color w:val="auto"/>
          <w:sz w:val="24"/>
          <w:szCs w:val="24"/>
          <w:highlight w:val="none"/>
          <w:lang w:bidi="ar"/>
        </w:rPr>
        <w:t>不低于70%（即“不低于</w:t>
      </w:r>
      <w:r>
        <w:rPr>
          <w:rFonts w:hint="eastAsia" w:ascii="仿宋" w:hAnsi="仿宋" w:eastAsia="仿宋" w:cs="仿宋"/>
          <w:color w:val="auto"/>
          <w:sz w:val="24"/>
          <w:szCs w:val="24"/>
          <w:highlight w:val="none"/>
        </w:rPr>
        <w:t>合同总金额的28%</w:t>
      </w:r>
      <w:r>
        <w:rPr>
          <w:rFonts w:hint="eastAsia" w:ascii="仿宋" w:hAnsi="仿宋" w:eastAsia="仿宋" w:cs="仿宋"/>
          <w:color w:val="auto"/>
          <w:sz w:val="24"/>
          <w:szCs w:val="24"/>
          <w:highlight w:val="none"/>
          <w:lang w:bidi="ar"/>
        </w:rPr>
        <w:t>”）</w:t>
      </w:r>
      <w:r>
        <w:rPr>
          <w:rFonts w:hint="eastAsia" w:ascii="仿宋" w:hAnsi="仿宋" w:eastAsia="仿宋" w:cs="仿宋"/>
          <w:sz w:val="24"/>
          <w:highlight w:val="none"/>
          <w:lang w:val="en-US" w:eastAsia="zh-CN"/>
        </w:rPr>
        <w:t xml:space="preserve"> ）</w:t>
      </w:r>
    </w:p>
    <w:p w14:paraId="1750FD37">
      <w:pPr>
        <w:pStyle w:val="2"/>
        <w:keepNext w:val="0"/>
        <w:keepLines w:val="0"/>
        <w:ind w:firstLine="480" w:firstLineChars="200"/>
        <w:jc w:val="both"/>
        <w:rPr>
          <w:rFonts w:hint="eastAsia" w:ascii="仿宋" w:hAnsi="仿宋" w:eastAsia="仿宋" w:cs="仿宋"/>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i w:val="0"/>
          <w:iCs w:val="0"/>
          <w:caps w:val="0"/>
          <w:color w:val="auto"/>
          <w:spacing w:val="0"/>
          <w:sz w:val="24"/>
          <w:szCs w:val="24"/>
          <w:highlight w:val="none"/>
          <w:lang w:val="en-US"/>
        </w:rPr>
        <w:t>中国（舟山）大宗商品交易中心综合楼能源综合托管</w:t>
      </w:r>
      <w:r>
        <w:rPr>
          <w:rFonts w:hint="eastAsia" w:ascii="仿宋" w:hAnsi="仿宋" w:eastAsia="仿宋" w:cs="仿宋"/>
          <w:i w:val="0"/>
          <w:iCs w:val="0"/>
          <w:caps w:val="0"/>
          <w:color w:val="auto"/>
          <w:spacing w:val="0"/>
          <w:sz w:val="24"/>
          <w:szCs w:val="24"/>
          <w:highlight w:val="none"/>
          <w:lang w:val="en-US" w:eastAsia="zh-CN"/>
        </w:rPr>
        <w:t>（项目编号：</w:t>
      </w:r>
      <w:r>
        <w:rPr>
          <w:rFonts w:hint="eastAsia" w:ascii="仿宋" w:hAnsi="仿宋" w:eastAsia="仿宋" w:cs="仿宋"/>
          <w:i w:val="0"/>
          <w:iCs w:val="0"/>
          <w:caps w:val="0"/>
          <w:color w:val="auto"/>
          <w:spacing w:val="0"/>
          <w:sz w:val="24"/>
          <w:szCs w:val="24"/>
          <w:highlight w:val="none"/>
          <w:lang w:val="en-US"/>
        </w:rPr>
        <w:t>RXZB2022-117</w:t>
      </w:r>
      <w:r>
        <w:rPr>
          <w:rFonts w:hint="eastAsia" w:ascii="仿宋" w:hAnsi="仿宋" w:eastAsia="仿宋" w:cs="仿宋"/>
          <w:i w:val="0"/>
          <w:iCs w:val="0"/>
          <w:caps w:val="0"/>
          <w:color w:val="auto"/>
          <w:spacing w:val="0"/>
          <w:sz w:val="24"/>
          <w:szCs w:val="24"/>
          <w:highlight w:val="none"/>
          <w:lang w:val="en-US" w:eastAsia="zh-CN"/>
        </w:rPr>
        <w:t>，采购范围：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中国（舟山）大宗商品交易中心综合楼</w:t>
      </w:r>
      <w:r>
        <w:rPr>
          <w:rFonts w:hint="eastAsia" w:ascii="仿宋" w:hAnsi="仿宋" w:eastAsia="仿宋" w:cs="仿宋"/>
          <w:color w:val="auto"/>
          <w:sz w:val="24"/>
          <w:szCs w:val="24"/>
          <w:highlight w:val="none"/>
          <w:lang w:val="en-US" w:eastAsia="zh-CN"/>
        </w:rPr>
        <w:t>中，目前由舟山市机关事务管理中心支付能耗的使用单位的</w:t>
      </w:r>
      <w:r>
        <w:rPr>
          <w:rFonts w:hint="eastAsia" w:ascii="仿宋" w:hAnsi="仿宋" w:eastAsia="仿宋" w:cs="仿宋"/>
          <w:color w:val="auto"/>
          <w:sz w:val="24"/>
          <w:szCs w:val="24"/>
          <w:highlight w:val="none"/>
          <w:lang w:val="en-US"/>
        </w:rPr>
        <w:t>电</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天然</w:t>
      </w:r>
      <w:r>
        <w:rPr>
          <w:rFonts w:hint="eastAsia" w:ascii="仿宋" w:hAnsi="仿宋" w:eastAsia="仿宋" w:cs="仿宋"/>
          <w:color w:val="auto"/>
          <w:sz w:val="24"/>
          <w:szCs w:val="24"/>
          <w:highlight w:val="none"/>
          <w:lang w:val="en-US" w:eastAsia="zh-CN"/>
        </w:rPr>
        <w:t>气能源的综合</w:t>
      </w:r>
      <w:r>
        <w:rPr>
          <w:rFonts w:hint="eastAsia" w:ascii="仿宋" w:hAnsi="仿宋" w:eastAsia="仿宋" w:cs="仿宋"/>
          <w:color w:val="auto"/>
          <w:sz w:val="24"/>
          <w:szCs w:val="24"/>
          <w:highlight w:val="none"/>
          <w:lang w:val="en-US"/>
        </w:rPr>
        <w:t>托管</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val="en-US"/>
        </w:rPr>
        <w:t>综合楼</w:t>
      </w:r>
      <w:r>
        <w:rPr>
          <w:rFonts w:hint="eastAsia" w:ascii="仿宋" w:hAnsi="仿宋" w:eastAsia="仿宋" w:cs="仿宋"/>
          <w:color w:val="auto"/>
          <w:sz w:val="24"/>
          <w:szCs w:val="24"/>
          <w:highlight w:val="none"/>
          <w:lang w:val="en-US" w:eastAsia="zh-CN"/>
        </w:rPr>
        <w:t>整体</w:t>
      </w:r>
      <w:r>
        <w:rPr>
          <w:rFonts w:hint="eastAsia" w:ascii="仿宋" w:hAnsi="仿宋" w:eastAsia="仿宋" w:cs="仿宋"/>
          <w:color w:val="auto"/>
          <w:sz w:val="24"/>
          <w:szCs w:val="24"/>
          <w:highlight w:val="none"/>
          <w:lang w:val="en-US"/>
        </w:rPr>
        <w:t>数字化运维管理平台建设</w:t>
      </w:r>
      <w:r>
        <w:rPr>
          <w:rFonts w:hint="eastAsia" w:ascii="仿宋" w:hAnsi="仿宋" w:eastAsia="仿宋" w:cs="仿宋"/>
          <w:color w:val="auto"/>
          <w:sz w:val="24"/>
          <w:szCs w:val="24"/>
          <w:highlight w:val="none"/>
          <w:lang w:val="en-US" w:eastAsia="zh-CN"/>
        </w:rPr>
        <w:t>及节能技术改造；</w:t>
      </w:r>
      <w:r>
        <w:rPr>
          <w:rFonts w:hint="eastAsia" w:ascii="仿宋" w:hAnsi="仿宋" w:eastAsia="仿宋" w:cs="仿宋"/>
          <w:b w:val="0"/>
          <w:bCs w:val="0"/>
          <w:color w:val="auto"/>
          <w:sz w:val="24"/>
          <w:szCs w:val="24"/>
          <w:highlight w:val="none"/>
          <w:lang w:val="en-US" w:eastAsia="zh-CN"/>
        </w:rPr>
        <w:t>2、舟山市机关事务管理中心管辖范围中支付能耗的使用单位的总使用面积为44054.32</w:t>
      </w:r>
      <w:r>
        <w:rPr>
          <w:rFonts w:hint="eastAsia" w:ascii="仿宋" w:hAnsi="仿宋" w:eastAsia="仿宋" w:cs="仿宋"/>
          <w:b w:val="0"/>
          <w:bCs w:val="0"/>
          <w:color w:val="auto"/>
          <w:sz w:val="24"/>
          <w:szCs w:val="24"/>
          <w:highlight w:val="none"/>
          <w:lang w:val="en-US"/>
        </w:rPr>
        <w:t>m2</w:t>
      </w:r>
      <w:r>
        <w:rPr>
          <w:rFonts w:hint="eastAsia" w:ascii="仿宋" w:hAnsi="仿宋" w:eastAsia="仿宋" w:cs="仿宋"/>
          <w:b w:val="0"/>
          <w:bCs w:val="0"/>
          <w:color w:val="auto"/>
          <w:sz w:val="24"/>
          <w:szCs w:val="24"/>
          <w:highlight w:val="none"/>
          <w:lang w:val="en-US" w:eastAsia="zh-CN"/>
        </w:rPr>
        <w:t>。3、银行、船交市场等8家单位和食堂不属于本采购项目的能源托管服务范围。预算金额：</w:t>
      </w:r>
      <w:r>
        <w:rPr>
          <w:rFonts w:hint="eastAsia" w:ascii="仿宋" w:hAnsi="仿宋" w:eastAsia="仿宋" w:cs="仿宋"/>
          <w:sz w:val="24"/>
          <w:szCs w:val="24"/>
          <w:highlight w:val="none"/>
          <w:lang w:val="en-US" w:eastAsia="zh-CN"/>
        </w:rPr>
        <w:t>2050万元</w:t>
      </w:r>
      <w:r>
        <w:rPr>
          <w:rFonts w:hint="eastAsia" w:ascii="仿宋" w:hAnsi="仿宋" w:eastAsia="仿宋" w:cs="仿宋"/>
          <w:i w:val="0"/>
          <w:iCs w:val="0"/>
          <w:caps w:val="0"/>
          <w:color w:val="auto"/>
          <w:spacing w:val="0"/>
          <w:sz w:val="24"/>
          <w:szCs w:val="24"/>
          <w:highlight w:val="none"/>
          <w:lang w:val="en-US" w:eastAsia="zh-CN"/>
        </w:rPr>
        <w:t>）</w:t>
      </w:r>
    </w:p>
    <w:p w14:paraId="008C24A2">
      <w:pPr>
        <w:spacing w:line="360" w:lineRule="auto"/>
        <w:ind w:firstLine="420"/>
        <w:jc w:val="left"/>
        <w:rPr>
          <w:rFonts w:hint="eastAsia" w:ascii="仿宋" w:hAnsi="仿宋" w:eastAsia="仿宋" w:cs="仿宋"/>
          <w:sz w:val="24"/>
        </w:rPr>
      </w:pPr>
      <w:r>
        <w:rPr>
          <w:rFonts w:hint="eastAsia" w:ascii="仿宋" w:hAnsi="仿宋" w:eastAsia="仿宋" w:cs="仿宋"/>
          <w:sz w:val="24"/>
        </w:rPr>
        <w:t>4.可能涉及的运行维护、升级更新、备品备件、耗材等后续采购情况</w:t>
      </w:r>
    </w:p>
    <w:p w14:paraId="00D8732D">
      <w:pPr>
        <w:spacing w:line="360" w:lineRule="auto"/>
        <w:ind w:firstLine="480" w:firstLineChars="200"/>
        <w:jc w:val="left"/>
        <w:rPr>
          <w:rFonts w:hint="eastAsia" w:ascii="仿宋" w:hAnsi="仿宋" w:eastAsia="仿宋" w:cs="仿宋"/>
          <w:sz w:val="24"/>
          <w:highlight w:val="none"/>
          <w:u w:val="single"/>
          <w:lang w:eastAsia="zh-CN"/>
        </w:rPr>
      </w:pPr>
      <w:r>
        <w:rPr>
          <w:rFonts w:hint="eastAsia" w:ascii="仿宋" w:hAnsi="仿宋" w:eastAsia="仿宋" w:cs="仿宋"/>
          <w:sz w:val="24"/>
          <w:highlight w:val="none"/>
          <w:u w:val="single"/>
          <w:lang w:val="en-US" w:eastAsia="zh-CN"/>
        </w:rPr>
        <w:t>本项目为服务项目，项目已包括</w:t>
      </w:r>
      <w:r>
        <w:rPr>
          <w:rFonts w:hint="eastAsia" w:ascii="仿宋" w:hAnsi="仿宋" w:eastAsia="仿宋" w:cs="仿宋"/>
          <w:sz w:val="24"/>
          <w:highlight w:val="none"/>
          <w:u w:val="single"/>
        </w:rPr>
        <w:t>运行维护、升级更新、备品备件、耗材等后续采购情况</w:t>
      </w:r>
      <w:r>
        <w:rPr>
          <w:rFonts w:hint="eastAsia" w:ascii="仿宋" w:hAnsi="仿宋" w:eastAsia="仿宋" w:cs="仿宋"/>
          <w:sz w:val="24"/>
          <w:highlight w:val="none"/>
          <w:u w:val="single"/>
          <w:lang w:eastAsia="zh-CN"/>
        </w:rPr>
        <w:t>。</w:t>
      </w:r>
    </w:p>
    <w:p w14:paraId="3BFB7069">
      <w:pPr>
        <w:spacing w:line="360" w:lineRule="auto"/>
        <w:ind w:firstLine="420"/>
        <w:jc w:val="left"/>
        <w:rPr>
          <w:rFonts w:hint="eastAsia" w:ascii="仿宋" w:hAnsi="仿宋" w:eastAsia="仿宋" w:cs="仿宋"/>
          <w:sz w:val="24"/>
        </w:rPr>
      </w:pPr>
      <w:r>
        <w:rPr>
          <w:rFonts w:hint="eastAsia" w:ascii="仿宋" w:hAnsi="仿宋" w:eastAsia="仿宋" w:cs="仿宋"/>
          <w:sz w:val="24"/>
        </w:rPr>
        <w:t>5.其他相关情况</w:t>
      </w:r>
    </w:p>
    <w:p w14:paraId="7B578B45">
      <w:pPr>
        <w:spacing w:line="360" w:lineRule="auto"/>
        <w:ind w:firstLine="720" w:firstLineChars="300"/>
        <w:jc w:val="left"/>
        <w:rPr>
          <w:rFonts w:hint="eastAsia" w:ascii="仿宋" w:hAnsi="仿宋" w:eastAsia="仿宋" w:cs="仿宋"/>
          <w:sz w:val="24"/>
          <w:u w:val="single"/>
          <w:lang w:eastAsia="zh-CN"/>
        </w:rPr>
      </w:pPr>
      <w:r>
        <w:rPr>
          <w:rFonts w:hint="eastAsia" w:ascii="仿宋" w:hAnsi="仿宋" w:eastAsia="仿宋" w:cs="仿宋"/>
          <w:sz w:val="24"/>
          <w:u w:val="single"/>
          <w:lang w:val="en-US" w:eastAsia="zh-CN"/>
        </w:rPr>
        <w:t>无</w:t>
      </w:r>
    </w:p>
    <w:p w14:paraId="537C9A1D">
      <w:pPr>
        <w:spacing w:beforeLines="100" w:line="360" w:lineRule="auto"/>
        <w:jc w:val="left"/>
        <w:rPr>
          <w:rFonts w:hint="eastAsia" w:ascii="仿宋" w:hAnsi="仿宋" w:eastAsia="仿宋" w:cs="仿宋"/>
          <w:b/>
          <w:sz w:val="28"/>
          <w:szCs w:val="28"/>
        </w:rPr>
      </w:pPr>
      <w:r>
        <w:rPr>
          <w:rFonts w:hint="eastAsia" w:ascii="仿宋" w:hAnsi="仿宋" w:eastAsia="仿宋" w:cs="仿宋"/>
          <w:b/>
          <w:sz w:val="28"/>
          <w:szCs w:val="28"/>
        </w:rPr>
        <w:t>二、采购需求内容</w:t>
      </w:r>
    </w:p>
    <w:p w14:paraId="19DB3187">
      <w:pPr>
        <w:spacing w:line="360" w:lineRule="auto"/>
        <w:jc w:val="left"/>
        <w:rPr>
          <w:rFonts w:hint="default" w:ascii="仿宋" w:hAnsi="仿宋" w:eastAsia="仿宋" w:cs="仿宋"/>
          <w:sz w:val="24"/>
          <w:lang w:val="en-US" w:eastAsia="zh-CN"/>
        </w:rPr>
      </w:pPr>
      <w:r>
        <w:rPr>
          <w:rFonts w:hint="eastAsia" w:ascii="仿宋" w:hAnsi="仿宋" w:eastAsia="仿宋" w:cs="仿宋"/>
          <w:sz w:val="24"/>
        </w:rPr>
        <w:t>（一）项目</w:t>
      </w:r>
      <w:r>
        <w:rPr>
          <w:rFonts w:hint="eastAsia" w:ascii="仿宋" w:hAnsi="仿宋" w:eastAsia="仿宋" w:cs="仿宋"/>
          <w:sz w:val="24"/>
          <w:lang w:val="en-US" w:eastAsia="zh-CN"/>
        </w:rPr>
        <w:t>基本情况</w:t>
      </w:r>
    </w:p>
    <w:p w14:paraId="094FE861">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1、项目背景</w:t>
      </w:r>
    </w:p>
    <w:p w14:paraId="50C91A36">
      <w:pPr>
        <w:spacing w:line="360" w:lineRule="auto"/>
        <w:ind w:firstLine="420"/>
        <w:jc w:val="left"/>
        <w:rPr>
          <w:rFonts w:hint="eastAsia" w:ascii="仿宋" w:hAnsi="仿宋" w:eastAsia="仿宋" w:cs="仿宋"/>
          <w:sz w:val="24"/>
        </w:rPr>
      </w:pPr>
      <w:r>
        <w:rPr>
          <w:rFonts w:hint="eastAsia" w:ascii="仿宋" w:hAnsi="仿宋" w:eastAsia="仿宋" w:cs="仿宋"/>
          <w:sz w:val="24"/>
        </w:rPr>
        <w:t>为响应国家节能减排政策。推动能源管理的科学化、精细化，提高能源利用效率，降低能源消耗，本项目拟采用托管型合同能源管理方式，委托专业能源服务公司，利用国内外最新能源及信息技术发展成果，对本项目区域范围内现有的照明设施实施节能技术改造，并通过科学合理的运行管理，为采购人提供数字化运维管理平台支撑下的集能源托管、节能技改及能源经营运维服务为一体的综合型能源托管服务，实现能源利用高效化、清洁化、智能化、数字化，逐步降低综合能耗。</w:t>
      </w:r>
    </w:p>
    <w:p w14:paraId="6822A80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2、能源托管范围</w:t>
      </w:r>
    </w:p>
    <w:p w14:paraId="24116C1B">
      <w:pPr>
        <w:spacing w:line="360" w:lineRule="auto"/>
        <w:ind w:firstLine="420"/>
        <w:jc w:val="left"/>
        <w:rPr>
          <w:rFonts w:hint="eastAsia" w:ascii="仿宋" w:hAnsi="仿宋" w:eastAsia="仿宋" w:cs="仿宋"/>
          <w:sz w:val="24"/>
        </w:rPr>
      </w:pPr>
      <w:r>
        <w:rPr>
          <w:rFonts w:hint="eastAsia" w:ascii="仿宋" w:hAnsi="仿宋" w:eastAsia="仿宋" w:cs="仿宋"/>
          <w:sz w:val="24"/>
        </w:rPr>
        <w:t>本项目实施范围内的公路照明设施共计</w:t>
      </w:r>
      <w:r>
        <w:rPr>
          <w:rFonts w:hint="eastAsia" w:ascii="仿宋" w:hAnsi="仿宋" w:eastAsia="仿宋" w:cs="仿宋"/>
          <w:sz w:val="24"/>
          <w:lang w:val="en-US" w:eastAsia="zh-CN"/>
        </w:rPr>
        <w:t>14670</w:t>
      </w:r>
      <w:r>
        <w:rPr>
          <w:rFonts w:hint="eastAsia" w:ascii="仿宋" w:hAnsi="仿宋" w:eastAsia="仿宋" w:cs="仿宋"/>
          <w:sz w:val="24"/>
        </w:rPr>
        <w:t>盏，其中路灯3402盏、隧道照明灯</w:t>
      </w:r>
      <w:r>
        <w:rPr>
          <w:rFonts w:hint="eastAsia" w:ascii="仿宋" w:hAnsi="仿宋" w:eastAsia="仿宋" w:cs="仿宋"/>
          <w:sz w:val="24"/>
          <w:lang w:val="en-US" w:eastAsia="zh-CN"/>
        </w:rPr>
        <w:t>11268</w:t>
      </w:r>
      <w:r>
        <w:rPr>
          <w:rFonts w:hint="eastAsia" w:ascii="仿宋" w:hAnsi="仿宋" w:eastAsia="仿宋" w:cs="仿宋"/>
          <w:sz w:val="24"/>
        </w:rPr>
        <w:t>盏。项目范围及照明灯具数量见下表。</w:t>
      </w:r>
    </w:p>
    <w:tbl>
      <w:tblPr>
        <w:tblStyle w:val="15"/>
        <w:tblW w:w="9734"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900"/>
        <w:gridCol w:w="1353"/>
        <w:gridCol w:w="1437"/>
        <w:gridCol w:w="1225"/>
        <w:gridCol w:w="1307"/>
        <w:gridCol w:w="2487"/>
      </w:tblGrid>
      <w:tr w14:paraId="04AA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715" w:type="dxa"/>
            <w:gridSpan w:val="4"/>
            <w:vAlign w:val="center"/>
          </w:tcPr>
          <w:p w14:paraId="6C92BBC8">
            <w:pPr>
              <w:spacing w:line="360" w:lineRule="auto"/>
              <w:ind w:firstLine="420"/>
              <w:jc w:val="left"/>
              <w:rPr>
                <w:rFonts w:hint="eastAsia" w:ascii="仿宋" w:hAnsi="仿宋" w:eastAsia="仿宋" w:cs="仿宋"/>
                <w:sz w:val="24"/>
              </w:rPr>
            </w:pPr>
            <w:r>
              <w:rPr>
                <w:rFonts w:hint="eastAsia" w:ascii="仿宋" w:hAnsi="仿宋" w:eastAsia="仿宋" w:cs="仿宋"/>
                <w:sz w:val="24"/>
              </w:rPr>
              <w:t>路灯（3402盏）</w:t>
            </w:r>
          </w:p>
        </w:tc>
        <w:tc>
          <w:tcPr>
            <w:tcW w:w="2532" w:type="dxa"/>
            <w:gridSpan w:val="2"/>
            <w:vAlign w:val="center"/>
          </w:tcPr>
          <w:p w14:paraId="34DB21B0">
            <w:pPr>
              <w:spacing w:line="360" w:lineRule="auto"/>
              <w:jc w:val="left"/>
              <w:rPr>
                <w:rFonts w:hint="eastAsia" w:ascii="仿宋" w:hAnsi="仿宋" w:eastAsia="仿宋" w:cs="仿宋"/>
                <w:sz w:val="24"/>
              </w:rPr>
            </w:pPr>
            <w:r>
              <w:rPr>
                <w:rFonts w:hint="eastAsia" w:ascii="仿宋" w:hAnsi="仿宋" w:eastAsia="仿宋" w:cs="仿宋"/>
                <w:sz w:val="24"/>
              </w:rPr>
              <w:t>隧道照明灯（11</w:t>
            </w:r>
            <w:r>
              <w:rPr>
                <w:rFonts w:hint="eastAsia" w:ascii="仿宋" w:hAnsi="仿宋" w:eastAsia="仿宋" w:cs="仿宋"/>
                <w:sz w:val="24"/>
                <w:lang w:val="en-US" w:eastAsia="zh-CN"/>
              </w:rPr>
              <w:t>268</w:t>
            </w:r>
            <w:r>
              <w:rPr>
                <w:rFonts w:hint="eastAsia" w:ascii="仿宋" w:hAnsi="仿宋" w:eastAsia="仿宋" w:cs="仿宋"/>
                <w:sz w:val="24"/>
              </w:rPr>
              <w:t>盏）</w:t>
            </w:r>
          </w:p>
        </w:tc>
        <w:tc>
          <w:tcPr>
            <w:tcW w:w="2487" w:type="dxa"/>
            <w:vAlign w:val="center"/>
          </w:tcPr>
          <w:p w14:paraId="737CECB0">
            <w:pPr>
              <w:spacing w:line="360" w:lineRule="auto"/>
              <w:ind w:firstLine="420"/>
              <w:jc w:val="left"/>
              <w:rPr>
                <w:rFonts w:hint="eastAsia" w:ascii="仿宋" w:hAnsi="仿宋" w:eastAsia="仿宋" w:cs="仿宋"/>
                <w:sz w:val="24"/>
              </w:rPr>
            </w:pPr>
            <w:r>
              <w:rPr>
                <w:rFonts w:hint="eastAsia" w:ascii="仿宋" w:hAnsi="仿宋" w:eastAsia="仿宋" w:cs="仿宋"/>
                <w:sz w:val="24"/>
              </w:rPr>
              <w:t>其它</w:t>
            </w:r>
          </w:p>
        </w:tc>
      </w:tr>
      <w:tr w14:paraId="2225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278" w:type="dxa"/>
            <w:gridSpan w:val="3"/>
            <w:vAlign w:val="center"/>
          </w:tcPr>
          <w:p w14:paraId="5B3C1241">
            <w:pPr>
              <w:spacing w:line="360" w:lineRule="auto"/>
              <w:ind w:firstLine="420"/>
              <w:jc w:val="left"/>
              <w:rPr>
                <w:rFonts w:hint="eastAsia" w:ascii="仿宋" w:hAnsi="仿宋" w:eastAsia="仿宋" w:cs="仿宋"/>
                <w:sz w:val="24"/>
              </w:rPr>
            </w:pPr>
            <w:r>
              <w:rPr>
                <w:rFonts w:hint="eastAsia" w:ascii="仿宋" w:hAnsi="仿宋" w:eastAsia="仿宋" w:cs="仿宋"/>
                <w:sz w:val="24"/>
              </w:rPr>
              <w:t>高压钠灯（2360盏）</w:t>
            </w:r>
          </w:p>
        </w:tc>
        <w:tc>
          <w:tcPr>
            <w:tcW w:w="1437" w:type="dxa"/>
            <w:vAlign w:val="center"/>
          </w:tcPr>
          <w:p w14:paraId="01B5734C">
            <w:pPr>
              <w:spacing w:line="360" w:lineRule="auto"/>
              <w:jc w:val="left"/>
              <w:rPr>
                <w:rFonts w:hint="eastAsia" w:ascii="仿宋" w:hAnsi="仿宋" w:eastAsia="仿宋" w:cs="仿宋"/>
                <w:sz w:val="24"/>
              </w:rPr>
            </w:pPr>
            <w:r>
              <w:rPr>
                <w:rFonts w:hint="eastAsia" w:ascii="仿宋" w:hAnsi="仿宋" w:eastAsia="仿宋" w:cs="仿宋"/>
                <w:sz w:val="24"/>
              </w:rPr>
              <w:t>LED路灯</w:t>
            </w:r>
          </w:p>
        </w:tc>
        <w:tc>
          <w:tcPr>
            <w:tcW w:w="1225" w:type="dxa"/>
            <w:vAlign w:val="center"/>
          </w:tcPr>
          <w:p w14:paraId="0C26994B">
            <w:pPr>
              <w:spacing w:line="360" w:lineRule="auto"/>
              <w:jc w:val="left"/>
              <w:rPr>
                <w:rFonts w:hint="eastAsia" w:ascii="仿宋" w:hAnsi="仿宋" w:eastAsia="仿宋" w:cs="仿宋"/>
                <w:sz w:val="24"/>
              </w:rPr>
            </w:pPr>
            <w:r>
              <w:rPr>
                <w:rFonts w:hint="eastAsia" w:ascii="仿宋" w:hAnsi="仿宋" w:eastAsia="仿宋" w:cs="仿宋"/>
                <w:sz w:val="24"/>
              </w:rPr>
              <w:t>隧道灯</w:t>
            </w:r>
          </w:p>
        </w:tc>
        <w:tc>
          <w:tcPr>
            <w:tcW w:w="1307" w:type="dxa"/>
            <w:vAlign w:val="center"/>
          </w:tcPr>
          <w:p w14:paraId="4DCAEAA7">
            <w:pPr>
              <w:spacing w:line="360" w:lineRule="auto"/>
              <w:jc w:val="left"/>
              <w:rPr>
                <w:rFonts w:hint="eastAsia" w:ascii="仿宋" w:hAnsi="仿宋" w:eastAsia="仿宋" w:cs="仿宋"/>
                <w:sz w:val="24"/>
              </w:rPr>
            </w:pPr>
            <w:r>
              <w:rPr>
                <w:rFonts w:hint="eastAsia" w:ascii="仿宋" w:hAnsi="仿宋" w:eastAsia="仿宋" w:cs="仿宋"/>
                <w:sz w:val="24"/>
              </w:rPr>
              <w:t>无极隧道灯</w:t>
            </w:r>
          </w:p>
        </w:tc>
        <w:tc>
          <w:tcPr>
            <w:tcW w:w="2487" w:type="dxa"/>
            <w:vAlign w:val="center"/>
          </w:tcPr>
          <w:p w14:paraId="5C94C332">
            <w:pPr>
              <w:spacing w:line="360" w:lineRule="auto"/>
              <w:jc w:val="left"/>
              <w:rPr>
                <w:rFonts w:hint="eastAsia" w:ascii="仿宋" w:hAnsi="仿宋" w:eastAsia="仿宋" w:cs="仿宋"/>
                <w:sz w:val="24"/>
              </w:rPr>
            </w:pPr>
            <w:r>
              <w:rPr>
                <w:rFonts w:hint="eastAsia" w:ascii="仿宋" w:hAnsi="仿宋" w:eastAsia="仿宋" w:cs="仿宋"/>
                <w:sz w:val="24"/>
              </w:rPr>
              <w:t>隧道内所有用电设施</w:t>
            </w:r>
          </w:p>
        </w:tc>
      </w:tr>
      <w:tr w14:paraId="066D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5" w:type="dxa"/>
            <w:vAlign w:val="center"/>
          </w:tcPr>
          <w:p w14:paraId="45DEBFBD">
            <w:pPr>
              <w:spacing w:line="360" w:lineRule="auto"/>
              <w:jc w:val="left"/>
              <w:rPr>
                <w:rFonts w:hint="eastAsia" w:ascii="仿宋" w:hAnsi="仿宋" w:eastAsia="仿宋" w:cs="仿宋"/>
                <w:sz w:val="24"/>
              </w:rPr>
            </w:pPr>
            <w:r>
              <w:rPr>
                <w:rFonts w:hint="eastAsia" w:ascii="仿宋" w:hAnsi="仿宋" w:eastAsia="仿宋" w:cs="仿宋"/>
                <w:sz w:val="24"/>
              </w:rPr>
              <w:t>鸭东线定海段</w:t>
            </w:r>
          </w:p>
        </w:tc>
        <w:tc>
          <w:tcPr>
            <w:tcW w:w="900" w:type="dxa"/>
            <w:vAlign w:val="center"/>
          </w:tcPr>
          <w:p w14:paraId="33A7239B">
            <w:pPr>
              <w:spacing w:line="360" w:lineRule="auto"/>
              <w:jc w:val="left"/>
              <w:rPr>
                <w:rFonts w:hint="eastAsia" w:ascii="仿宋" w:hAnsi="仿宋" w:eastAsia="仿宋" w:cs="仿宋"/>
                <w:sz w:val="24"/>
              </w:rPr>
            </w:pPr>
            <w:r>
              <w:rPr>
                <w:rFonts w:hint="eastAsia" w:ascii="仿宋" w:hAnsi="仿宋" w:eastAsia="仿宋" w:cs="仿宋"/>
                <w:sz w:val="24"/>
              </w:rPr>
              <w:t>临北线定海段</w:t>
            </w:r>
          </w:p>
        </w:tc>
        <w:tc>
          <w:tcPr>
            <w:tcW w:w="1353" w:type="dxa"/>
            <w:vAlign w:val="center"/>
          </w:tcPr>
          <w:p w14:paraId="037B0484">
            <w:pPr>
              <w:spacing w:line="360" w:lineRule="auto"/>
              <w:jc w:val="left"/>
              <w:rPr>
                <w:rFonts w:hint="eastAsia" w:ascii="仿宋" w:hAnsi="仿宋" w:eastAsia="仿宋" w:cs="仿宋"/>
                <w:sz w:val="24"/>
              </w:rPr>
            </w:pPr>
            <w:r>
              <w:rPr>
                <w:rFonts w:hint="eastAsia" w:ascii="仿宋" w:hAnsi="仿宋" w:eastAsia="仿宋" w:cs="仿宋"/>
                <w:sz w:val="24"/>
              </w:rPr>
              <w:t>G526定马线定海段</w:t>
            </w:r>
          </w:p>
        </w:tc>
        <w:tc>
          <w:tcPr>
            <w:tcW w:w="1437" w:type="dxa"/>
            <w:vAlign w:val="center"/>
          </w:tcPr>
          <w:p w14:paraId="154E5195">
            <w:pPr>
              <w:spacing w:line="360" w:lineRule="auto"/>
              <w:jc w:val="left"/>
              <w:rPr>
                <w:rFonts w:hint="eastAsia" w:ascii="仿宋" w:hAnsi="仿宋" w:eastAsia="仿宋" w:cs="仿宋"/>
                <w:sz w:val="24"/>
              </w:rPr>
            </w:pPr>
            <w:r>
              <w:rPr>
                <w:rFonts w:hint="eastAsia" w:ascii="仿宋" w:hAnsi="仿宋" w:eastAsia="仿宋" w:cs="仿宋"/>
                <w:sz w:val="24"/>
              </w:rPr>
              <w:t>所有实施范围路段</w:t>
            </w:r>
          </w:p>
        </w:tc>
        <w:tc>
          <w:tcPr>
            <w:tcW w:w="5019" w:type="dxa"/>
            <w:gridSpan w:val="3"/>
            <w:vAlign w:val="center"/>
          </w:tcPr>
          <w:p w14:paraId="5183F9C9">
            <w:pPr>
              <w:spacing w:line="360" w:lineRule="auto"/>
              <w:ind w:firstLine="420"/>
              <w:jc w:val="left"/>
              <w:rPr>
                <w:rFonts w:hint="eastAsia" w:ascii="仿宋" w:hAnsi="仿宋" w:eastAsia="仿宋" w:cs="仿宋"/>
                <w:sz w:val="24"/>
              </w:rPr>
            </w:pPr>
            <w:r>
              <w:rPr>
                <w:rFonts w:hint="eastAsia" w:ascii="仿宋" w:hAnsi="仿宋" w:eastAsia="仿宋" w:cs="仿宋"/>
                <w:sz w:val="24"/>
              </w:rPr>
              <w:t>定海区隧道（</w:t>
            </w:r>
            <w:r>
              <w:rPr>
                <w:rFonts w:hint="eastAsia" w:ascii="仿宋" w:hAnsi="仿宋" w:eastAsia="仿宋" w:cs="仿宋"/>
                <w:sz w:val="24"/>
                <w:lang w:val="zh-CN"/>
              </w:rPr>
              <w:t>不含东西快速路部分</w:t>
            </w:r>
            <w:r>
              <w:rPr>
                <w:rFonts w:hint="eastAsia" w:ascii="仿宋" w:hAnsi="仿宋" w:eastAsia="仿宋" w:cs="仿宋"/>
                <w:sz w:val="24"/>
              </w:rPr>
              <w:t>）</w:t>
            </w:r>
          </w:p>
        </w:tc>
      </w:tr>
      <w:tr w14:paraId="0039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vAlign w:val="center"/>
          </w:tcPr>
          <w:p w14:paraId="5E3B969B">
            <w:pPr>
              <w:spacing w:line="360" w:lineRule="auto"/>
              <w:jc w:val="left"/>
              <w:rPr>
                <w:rFonts w:hint="eastAsia" w:ascii="仿宋" w:hAnsi="仿宋" w:eastAsia="仿宋" w:cs="仿宋"/>
                <w:sz w:val="24"/>
              </w:rPr>
            </w:pPr>
            <w:r>
              <w:rPr>
                <w:rFonts w:hint="eastAsia" w:ascii="仿宋" w:hAnsi="仿宋" w:eastAsia="仿宋" w:cs="仿宋"/>
                <w:sz w:val="24"/>
              </w:rPr>
              <w:t>1900盏</w:t>
            </w:r>
          </w:p>
        </w:tc>
        <w:tc>
          <w:tcPr>
            <w:tcW w:w="900" w:type="dxa"/>
            <w:vAlign w:val="center"/>
          </w:tcPr>
          <w:p w14:paraId="7354F926">
            <w:pPr>
              <w:spacing w:line="360" w:lineRule="auto"/>
              <w:jc w:val="left"/>
              <w:rPr>
                <w:rFonts w:hint="eastAsia" w:ascii="仿宋" w:hAnsi="仿宋" w:eastAsia="仿宋" w:cs="仿宋"/>
                <w:sz w:val="24"/>
              </w:rPr>
            </w:pPr>
            <w:r>
              <w:rPr>
                <w:rFonts w:hint="eastAsia" w:ascii="仿宋" w:hAnsi="仿宋" w:eastAsia="仿宋" w:cs="仿宋"/>
                <w:sz w:val="24"/>
              </w:rPr>
              <w:t>83盏</w:t>
            </w:r>
          </w:p>
        </w:tc>
        <w:tc>
          <w:tcPr>
            <w:tcW w:w="1353" w:type="dxa"/>
            <w:vAlign w:val="center"/>
          </w:tcPr>
          <w:p w14:paraId="71D75160">
            <w:pPr>
              <w:spacing w:line="360" w:lineRule="auto"/>
              <w:jc w:val="left"/>
              <w:rPr>
                <w:rFonts w:hint="eastAsia" w:ascii="仿宋" w:hAnsi="仿宋" w:eastAsia="仿宋" w:cs="仿宋"/>
                <w:sz w:val="24"/>
              </w:rPr>
            </w:pPr>
            <w:r>
              <w:rPr>
                <w:rFonts w:hint="eastAsia" w:ascii="仿宋" w:hAnsi="仿宋" w:eastAsia="仿宋" w:cs="仿宋"/>
                <w:sz w:val="24"/>
              </w:rPr>
              <w:t>377盏</w:t>
            </w:r>
          </w:p>
        </w:tc>
        <w:tc>
          <w:tcPr>
            <w:tcW w:w="1437" w:type="dxa"/>
            <w:vAlign w:val="center"/>
          </w:tcPr>
          <w:p w14:paraId="11AB3CE0">
            <w:pPr>
              <w:spacing w:line="360" w:lineRule="auto"/>
              <w:jc w:val="left"/>
              <w:rPr>
                <w:rFonts w:hint="eastAsia" w:ascii="仿宋" w:hAnsi="仿宋" w:eastAsia="仿宋" w:cs="仿宋"/>
                <w:sz w:val="24"/>
              </w:rPr>
            </w:pPr>
            <w:r>
              <w:rPr>
                <w:rFonts w:hint="eastAsia" w:ascii="仿宋" w:hAnsi="仿宋" w:eastAsia="仿宋" w:cs="仿宋"/>
                <w:sz w:val="24"/>
              </w:rPr>
              <w:t>1042盏</w:t>
            </w:r>
          </w:p>
        </w:tc>
        <w:tc>
          <w:tcPr>
            <w:tcW w:w="1225" w:type="dxa"/>
            <w:vAlign w:val="center"/>
          </w:tcPr>
          <w:p w14:paraId="0F425E8E">
            <w:pPr>
              <w:spacing w:line="360" w:lineRule="auto"/>
              <w:jc w:val="left"/>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sz w:val="24"/>
                <w:lang w:val="en-US" w:eastAsia="zh-CN"/>
              </w:rPr>
              <w:t>294</w:t>
            </w:r>
            <w:r>
              <w:rPr>
                <w:rFonts w:hint="eastAsia" w:ascii="仿宋" w:hAnsi="仿宋" w:eastAsia="仿宋" w:cs="仿宋"/>
                <w:sz w:val="24"/>
              </w:rPr>
              <w:t>盏</w:t>
            </w:r>
          </w:p>
        </w:tc>
        <w:tc>
          <w:tcPr>
            <w:tcW w:w="1307" w:type="dxa"/>
            <w:vAlign w:val="center"/>
          </w:tcPr>
          <w:p w14:paraId="0AF9CC03">
            <w:pPr>
              <w:spacing w:line="360" w:lineRule="auto"/>
              <w:jc w:val="left"/>
              <w:rPr>
                <w:rFonts w:hint="eastAsia" w:ascii="仿宋" w:hAnsi="仿宋" w:eastAsia="仿宋" w:cs="仿宋"/>
                <w:sz w:val="24"/>
              </w:rPr>
            </w:pPr>
            <w:r>
              <w:rPr>
                <w:rFonts w:hint="eastAsia" w:ascii="仿宋" w:hAnsi="仿宋" w:eastAsia="仿宋" w:cs="仿宋"/>
                <w:sz w:val="24"/>
              </w:rPr>
              <w:t>974盏</w:t>
            </w:r>
          </w:p>
        </w:tc>
        <w:tc>
          <w:tcPr>
            <w:tcW w:w="2487" w:type="dxa"/>
            <w:vAlign w:val="center"/>
          </w:tcPr>
          <w:p w14:paraId="7AA8B530">
            <w:pPr>
              <w:spacing w:line="360" w:lineRule="auto"/>
              <w:jc w:val="left"/>
              <w:rPr>
                <w:rFonts w:hint="eastAsia" w:ascii="仿宋" w:hAnsi="仿宋" w:eastAsia="仿宋" w:cs="仿宋"/>
                <w:sz w:val="24"/>
              </w:rPr>
            </w:pPr>
            <w:r>
              <w:rPr>
                <w:rFonts w:hint="eastAsia" w:ascii="仿宋" w:hAnsi="仿宋" w:eastAsia="仿宋" w:cs="仿宋"/>
                <w:sz w:val="24"/>
              </w:rPr>
              <w:t>具体数量自行踏勘确定</w:t>
            </w:r>
          </w:p>
        </w:tc>
      </w:tr>
    </w:tbl>
    <w:p w14:paraId="4966F804">
      <w:pPr>
        <w:spacing w:line="360" w:lineRule="auto"/>
        <w:jc w:val="left"/>
        <w:rPr>
          <w:rFonts w:hint="eastAsia" w:ascii="仿宋" w:hAnsi="仿宋" w:eastAsia="仿宋" w:cs="仿宋"/>
          <w:sz w:val="24"/>
        </w:rPr>
      </w:pPr>
      <w:r>
        <w:rPr>
          <w:rFonts w:hint="eastAsia" w:ascii="仿宋" w:hAnsi="仿宋" w:eastAsia="仿宋" w:cs="仿宋"/>
          <w:sz w:val="24"/>
        </w:rPr>
        <w:t>注：以上数据仅作参考，最终数量以投标人实地勘察为准。</w:t>
      </w:r>
    </w:p>
    <w:p w14:paraId="5944E3FA">
      <w:pPr>
        <w:spacing w:line="360" w:lineRule="auto"/>
        <w:jc w:val="left"/>
        <w:rPr>
          <w:rFonts w:hint="eastAsia" w:ascii="仿宋" w:hAnsi="仿宋" w:eastAsia="仿宋" w:cs="仿宋"/>
          <w:sz w:val="24"/>
        </w:rPr>
      </w:pPr>
      <w:r>
        <w:rPr>
          <w:rFonts w:hint="eastAsia" w:ascii="仿宋" w:hAnsi="仿宋" w:eastAsia="仿宋" w:cs="仿宋"/>
          <w:sz w:val="24"/>
        </w:rPr>
        <w:t>具体灯具分布范围及数量见附件1《现状灯具情况表》。</w:t>
      </w:r>
    </w:p>
    <w:p w14:paraId="6FE66EDF">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3、改造前用电总能耗</w:t>
      </w:r>
    </w:p>
    <w:p w14:paraId="63F7F5D9">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3.1本项目托管范围内2024年3月至2025年2月用电总能耗见下表</w:t>
      </w:r>
    </w:p>
    <w:tbl>
      <w:tblPr>
        <w:tblStyle w:val="15"/>
        <w:tblpPr w:leftFromText="180" w:rightFromText="180" w:vertAnchor="text" w:horzAnchor="page" w:tblpX="1494" w:tblpY="93"/>
        <w:tblW w:w="9208" w:type="dxa"/>
        <w:tblInd w:w="0" w:type="dxa"/>
        <w:shd w:val="clear" w:color="auto" w:fill="auto"/>
        <w:tblLayout w:type="fixed"/>
        <w:tblCellMar>
          <w:top w:w="15" w:type="dxa"/>
          <w:left w:w="15" w:type="dxa"/>
          <w:bottom w:w="15" w:type="dxa"/>
          <w:right w:w="15" w:type="dxa"/>
        </w:tblCellMar>
      </w:tblPr>
      <w:tblGrid>
        <w:gridCol w:w="866"/>
        <w:gridCol w:w="4232"/>
        <w:gridCol w:w="2040"/>
        <w:gridCol w:w="2070"/>
      </w:tblGrid>
      <w:tr w14:paraId="7A78BD0D">
        <w:tblPrEx>
          <w:shd w:val="clear" w:color="auto" w:fill="auto"/>
          <w:tblCellMar>
            <w:top w:w="15" w:type="dxa"/>
            <w:left w:w="15" w:type="dxa"/>
            <w:bottom w:w="15" w:type="dxa"/>
            <w:right w:w="15" w:type="dxa"/>
          </w:tblCellMar>
        </w:tblPrEx>
        <w:trPr>
          <w:trHeight w:val="408"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4E50">
            <w:pPr>
              <w:keepNext/>
              <w:keepLines/>
              <w:widowControl w:val="0"/>
              <w:tabs>
                <w:tab w:val="left" w:pos="-420"/>
              </w:tabs>
              <w:spacing w:before="0" w:after="0" w:line="416" w:lineRule="auto"/>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4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21ED">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区域</w:t>
            </w:r>
          </w:p>
        </w:tc>
        <w:tc>
          <w:tcPr>
            <w:tcW w:w="20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93EDFB">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能耗（kwh/年）</w:t>
            </w: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14:paraId="53A67E0F">
            <w:pPr>
              <w:keepNext/>
              <w:keepLines/>
              <w:widowControl w:val="0"/>
              <w:tabs>
                <w:tab w:val="left" w:pos="-420"/>
              </w:tabs>
              <w:spacing w:before="0" w:after="0" w:line="416" w:lineRule="auto"/>
              <w:ind w:left="661" w:hanging="241"/>
              <w:jc w:val="both"/>
              <w:outlineLvl w:val="2"/>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能耗费用（元）</w:t>
            </w:r>
          </w:p>
        </w:tc>
      </w:tr>
      <w:tr w14:paraId="6218F3FA">
        <w:tblPrEx>
          <w:shd w:val="clear" w:color="auto" w:fill="auto"/>
          <w:tblCellMar>
            <w:top w:w="15" w:type="dxa"/>
            <w:left w:w="15" w:type="dxa"/>
            <w:bottom w:w="15" w:type="dxa"/>
            <w:right w:w="15" w:type="dxa"/>
          </w:tblCellMar>
        </w:tblPrEx>
        <w:trPr>
          <w:trHeight w:val="1009" w:hRule="exact"/>
        </w:trPr>
        <w:tc>
          <w:tcPr>
            <w:tcW w:w="866" w:type="dxa"/>
            <w:tcBorders>
              <w:top w:val="single" w:color="000000" w:sz="4" w:space="0"/>
              <w:left w:val="single" w:color="000000" w:sz="4" w:space="0"/>
              <w:right w:val="single" w:color="000000" w:sz="4" w:space="0"/>
            </w:tcBorders>
            <w:shd w:val="clear" w:color="auto" w:fill="auto"/>
            <w:vAlign w:val="center"/>
          </w:tcPr>
          <w:p w14:paraId="5E734F4A">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bookmarkStart w:id="1" w:name="OLE_LINK2" w:colFirst="3" w:colLast="3"/>
            <w:r>
              <w:rPr>
                <w:rFonts w:hint="eastAsia" w:ascii="仿宋" w:hAnsi="仿宋" w:eastAsia="仿宋" w:cs="仿宋"/>
                <w:kern w:val="2"/>
                <w:sz w:val="24"/>
                <w:szCs w:val="24"/>
                <w:lang w:val="en-US" w:eastAsia="zh-CN" w:bidi="ar-SA"/>
              </w:rPr>
              <w:t>1</w:t>
            </w:r>
          </w:p>
        </w:tc>
        <w:tc>
          <w:tcPr>
            <w:tcW w:w="4232" w:type="dxa"/>
            <w:tcBorders>
              <w:top w:val="single" w:color="000000" w:sz="4" w:space="0"/>
              <w:left w:val="single" w:color="000000" w:sz="4" w:space="0"/>
              <w:bottom w:val="single" w:color="auto" w:sz="4" w:space="0"/>
              <w:right w:val="single" w:color="auto" w:sz="4" w:space="0"/>
            </w:tcBorders>
            <w:shd w:val="clear" w:color="auto" w:fill="auto"/>
            <w:vAlign w:val="center"/>
          </w:tcPr>
          <w:p w14:paraId="4C06FBF6">
            <w:pPr>
              <w:keepNext/>
              <w:keepLines/>
              <w:widowControl w:val="0"/>
              <w:tabs>
                <w:tab w:val="left" w:pos="-420"/>
              </w:tabs>
              <w:spacing w:before="0" w:after="0" w:line="416" w:lineRule="auto"/>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鸭东线定海段、临北线定海段、所有实施范围路段LED路灯</w:t>
            </w:r>
          </w:p>
        </w:tc>
        <w:tc>
          <w:tcPr>
            <w:tcW w:w="2040" w:type="dxa"/>
            <w:tcBorders>
              <w:top w:val="single" w:color="000000" w:sz="4" w:space="0"/>
              <w:left w:val="single" w:color="auto" w:sz="4" w:space="0"/>
              <w:right w:val="single" w:color="auto" w:sz="4" w:space="0"/>
            </w:tcBorders>
            <w:shd w:val="clear" w:color="auto" w:fill="auto"/>
            <w:vAlign w:val="center"/>
          </w:tcPr>
          <w:p w14:paraId="2C540F10">
            <w:pPr>
              <w:keepNext/>
              <w:keepLines/>
              <w:widowControl w:val="0"/>
              <w:tabs>
                <w:tab w:val="left" w:pos="-420"/>
              </w:tabs>
              <w:spacing w:before="0" w:after="0" w:line="416" w:lineRule="auto"/>
              <w:ind w:left="661" w:hanging="241"/>
              <w:jc w:val="both"/>
              <w:outlineLvl w:val="2"/>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3348069</w:t>
            </w:r>
          </w:p>
        </w:tc>
        <w:tc>
          <w:tcPr>
            <w:tcW w:w="2070" w:type="dxa"/>
            <w:tcBorders>
              <w:top w:val="single" w:color="000000" w:sz="4" w:space="0"/>
              <w:left w:val="single" w:color="auto" w:sz="4" w:space="0"/>
              <w:right w:val="single" w:color="000000" w:sz="4" w:space="0"/>
            </w:tcBorders>
            <w:shd w:val="clear" w:color="auto" w:fill="auto"/>
            <w:vAlign w:val="center"/>
          </w:tcPr>
          <w:p w14:paraId="0C69FA63">
            <w:pPr>
              <w:keepNext/>
              <w:keepLines/>
              <w:widowControl w:val="0"/>
              <w:tabs>
                <w:tab w:val="left" w:pos="-420"/>
              </w:tabs>
              <w:spacing w:before="0" w:after="0" w:line="416" w:lineRule="auto"/>
              <w:ind w:left="661" w:hanging="241"/>
              <w:jc w:val="both"/>
              <w:outlineLvl w:val="2"/>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2479603.16</w:t>
            </w:r>
          </w:p>
        </w:tc>
      </w:tr>
      <w:tr w14:paraId="3C3EF8F2">
        <w:tblPrEx>
          <w:shd w:val="clear" w:color="auto" w:fill="auto"/>
          <w:tblCellMar>
            <w:top w:w="15" w:type="dxa"/>
            <w:left w:w="15" w:type="dxa"/>
            <w:bottom w:w="15" w:type="dxa"/>
            <w:right w:w="15" w:type="dxa"/>
          </w:tblCellMar>
        </w:tblPrEx>
        <w:trPr>
          <w:trHeight w:val="643"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59BEA2DA">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55CA6E02">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定马线G526</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54070448">
            <w:pPr>
              <w:keepNext/>
              <w:keepLines/>
              <w:widowControl w:val="0"/>
              <w:tabs>
                <w:tab w:val="left" w:pos="-420"/>
              </w:tabs>
              <w:spacing w:before="0" w:after="0" w:line="416" w:lineRule="auto"/>
              <w:ind w:left="661" w:hanging="241"/>
              <w:jc w:val="both"/>
              <w:outlineLvl w:val="2"/>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2244109</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6B74F4EF">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1666067.52</w:t>
            </w:r>
          </w:p>
        </w:tc>
      </w:tr>
      <w:tr w14:paraId="01C9959E">
        <w:tblPrEx>
          <w:shd w:val="clear" w:color="auto" w:fill="auto"/>
          <w:tblCellMar>
            <w:top w:w="15" w:type="dxa"/>
            <w:left w:w="15" w:type="dxa"/>
            <w:bottom w:w="15" w:type="dxa"/>
            <w:right w:w="15" w:type="dxa"/>
          </w:tblCellMar>
        </w:tblPrEx>
        <w:trPr>
          <w:trHeight w:val="641"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7D319E13">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177536DA">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区管隧道</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08329B43">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1802526</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4E7D0D9E">
            <w:pPr>
              <w:keepNext/>
              <w:keepLines/>
              <w:widowControl w:val="0"/>
              <w:tabs>
                <w:tab w:val="left" w:pos="-420"/>
              </w:tabs>
              <w:spacing w:before="0" w:after="0" w:line="416" w:lineRule="auto"/>
              <w:ind w:left="661" w:hanging="241"/>
              <w:jc w:val="both"/>
              <w:outlineLvl w:val="2"/>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1574221.33</w:t>
            </w:r>
          </w:p>
        </w:tc>
      </w:tr>
      <w:tr w14:paraId="1317BC56">
        <w:tblPrEx>
          <w:shd w:val="clear" w:color="auto" w:fill="auto"/>
          <w:tblCellMar>
            <w:top w:w="15" w:type="dxa"/>
            <w:left w:w="15" w:type="dxa"/>
            <w:bottom w:w="15" w:type="dxa"/>
            <w:right w:w="15" w:type="dxa"/>
          </w:tblCellMar>
        </w:tblPrEx>
        <w:trPr>
          <w:trHeight w:val="651"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07845F2C">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40E2CFB1">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市管隧道</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37911B26">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4788433</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22AEA48A">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3617586.45</w:t>
            </w:r>
          </w:p>
        </w:tc>
      </w:tr>
      <w:bookmarkEnd w:id="1"/>
      <w:tr w14:paraId="21BE5E9C">
        <w:tblPrEx>
          <w:shd w:val="clear" w:color="auto" w:fill="auto"/>
          <w:tblCellMar>
            <w:top w:w="15" w:type="dxa"/>
            <w:left w:w="15" w:type="dxa"/>
            <w:bottom w:w="15" w:type="dxa"/>
            <w:right w:w="15" w:type="dxa"/>
          </w:tblCellMar>
        </w:tblPrEx>
        <w:trPr>
          <w:trHeight w:val="651" w:hRule="exact"/>
        </w:trPr>
        <w:tc>
          <w:tcPr>
            <w:tcW w:w="509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386CFBE9">
            <w:pPr>
              <w:keepNext/>
              <w:keepLines/>
              <w:widowControl w:val="0"/>
              <w:tabs>
                <w:tab w:val="left" w:pos="-420"/>
              </w:tabs>
              <w:spacing w:before="0" w:after="0" w:line="416" w:lineRule="auto"/>
              <w:ind w:left="661" w:hanging="241"/>
              <w:jc w:val="both"/>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77C80031">
            <w:pPr>
              <w:keepNext/>
              <w:keepLines/>
              <w:widowControl w:val="0"/>
              <w:tabs>
                <w:tab w:val="left" w:pos="-420"/>
              </w:tabs>
              <w:spacing w:before="0" w:after="0" w:line="416" w:lineRule="auto"/>
              <w:ind w:left="661" w:hanging="241"/>
              <w:jc w:val="both"/>
              <w:outlineLvl w:val="2"/>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12183137</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18A8BCD7">
            <w:pPr>
              <w:keepNext/>
              <w:keepLines/>
              <w:widowControl w:val="0"/>
              <w:tabs>
                <w:tab w:val="left" w:pos="-420"/>
              </w:tabs>
              <w:spacing w:before="0" w:after="0" w:line="416" w:lineRule="auto"/>
              <w:ind w:left="661" w:hanging="241"/>
              <w:jc w:val="both"/>
              <w:outlineLvl w:val="2"/>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9337478.46</w:t>
            </w:r>
          </w:p>
        </w:tc>
      </w:tr>
    </w:tbl>
    <w:p w14:paraId="573958A3">
      <w:pPr>
        <w:spacing w:line="360" w:lineRule="auto"/>
        <w:ind w:firstLine="420"/>
        <w:jc w:val="left"/>
        <w:rPr>
          <w:rFonts w:hint="eastAsia" w:ascii="仿宋" w:hAnsi="仿宋" w:eastAsia="仿宋" w:cs="仿宋"/>
          <w:sz w:val="24"/>
          <w:lang w:val="en-US" w:eastAsia="zh-CN"/>
        </w:rPr>
      </w:pPr>
      <w:bookmarkStart w:id="2" w:name="_Toc10195"/>
      <w:bookmarkStart w:id="3" w:name="_Toc487"/>
      <w:r>
        <w:rPr>
          <w:rFonts w:hint="eastAsia" w:ascii="仿宋" w:hAnsi="仿宋" w:eastAsia="仿宋" w:cs="仿宋"/>
          <w:sz w:val="24"/>
          <w:lang w:val="en-US" w:eastAsia="zh-CN"/>
        </w:rPr>
        <w:t>3.2本采购项目电消耗量以项目范围能耗数据为参考依据。若清单中能耗与实际不一致，以实际为准；若因日常维修造成个别或小部分光源与该区域道路的大部分光源不一致时，以大部分光源规格为准。</w:t>
      </w:r>
    </w:p>
    <w:p w14:paraId="203E357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3.3全年平均亮灯时间约4015个小时。</w:t>
      </w:r>
      <w:r>
        <w:rPr>
          <w:rFonts w:hint="eastAsia" w:ascii="仿宋" w:hAnsi="仿宋" w:eastAsia="仿宋" w:cs="仿宋"/>
          <w:sz w:val="24"/>
          <w:lang w:val="zh-CN" w:eastAsia="zh-CN"/>
        </w:rPr>
        <w:t>一年之中每天路灯亮灯时间折合成平均值约为11小时，除隧道照明常规照明灯外，本招标文件其他路灯（包括隧道的加强照明灯）的亮灯时间均以11小时进行计算，不得变更；隧道灯常规照明灯按24个小时计算。</w:t>
      </w:r>
    </w:p>
    <w:p w14:paraId="7F403CA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二、能源托管方式及目标</w:t>
      </w:r>
    </w:p>
    <w:p w14:paraId="61F7B90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（一）能源托管方式</w:t>
      </w:r>
    </w:p>
    <w:p w14:paraId="068A9F8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lang w:val="zh-CN" w:eastAsia="zh-CN"/>
        </w:rPr>
        <w:t>采购人采用能源包干的方式将能源费用托管给供应商（即：每年支付供应商合同约定金额的能源托管费），由中标供应商负责向能源供应公司支付</w:t>
      </w:r>
      <w:r>
        <w:rPr>
          <w:rFonts w:hint="eastAsia" w:ascii="仿宋" w:hAnsi="仿宋" w:eastAsia="仿宋" w:cs="仿宋"/>
          <w:sz w:val="24"/>
          <w:lang w:val="en-US" w:eastAsia="zh-CN"/>
        </w:rPr>
        <w:t>本项目</w:t>
      </w:r>
      <w:r>
        <w:rPr>
          <w:rFonts w:hint="eastAsia" w:ascii="仿宋" w:hAnsi="仿宋" w:eastAsia="仿宋" w:cs="仿宋"/>
          <w:sz w:val="24"/>
          <w:lang w:val="zh-CN" w:eastAsia="zh-CN"/>
        </w:rPr>
        <w:t>范围</w:t>
      </w:r>
      <w:r>
        <w:rPr>
          <w:rFonts w:hint="eastAsia" w:ascii="仿宋" w:hAnsi="仿宋" w:eastAsia="仿宋" w:cs="仿宋"/>
          <w:sz w:val="24"/>
          <w:lang w:val="en-US" w:eastAsia="zh-CN"/>
        </w:rPr>
        <w:t>内</w:t>
      </w:r>
      <w:r>
        <w:rPr>
          <w:rFonts w:hint="eastAsia" w:ascii="仿宋" w:hAnsi="仿宋" w:eastAsia="仿宋" w:cs="仿宋"/>
          <w:sz w:val="24"/>
          <w:lang w:val="zh-CN" w:eastAsia="zh-CN"/>
        </w:rPr>
        <w:t>的能源费用（电费）以及项目的相关</w:t>
      </w:r>
      <w:r>
        <w:rPr>
          <w:rFonts w:hint="eastAsia" w:ascii="仿宋" w:hAnsi="仿宋" w:eastAsia="仿宋" w:cs="仿宋"/>
          <w:sz w:val="24"/>
          <w:lang w:val="en-US" w:eastAsia="zh-CN"/>
        </w:rPr>
        <w:t>节能技改</w:t>
      </w:r>
      <w:r>
        <w:rPr>
          <w:rFonts w:hint="eastAsia" w:ascii="仿宋" w:hAnsi="仿宋" w:eastAsia="仿宋" w:cs="仿宋"/>
          <w:sz w:val="24"/>
          <w:lang w:val="zh-CN" w:eastAsia="zh-CN"/>
        </w:rPr>
        <w:t>投资建设</w:t>
      </w:r>
      <w:r>
        <w:rPr>
          <w:rFonts w:hint="eastAsia" w:ascii="仿宋" w:hAnsi="仿宋" w:eastAsia="仿宋" w:cs="仿宋"/>
          <w:sz w:val="24"/>
          <w:lang w:val="en-US" w:eastAsia="zh-CN"/>
        </w:rPr>
        <w:t>及运行管理</w:t>
      </w:r>
      <w:r>
        <w:rPr>
          <w:rFonts w:hint="eastAsia" w:ascii="仿宋" w:hAnsi="仿宋" w:eastAsia="仿宋" w:cs="仿宋"/>
          <w:sz w:val="24"/>
          <w:lang w:val="zh-CN" w:eastAsia="zh-CN"/>
        </w:rPr>
        <w:t>，享有</w:t>
      </w:r>
      <w:r>
        <w:rPr>
          <w:rFonts w:hint="eastAsia" w:ascii="仿宋" w:hAnsi="仿宋" w:eastAsia="仿宋" w:cs="仿宋"/>
          <w:sz w:val="24"/>
          <w:lang w:val="en-US" w:eastAsia="zh-CN"/>
        </w:rPr>
        <w:t>合同</w:t>
      </w:r>
      <w:r>
        <w:rPr>
          <w:rFonts w:hint="eastAsia" w:ascii="仿宋" w:hAnsi="仿宋" w:eastAsia="仿宋" w:cs="仿宋"/>
          <w:sz w:val="24"/>
          <w:lang w:val="zh-CN" w:eastAsia="zh-CN"/>
        </w:rPr>
        <w:t>托管期内的所有节能收益，利用节能收益向采购人提供综合能源服务。（</w:t>
      </w:r>
      <w:r>
        <w:rPr>
          <w:rFonts w:hint="eastAsia" w:ascii="仿宋" w:hAnsi="仿宋" w:eastAsia="仿宋" w:cs="仿宋"/>
          <w:sz w:val="24"/>
          <w:lang w:val="en-US" w:eastAsia="zh-CN"/>
        </w:rPr>
        <w:t>注：服务期间，采购方提交服务范围内的户号，仅作为缴纳电费使用，户号及用电设备的产权不移交</w:t>
      </w:r>
      <w:r>
        <w:rPr>
          <w:rFonts w:hint="eastAsia" w:ascii="仿宋" w:hAnsi="仿宋" w:eastAsia="仿宋" w:cs="仿宋"/>
          <w:sz w:val="24"/>
          <w:lang w:val="zh-CN" w:eastAsia="zh-CN"/>
        </w:rPr>
        <w:t>）</w:t>
      </w:r>
    </w:p>
    <w:p w14:paraId="56394AE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中标后合同签订前，建立经采购人中标供应商双方确认的本项目实施范围内的所有照明设施及用电设备数量（照明设施数量及设备数量如有变化增减，中标价不做调整）；合同签订后如采购人提出用能设备（能耗）增减，在采购人、中标供应商双方确权后，能源托管单位出具设备（能耗）增减分析报告，由采购人对超支部分进行审核确认，如双方存有异议，可委托第三方机构进行审核。合同期内，（能耗）设备额定功率增减在15kw（含）以内的合同金额不作调整；（能耗）设备额定功率增减超过15KW的，超出（或减少）部分的耗能量应以新增（减少）设备（设施）的额定功率为依据，电价以当期单价为准，计算电费作为新增（减少）设备（设施）的托管费用。</w:t>
      </w:r>
    </w:p>
    <w:p w14:paraId="23B7835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3、合同签订后采购人按合同约定支付能源托管费用。</w:t>
      </w:r>
    </w:p>
    <w:p w14:paraId="4F40869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w:t>
      </w:r>
      <w:r>
        <w:rPr>
          <w:rFonts w:hint="eastAsia" w:ascii="仿宋" w:hAnsi="仿宋" w:eastAsia="仿宋" w:cs="仿宋"/>
          <w:sz w:val="24"/>
          <w:lang w:val="zh-CN" w:eastAsia="zh-CN"/>
        </w:rPr>
        <w:t>、</w:t>
      </w:r>
      <w:r>
        <w:rPr>
          <w:rFonts w:hint="eastAsia" w:ascii="仿宋" w:hAnsi="仿宋" w:eastAsia="仿宋" w:cs="仿宋"/>
          <w:sz w:val="24"/>
          <w:lang w:val="en-US" w:eastAsia="zh-CN"/>
        </w:rPr>
        <w:t>供应商</w:t>
      </w:r>
      <w:r>
        <w:rPr>
          <w:rFonts w:hint="eastAsia" w:ascii="仿宋" w:hAnsi="仿宋" w:eastAsia="仿宋" w:cs="仿宋"/>
          <w:sz w:val="24"/>
          <w:lang w:val="zh-CN" w:eastAsia="zh-CN"/>
        </w:rPr>
        <w:t>全额投资节能改造的设备和技术，并通过能源包干的模式来回收投资。合同中另</w:t>
      </w:r>
      <w:r>
        <w:rPr>
          <w:rFonts w:hint="eastAsia" w:ascii="仿宋" w:hAnsi="仿宋" w:eastAsia="仿宋" w:cs="仿宋"/>
          <w:sz w:val="24"/>
          <w:lang w:val="en-US" w:eastAsia="zh-CN"/>
        </w:rPr>
        <w:t>行</w:t>
      </w:r>
      <w:r>
        <w:rPr>
          <w:rFonts w:hint="eastAsia" w:ascii="仿宋" w:hAnsi="仿宋" w:eastAsia="仿宋" w:cs="仿宋"/>
          <w:sz w:val="24"/>
          <w:lang w:val="zh-CN" w:eastAsia="zh-CN"/>
        </w:rPr>
        <w:t>约定的</w:t>
      </w:r>
      <w:r>
        <w:rPr>
          <w:rFonts w:hint="eastAsia" w:ascii="仿宋" w:hAnsi="仿宋" w:eastAsia="仿宋" w:cs="仿宋"/>
          <w:sz w:val="24"/>
          <w:lang w:val="en-US" w:eastAsia="zh-CN"/>
        </w:rPr>
        <w:t>按合同约定。</w:t>
      </w:r>
    </w:p>
    <w:p w14:paraId="7581054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项目托管期限届满前一个月，供应商需对所有能源系统进行全面检修，确保实施范围内用电设备设施正常运行，完好率为100%。项目托管期限届满后，供应商需将本项目的全部设施及其投资的项目资产（包括硬件、软件的永久使用权）无偿移交给采购人，项目范围内的全部设备设施的所有权归项目采购人所有。供应商还应将项目竣工资料及运行管理的所有台账资料移交给采购人归档。</w:t>
      </w:r>
    </w:p>
    <w:p w14:paraId="1F94738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6、本项目为一次性包干项目，合同期间如遇国家相关部门对能源单价做出调整，合同金额不作调整。</w:t>
      </w:r>
    </w:p>
    <w:p w14:paraId="35F28CD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（二）能源托管目标</w:t>
      </w:r>
    </w:p>
    <w:p w14:paraId="76138C2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1、通过整体改善和提升区道路路面照明质量，方便人们的生产和生活；</w:t>
      </w:r>
    </w:p>
    <w:p w14:paraId="60339B6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2、提升道路照明品质；增装路灯配电箱远程控制终端并入智慧照明管理平台，提升路灯管理智能化和精细化管理水平。</w:t>
      </w:r>
    </w:p>
    <w:p w14:paraId="7C153F3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3、确保定海区公路照明灯具在托管期内，相较于节能改造前，综合节电率达到 12 %及以上；</w:t>
      </w:r>
    </w:p>
    <w:p w14:paraId="49A4C75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三、托管服务内容及要求</w:t>
      </w:r>
    </w:p>
    <w:p w14:paraId="4FCABBC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（一）节能技术改造内容及要求</w:t>
      </w:r>
    </w:p>
    <w:p w14:paraId="2DCA09E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1、对托管范围内的道路及公共照明设施进行节能技术改造。</w:t>
      </w:r>
    </w:p>
    <w:p w14:paraId="2B7B68B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根据能源设备实际情况，寻找节能潜力，实施节能改造，降低整体能源消耗。路灯照明效果升级，对采购人所辖范围内照度不符合国家道路照明设计标准或已达到使用寿命的老旧LED路灯、隧道灯以及对托管范围内的道路及公共照明设施传统高压钠灯采用绿色环保的高光效LED光源进行升级改造。</w:t>
      </w:r>
    </w:p>
    <w:p w14:paraId="01FCBA6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1.1采用低功率LED灯替换高功率高压钠灯。所有灯具的功率替换方式：原高压钠灯250W的根据道路状况更换为120W—150W的LED灯具，隧道灯中钠灯及无极灯均更换为LED隧道灯。</w:t>
      </w:r>
    </w:p>
    <w:p w14:paraId="4D1CE44C">
      <w:pPr>
        <w:spacing w:line="360" w:lineRule="auto"/>
        <w:ind w:firstLine="420"/>
        <w:jc w:val="left"/>
        <w:rPr>
          <w:rFonts w:hint="default" w:ascii="仿宋" w:hAnsi="仿宋" w:eastAsia="仿宋" w:cs="仿宋"/>
          <w:sz w:val="24"/>
          <w:lang w:val="en-US" w:eastAsia="zh-CN"/>
        </w:rPr>
      </w:pPr>
      <w:r>
        <w:rPr>
          <w:rFonts w:hint="eastAsia" w:ascii="仿宋" w:hAnsi="仿宋" w:eastAsia="仿宋" w:cs="仿宋"/>
          <w:sz w:val="24"/>
          <w:lang w:val="en-US" w:eastAsia="zh-CN"/>
        </w:rPr>
        <w:t>1.2采用高光效LED替代低光效LED灯具。对年数比较长的LED照明灯具根据实际情况升级改造为最新的高光效LED灯具，同时选用可调光电源配以照明控制系统，以实现最优的照明及最优的用能。</w:t>
      </w:r>
    </w:p>
    <w:p w14:paraId="579BF5E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1.3合理选配专用变压器容量。对老旧的高功耗变压器进行节能改造，采用高能效的变压器，并根据改造后的用电情况选用合适的专用变压器容量或采取低压供电，减少变压器的无功损耗，降低电费支出。</w:t>
      </w:r>
    </w:p>
    <w:p w14:paraId="7D7BADC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1.4建设路灯单灯控制系统。建设单灯控制系统（路灯为主，不含隧道灯），根据经纬度，自动计算日出日落时间，按日（节季变化）动态精确调整开关灯时间，有利于发现故障点，方便及时维护。</w:t>
      </w:r>
    </w:p>
    <w:p w14:paraId="5C5F380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1.5隧道灯回路控制系统。建设回路控制系统（含路灯及隧道灯），对所有隧道进行线路改造，重新合理组合灯具线路接线方式，减少照明浪费，让照明更合理更节能，同时还能提高灯具的使用寿命。</w:t>
      </w:r>
      <w:bookmarkStart w:id="4" w:name="_Toc8437"/>
    </w:p>
    <w:p w14:paraId="026FF1D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1.6统一灯具样式及颜色</w:t>
      </w:r>
      <w:bookmarkEnd w:id="4"/>
      <w:r>
        <w:rPr>
          <w:rFonts w:hint="eastAsia" w:ascii="仿宋" w:hAnsi="仿宋" w:eastAsia="仿宋" w:cs="仿宋"/>
          <w:sz w:val="24"/>
          <w:lang w:val="en-US" w:eastAsia="zh-CN"/>
        </w:rPr>
        <w:t>。对于灯具的样式和颜色，尽量统一，以方便维修和管理。</w:t>
      </w:r>
    </w:p>
    <w:p w14:paraId="7E8FC5EC">
      <w:pPr>
        <w:spacing w:line="360" w:lineRule="auto"/>
        <w:ind w:firstLine="420"/>
        <w:jc w:val="left"/>
        <w:rPr>
          <w:rFonts w:hint="eastAsia" w:ascii="仿宋" w:hAnsi="仿宋" w:eastAsia="仿宋" w:cs="仿宋"/>
          <w:sz w:val="24"/>
          <w:lang w:val="en-US" w:eastAsia="zh-CN"/>
        </w:rPr>
      </w:pPr>
      <w:bookmarkStart w:id="5" w:name="_Toc30711"/>
      <w:r>
        <w:rPr>
          <w:rFonts w:hint="eastAsia" w:ascii="仿宋" w:hAnsi="仿宋" w:eastAsia="仿宋" w:cs="仿宋"/>
          <w:sz w:val="24"/>
          <w:lang w:val="en-US" w:eastAsia="zh-CN"/>
        </w:rPr>
        <w:t>1.7对原有故障的灯具、电缆、变压器等托管范围内的设备进行修复</w:t>
      </w:r>
      <w:bookmarkEnd w:id="5"/>
      <w:r>
        <w:rPr>
          <w:rFonts w:hint="eastAsia" w:ascii="仿宋" w:hAnsi="仿宋" w:eastAsia="仿宋" w:cs="仿宋"/>
          <w:sz w:val="24"/>
          <w:lang w:val="en-US" w:eastAsia="zh-CN"/>
        </w:rPr>
        <w:t>，确保使用正常。并根据道路实际运行情况，定期清洗灯具，以便灯具处在最佳发光状态。</w:t>
      </w:r>
    </w:p>
    <w:p w14:paraId="571B284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2、对托管范围内的道路及公共照明设施进行智能化节能改造及技术升级。</w:t>
      </w:r>
    </w:p>
    <w:p w14:paraId="526ED55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2.1负责搭建一套融合人工智能与物联网技术的数字化智慧路灯管理平台并接入定海区交通应急指挥中心，实现“资产-监控-运维”一体化管理，智慧路灯管理平台信息系统由中标方进行三级等保测评。涉及到的费用由中标单位承担。</w:t>
      </w:r>
    </w:p>
    <w:p w14:paraId="097EDAA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2.2所有实施范围内的照明设施灯具需同步增装路灯单灯监控模块，具体数量以实际为准。</w:t>
      </w:r>
    </w:p>
    <w:p w14:paraId="37CA779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2.3实施范围内所有隧道灯具要求实现远程回路控制，并接入智慧照明控制平台实现智能化管理。（包括但不限于对核心指标、能源子系统指标以及整体运行情况分析（指标管理、能源指标分析、能源生产运行报告等）。</w:t>
      </w:r>
    </w:p>
    <w:p w14:paraId="219E858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（二）运行管理内容及要求</w:t>
      </w:r>
    </w:p>
    <w:p w14:paraId="459944B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为了确保平台软、硬件安全，并予以可靠运行；便于后期路灯维护管理，确保路灯亮灯率，为市民营造良好的照明环境，中标人从合同签订生效之日起就要对项目进行运行管理。本项目合同履约期为10年，具体服务要求如下：</w:t>
      </w:r>
    </w:p>
    <w:p w14:paraId="15772C2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1、能源管理与优化。对现有照明设施的能耗进行全面评估，制定科学合理的能源管理方案，优化照明系统运行模式，降低能耗。</w:t>
      </w:r>
    </w:p>
    <w:p w14:paraId="513C986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2、承担路灯智能化节能改造集中控制器网络资费、智慧路灯管理平台运维费等相关维护工作费用。</w:t>
      </w:r>
    </w:p>
    <w:p w14:paraId="3DCF3C1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3、设备维护与升级。</w:t>
      </w:r>
    </w:p>
    <w:p w14:paraId="5C706DE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3.1负责提供实施范围内路灯灯具、灯具模组、驱动电源、单灯控制器、集中控制器等改造内容涉及的设施设备，备品备件等。</w:t>
      </w:r>
    </w:p>
    <w:p w14:paraId="05D8F00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3.2负责节能改造过的路灯在运营期内因光衰、路灯各指标检测、节能不达标等产品更换为LED路灯或路灯模组等工作。</w:t>
      </w:r>
    </w:p>
    <w:p w14:paraId="665992F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3.3</w:t>
      </w:r>
      <w:r>
        <w:rPr>
          <w:rFonts w:hint="eastAsia" w:ascii="仿宋" w:hAnsi="仿宋" w:eastAsia="仿宋" w:cs="仿宋"/>
          <w:sz w:val="24"/>
          <w:lang w:val="zh-CN" w:eastAsia="zh-CN"/>
        </w:rPr>
        <w:t>运维范围。</w:t>
      </w:r>
      <w:r>
        <w:rPr>
          <w:rFonts w:hint="eastAsia" w:ascii="仿宋" w:hAnsi="仿宋" w:eastAsia="仿宋" w:cs="仿宋"/>
          <w:sz w:val="24"/>
          <w:lang w:val="en-US" w:eastAsia="zh-CN"/>
        </w:rPr>
        <w:t>负责安装后产品质量及故障等问题处理。</w:t>
      </w:r>
      <w:r>
        <w:rPr>
          <w:rFonts w:hint="eastAsia" w:ascii="仿宋" w:hAnsi="仿宋" w:eastAsia="仿宋" w:cs="仿宋"/>
          <w:sz w:val="24"/>
          <w:lang w:val="zh-CN" w:eastAsia="zh-CN"/>
        </w:rPr>
        <w:t>运维范围从变压器开始一直延伸到灯杆顶部（隧道灯同），</w:t>
      </w:r>
      <w:r>
        <w:rPr>
          <w:rFonts w:hint="eastAsia" w:ascii="仿宋" w:hAnsi="仿宋" w:eastAsia="仿宋" w:cs="仿宋"/>
          <w:sz w:val="24"/>
          <w:lang w:val="en-US" w:eastAsia="zh-CN"/>
        </w:rPr>
        <w:t>负责</w:t>
      </w:r>
      <w:r>
        <w:rPr>
          <w:rFonts w:hint="eastAsia" w:ascii="仿宋" w:hAnsi="仿宋" w:eastAsia="仿宋" w:cs="仿宋"/>
          <w:sz w:val="24"/>
          <w:lang w:val="zh-CN" w:eastAsia="zh-CN"/>
        </w:rPr>
        <w:t>变压器、灯杆、灯具、线路的维护及损毁更换及日常维护更换等相关服务</w:t>
      </w:r>
      <w:r>
        <w:rPr>
          <w:rFonts w:hint="eastAsia" w:ascii="仿宋" w:hAnsi="仿宋" w:eastAsia="仿宋" w:cs="仿宋"/>
          <w:sz w:val="24"/>
          <w:lang w:val="en-US" w:eastAsia="zh-CN"/>
        </w:rPr>
        <w:t>。</w:t>
      </w:r>
    </w:p>
    <w:p w14:paraId="1CD1FE8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3.4能源托管期内，供应商可根据国家相关规定实行按需照明。如有道路照明质量未达到招标文件要求，供应商应需负责实施整改，满足《城市道路照明设计标准》、《公路隧道照明设计细则》规范要求。供应商按采购人原有方式亮灯。中标人有权对现有路灯进行按需照明控制管理，照度标准需满足《城市道路照明设计标准》、《公路隧道照明设计细则》规范要求。</w:t>
      </w:r>
    </w:p>
    <w:p w14:paraId="074CAF7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3.5</w:t>
      </w:r>
      <w:r>
        <w:rPr>
          <w:rFonts w:hint="eastAsia" w:ascii="仿宋" w:hAnsi="仿宋" w:eastAsia="仿宋" w:cs="仿宋"/>
          <w:sz w:val="24"/>
          <w:lang w:val="zh-CN" w:eastAsia="zh-CN"/>
        </w:rPr>
        <w:t>制定合理的日常运维制度，提升道路照明运维的响应及时率，</w:t>
      </w:r>
      <w:r>
        <w:rPr>
          <w:rFonts w:hint="eastAsia" w:ascii="仿宋" w:hAnsi="仿宋" w:eastAsia="仿宋" w:cs="仿宋"/>
          <w:sz w:val="24"/>
          <w:lang w:val="en-US" w:eastAsia="zh-CN"/>
        </w:rPr>
        <w:t>维修时间</w:t>
      </w:r>
      <w:r>
        <w:rPr>
          <w:rFonts w:hint="eastAsia" w:ascii="仿宋" w:hAnsi="仿宋" w:eastAsia="仿宋" w:cs="仿宋"/>
          <w:sz w:val="24"/>
          <w:lang w:val="zh-CN" w:eastAsia="zh-CN"/>
        </w:rPr>
        <w:t>。</w:t>
      </w:r>
      <w:r>
        <w:rPr>
          <w:rFonts w:hint="eastAsia" w:ascii="仿宋" w:hAnsi="仿宋" w:eastAsia="仿宋" w:cs="仿宋"/>
          <w:sz w:val="24"/>
          <w:lang w:val="en-US" w:eastAsia="zh-CN"/>
        </w:rPr>
        <w:t>供应商应承担托管期间所有需要维修维护的问题，如线路故障等，无论任何时间段，供应商应做到及时响应，响应时间应≤1小时；</w:t>
      </w:r>
      <w:r>
        <w:rPr>
          <w:rFonts w:hint="eastAsia" w:ascii="仿宋" w:hAnsi="仿宋" w:eastAsia="仿宋" w:cs="仿宋"/>
          <w:sz w:val="24"/>
          <w:lang w:val="zh-CN" w:eastAsia="zh-CN"/>
        </w:rPr>
        <w:t>对于普通灯具故障24小时内完成修复。</w:t>
      </w:r>
      <w:r>
        <w:rPr>
          <w:rFonts w:hint="eastAsia" w:ascii="仿宋" w:hAnsi="仿宋" w:eastAsia="仿宋" w:cs="仿宋"/>
          <w:sz w:val="24"/>
          <w:lang w:val="en-US" w:eastAsia="zh-CN"/>
        </w:rPr>
        <w:t>由维护维修所产生的所有</w:t>
      </w:r>
      <w:r>
        <w:rPr>
          <w:rFonts w:hint="eastAsia" w:ascii="仿宋" w:hAnsi="仿宋" w:eastAsia="仿宋" w:cs="仿宋"/>
          <w:sz w:val="24"/>
          <w:lang w:val="zh-CN" w:eastAsia="zh-CN"/>
        </w:rPr>
        <w:t>费用由</w:t>
      </w:r>
      <w:r>
        <w:rPr>
          <w:rFonts w:hint="eastAsia" w:ascii="仿宋" w:hAnsi="仿宋" w:eastAsia="仿宋" w:cs="仿宋"/>
          <w:sz w:val="24"/>
          <w:lang w:val="en-US" w:eastAsia="zh-CN"/>
        </w:rPr>
        <w:t>供应商</w:t>
      </w:r>
      <w:r>
        <w:rPr>
          <w:rFonts w:hint="eastAsia" w:ascii="仿宋" w:hAnsi="仿宋" w:eastAsia="仿宋" w:cs="仿宋"/>
          <w:sz w:val="24"/>
          <w:lang w:val="zh-CN" w:eastAsia="zh-CN"/>
        </w:rPr>
        <w:t>承担。</w:t>
      </w:r>
    </w:p>
    <w:p w14:paraId="2C6BAEE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4、负责及时</w:t>
      </w:r>
      <w:r>
        <w:rPr>
          <w:rFonts w:hint="eastAsia" w:ascii="仿宋" w:hAnsi="仿宋" w:eastAsia="仿宋" w:cs="仿宋"/>
          <w:sz w:val="24"/>
          <w:lang w:val="zh-CN" w:eastAsia="zh-CN"/>
        </w:rPr>
        <w:t>向能源供应公司</w:t>
      </w:r>
      <w:r>
        <w:rPr>
          <w:rFonts w:hint="eastAsia" w:ascii="仿宋" w:hAnsi="仿宋" w:eastAsia="仿宋" w:cs="仿宋"/>
          <w:sz w:val="24"/>
          <w:lang w:val="en-US" w:eastAsia="zh-CN"/>
        </w:rPr>
        <w:t>支付项目范围内</w:t>
      </w:r>
      <w:r>
        <w:rPr>
          <w:rFonts w:hint="eastAsia" w:ascii="仿宋" w:hAnsi="仿宋" w:eastAsia="仿宋" w:cs="仿宋"/>
          <w:sz w:val="24"/>
          <w:lang w:val="zh-CN" w:eastAsia="zh-CN"/>
        </w:rPr>
        <w:t>道路及公共照明设施</w:t>
      </w:r>
      <w:r>
        <w:rPr>
          <w:rFonts w:hint="eastAsia" w:ascii="仿宋" w:hAnsi="仿宋" w:eastAsia="仿宋" w:cs="仿宋"/>
          <w:sz w:val="24"/>
          <w:lang w:val="en-US" w:eastAsia="zh-CN"/>
        </w:rPr>
        <w:t>的</w:t>
      </w:r>
      <w:r>
        <w:rPr>
          <w:rFonts w:hint="eastAsia" w:ascii="仿宋" w:hAnsi="仿宋" w:eastAsia="仿宋" w:cs="仿宋"/>
          <w:sz w:val="24"/>
          <w:lang w:val="zh-CN" w:eastAsia="zh-CN"/>
        </w:rPr>
        <w:t>能源费用，保障</w:t>
      </w:r>
      <w:r>
        <w:rPr>
          <w:rFonts w:hint="eastAsia" w:ascii="仿宋" w:hAnsi="仿宋" w:eastAsia="仿宋" w:cs="仿宋"/>
          <w:sz w:val="24"/>
          <w:lang w:val="en-US" w:eastAsia="zh-CN"/>
        </w:rPr>
        <w:t>采购人</w:t>
      </w:r>
      <w:r>
        <w:rPr>
          <w:rFonts w:hint="eastAsia" w:ascii="仿宋" w:hAnsi="仿宋" w:eastAsia="仿宋" w:cs="仿宋"/>
          <w:sz w:val="24"/>
          <w:lang w:val="zh-CN" w:eastAsia="zh-CN"/>
        </w:rPr>
        <w:t>能源日常使用</w:t>
      </w:r>
      <w:r>
        <w:rPr>
          <w:rFonts w:hint="eastAsia" w:ascii="仿宋" w:hAnsi="仿宋" w:eastAsia="仿宋" w:cs="仿宋"/>
          <w:sz w:val="24"/>
          <w:lang w:val="en-US" w:eastAsia="zh-CN"/>
        </w:rPr>
        <w:t>要求</w:t>
      </w:r>
      <w:r>
        <w:rPr>
          <w:rFonts w:hint="eastAsia" w:ascii="仿宋" w:hAnsi="仿宋" w:eastAsia="仿宋" w:cs="仿宋"/>
          <w:sz w:val="24"/>
          <w:lang w:val="zh-CN" w:eastAsia="zh-CN"/>
        </w:rPr>
        <w:t>。</w:t>
      </w:r>
    </w:p>
    <w:p w14:paraId="2A170BBE">
      <w:pPr>
        <w:spacing w:line="360" w:lineRule="auto"/>
        <w:ind w:firstLine="420"/>
        <w:jc w:val="left"/>
        <w:rPr>
          <w:rFonts w:hint="eastAsia" w:ascii="仿宋" w:hAnsi="仿宋" w:eastAsia="仿宋" w:cs="仿宋"/>
          <w:sz w:val="24"/>
          <w:lang w:val="zh-CN" w:eastAsia="zh-CN"/>
        </w:rPr>
      </w:pPr>
      <w:r>
        <w:rPr>
          <w:rFonts w:hint="eastAsia" w:ascii="仿宋" w:hAnsi="仿宋" w:eastAsia="仿宋" w:cs="仿宋"/>
          <w:sz w:val="24"/>
          <w:lang w:val="en-US" w:eastAsia="zh-CN"/>
        </w:rPr>
        <w:t>5、设备</w:t>
      </w:r>
      <w:r>
        <w:rPr>
          <w:rFonts w:hint="eastAsia" w:ascii="仿宋" w:hAnsi="仿宋" w:eastAsia="仿宋" w:cs="仿宋"/>
          <w:sz w:val="24"/>
          <w:lang w:val="zh-CN" w:eastAsia="zh-CN"/>
        </w:rPr>
        <w:t>维护台账。结合服务情况，做好路灯维护台账，相关资料定期存档，便于相关设备维修更换需要提前备货。</w:t>
      </w:r>
    </w:p>
    <w:p w14:paraId="5F2BA67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lang w:val="zh-CN" w:eastAsia="zh-CN"/>
        </w:rPr>
        <w:t>、</w:t>
      </w:r>
      <w:r>
        <w:rPr>
          <w:rFonts w:hint="eastAsia" w:ascii="仿宋" w:hAnsi="仿宋" w:eastAsia="仿宋" w:cs="仿宋"/>
          <w:sz w:val="24"/>
          <w:lang w:val="en-US" w:eastAsia="zh-CN"/>
        </w:rPr>
        <w:t>能耗监测与分析。建立完善的能耗监测体系，实时监测照明设施的能耗数据，定期进行能耗分析。按季出具“能源系统运行报告”，具体内容包括：当季用能情况分析、能源利用能力分析、运维情况分析等。形成道路公共照明能耗管理、质量监测和评价体系，同时总结运行规律，制定运行调度方案，适时调整系统运行。</w:t>
      </w:r>
    </w:p>
    <w:p w14:paraId="7773441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7、建立应急预案。供应商应建立完善的应急响应机制，对可能出现的突发情况（如交通事故、台风等恶劣天气影响）造成的对托管范围内照明设施的损毁或停电等其他情况，中标人应及时响应并妥善处理。</w:t>
      </w:r>
    </w:p>
    <w:p w14:paraId="7DEE830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8</w:t>
      </w:r>
      <w:r>
        <w:rPr>
          <w:rFonts w:hint="eastAsia" w:ascii="仿宋" w:hAnsi="仿宋" w:eastAsia="仿宋" w:cs="仿宋"/>
          <w:sz w:val="24"/>
          <w:lang w:val="zh-CN" w:eastAsia="zh-CN"/>
        </w:rPr>
        <w:t>、</w:t>
      </w:r>
      <w:r>
        <w:rPr>
          <w:rFonts w:hint="eastAsia" w:ascii="仿宋" w:hAnsi="仿宋" w:eastAsia="仿宋" w:cs="仿宋"/>
          <w:sz w:val="24"/>
          <w:lang w:val="en-US" w:eastAsia="zh-CN"/>
        </w:rPr>
        <w:t>监督和管理。</w:t>
      </w:r>
      <w:r>
        <w:rPr>
          <w:rFonts w:hint="eastAsia" w:ascii="仿宋" w:hAnsi="仿宋" w:eastAsia="仿宋" w:cs="仿宋"/>
          <w:sz w:val="24"/>
          <w:lang w:val="zh-CN" w:eastAsia="zh-CN"/>
        </w:rPr>
        <w:t>运营期内，采购人有权对节能改造路灯亮灯率及照明质量、系统平台、日常维护进行监管。</w:t>
      </w:r>
      <w:r>
        <w:rPr>
          <w:rFonts w:hint="eastAsia" w:ascii="仿宋" w:hAnsi="仿宋" w:eastAsia="仿宋" w:cs="仿宋"/>
          <w:sz w:val="24"/>
          <w:lang w:val="en-US" w:eastAsia="zh-CN"/>
        </w:rPr>
        <w:t>供应商因定期向采购人提供服务进展情况报告，包括能耗数据、节能措施实施情况、设备维护等内容，接受采购人的监督和管理。托管期间，采购人对供应商的服务进行考核，考核标准见附件2。</w:t>
      </w:r>
    </w:p>
    <w:p w14:paraId="26332058">
      <w:pPr>
        <w:spacing w:line="360" w:lineRule="auto"/>
        <w:ind w:firstLine="420"/>
        <w:jc w:val="left"/>
        <w:rPr>
          <w:rFonts w:hint="eastAsia" w:ascii="仿宋" w:hAnsi="仿宋" w:eastAsia="仿宋" w:cs="仿宋"/>
          <w:sz w:val="24"/>
          <w:lang w:val="zh-CN" w:eastAsia="zh-CN"/>
        </w:rPr>
      </w:pPr>
      <w:r>
        <w:rPr>
          <w:rFonts w:hint="eastAsia" w:ascii="仿宋" w:hAnsi="仿宋" w:eastAsia="仿宋" w:cs="仿宋"/>
          <w:sz w:val="24"/>
          <w:lang w:val="en-US" w:eastAsia="zh-CN"/>
        </w:rPr>
        <w:t>9</w:t>
      </w:r>
      <w:r>
        <w:rPr>
          <w:rFonts w:hint="eastAsia" w:ascii="仿宋" w:hAnsi="仿宋" w:eastAsia="仿宋" w:cs="仿宋"/>
          <w:sz w:val="24"/>
          <w:lang w:val="zh-CN" w:eastAsia="zh-CN"/>
        </w:rPr>
        <w:t>、托管期内所有改造内容需经采购人同意。</w:t>
      </w:r>
    </w:p>
    <w:p w14:paraId="7532FAD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10、供应商在服务过程中应严格遵守采购人的管理制度和安全规定，确保人员和设备的安全。</w:t>
      </w:r>
    </w:p>
    <w:p w14:paraId="22C30BF1">
      <w:pPr>
        <w:spacing w:line="360" w:lineRule="auto"/>
        <w:ind w:firstLine="420"/>
        <w:jc w:val="left"/>
        <w:rPr>
          <w:rFonts w:hint="eastAsia" w:ascii="仿宋" w:hAnsi="仿宋" w:eastAsia="仿宋" w:cs="仿宋"/>
          <w:sz w:val="24"/>
          <w:lang w:val="zh-CN" w:eastAsia="zh-CN"/>
        </w:rPr>
      </w:pPr>
      <w:r>
        <w:rPr>
          <w:rFonts w:hint="eastAsia" w:ascii="仿宋" w:hAnsi="仿宋" w:eastAsia="仿宋" w:cs="仿宋"/>
          <w:sz w:val="24"/>
          <w:lang w:val="en-US" w:eastAsia="zh-CN"/>
        </w:rPr>
        <w:t>11、</w:t>
      </w:r>
      <w:r>
        <w:rPr>
          <w:rFonts w:hint="eastAsia" w:ascii="仿宋" w:hAnsi="仿宋" w:eastAsia="仿宋" w:cs="仿宋"/>
          <w:sz w:val="24"/>
          <w:lang w:val="zh-CN" w:eastAsia="zh-CN"/>
        </w:rPr>
        <w:t>项目范围内为确</w:t>
      </w:r>
      <w:r>
        <w:rPr>
          <w:rFonts w:hint="eastAsia" w:ascii="仿宋" w:hAnsi="仿宋" w:eastAsia="仿宋" w:cs="仿宋"/>
          <w:sz w:val="24"/>
          <w:lang w:val="en-US" w:eastAsia="zh-CN"/>
        </w:rPr>
        <w:t>保</w:t>
      </w:r>
      <w:r>
        <w:rPr>
          <w:rFonts w:hint="eastAsia" w:ascii="仿宋" w:hAnsi="仿宋" w:eastAsia="仿宋" w:cs="仿宋"/>
          <w:sz w:val="24"/>
          <w:lang w:val="zh-CN" w:eastAsia="zh-CN"/>
        </w:rPr>
        <w:t>道路及公共照明设施正常运行而进行的其他合同内的作业。</w:t>
      </w:r>
    </w:p>
    <w:p w14:paraId="62D2A0B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（三）其它</w:t>
      </w:r>
    </w:p>
    <w:p w14:paraId="7EFEB59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1、后续新增用能设施功率增量部分，以及建设中未移交的道路设备，在政策允许范围内一并列入本合同托管范围内并在合同期内进行运行管理，供应商不得推诿，相关费用按本招标文件相关约定</w:t>
      </w:r>
      <w:bookmarkEnd w:id="2"/>
      <w:bookmarkEnd w:id="3"/>
      <w:r>
        <w:rPr>
          <w:rFonts w:hint="eastAsia" w:ascii="仿宋" w:hAnsi="仿宋" w:eastAsia="仿宋" w:cs="仿宋"/>
          <w:sz w:val="24"/>
          <w:lang w:val="en-US" w:eastAsia="zh-CN"/>
        </w:rPr>
        <w:t>。</w:t>
      </w:r>
    </w:p>
    <w:p w14:paraId="512CBF7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 2、在本项目招标范围中，包括舟山北向疏港公路新小展岭隧道、旧小展岭隧道、新摩鼻岭隧道、旧摩鼻岭隧道的照明设施的运行管理，但由于该区域照明设施在2026年6月21日前无法移交，故中标供应商在该区域照明设施移交前无需进行相关的维保工作，但需按项目要求交纳相应的能耗费用，并在该区域照明设施移交后对其按项目招标要求进行节能技术改造。</w:t>
      </w:r>
    </w:p>
    <w:p w14:paraId="6640CA7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四、节能改造技术要求及标准</w:t>
      </w:r>
    </w:p>
    <w:p w14:paraId="48A57E0B">
      <w:pPr>
        <w:spacing w:line="360" w:lineRule="auto"/>
        <w:ind w:firstLine="420"/>
        <w:jc w:val="left"/>
        <w:rPr>
          <w:rFonts w:hint="eastAsia" w:ascii="仿宋" w:hAnsi="仿宋" w:eastAsia="仿宋" w:cs="仿宋"/>
          <w:sz w:val="24"/>
          <w:lang w:val="en-US" w:eastAsia="zh-CN"/>
        </w:rPr>
      </w:pPr>
      <w:bookmarkStart w:id="6" w:name="_Toc12689"/>
      <w:bookmarkStart w:id="7" w:name="_Toc29102"/>
      <w:r>
        <w:rPr>
          <w:rFonts w:hint="eastAsia" w:ascii="仿宋" w:hAnsi="仿宋" w:eastAsia="仿宋" w:cs="仿宋"/>
          <w:sz w:val="24"/>
          <w:lang w:val="en-US" w:eastAsia="zh-CN"/>
        </w:rPr>
        <w:t>（一）灯具的技术特点及功能要求</w:t>
      </w:r>
      <w:bookmarkEnd w:id="6"/>
      <w:bookmarkEnd w:id="7"/>
    </w:p>
    <w:p w14:paraId="170A027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1、灯具结构特点</w:t>
      </w:r>
    </w:p>
    <w:p w14:paraId="5818FFB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1.1灯具要求模块化设计，方便操作，灯体结构不能采用塑料。金属灯壳采用喷户外塑粉工艺或者为户外阳极氧化工艺作为防护；抗紫外线辐射，喷涂件表面色泽应均匀一致，涂膜光滑，厚度均匀，无流挂、堆积、露底、皱纹等影响外观的缺陷。</w:t>
      </w:r>
    </w:p>
    <w:p w14:paraId="3C3CE44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1.2模组为保持良好的可替换性，整体结构需满足《GB/T 34846-2017LED照明应用与接口要求非集成式模块的道路灯具》； </w:t>
      </w:r>
    </w:p>
    <w:p w14:paraId="39B2D6C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1.3模块采用透镜进行二次配光，透光率＞90%，对于同一模块提供不少于3种不同的配光选择。</w:t>
      </w:r>
    </w:p>
    <w:p w14:paraId="53CA05E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1.4合同期内光通维持率大于等于设定值光通量的70%</w:t>
      </w:r>
    </w:p>
    <w:p w14:paraId="67EDA6A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1.5灯具：光源芯片采用相当或不低于科锐、日亚、亮锐、欧司朗同等档次产品；</w:t>
      </w:r>
    </w:p>
    <w:p w14:paraId="6788CD7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1.6外观专利：对所提供的路灯灯头技术和服务等拥有合法的占有和处置权，确保日后无专利纠纷。</w:t>
      </w:r>
    </w:p>
    <w:p w14:paraId="458C1C0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1.7抗风措施：符合抗风要求。</w:t>
      </w:r>
    </w:p>
    <w:p w14:paraId="012C91D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2、基本性能要求</w:t>
      </w:r>
    </w:p>
    <w:p w14:paraId="1F863B0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2.1▲防护等级：整灯防水≥IP66</w:t>
      </w:r>
    </w:p>
    <w:p w14:paraId="3875961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2.2工作环境：温度：－40℃～＋45℃，湿度：小于95%</w:t>
      </w:r>
    </w:p>
    <w:p w14:paraId="6AB8546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2.3防触电保护等级：Ⅰ类</w:t>
      </w:r>
    </w:p>
    <w:p w14:paraId="00303B2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2.4工作电压：AC176～277V</w:t>
      </w:r>
    </w:p>
    <w:p w14:paraId="0DC7273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2.5▲显色指数：Ra＞70</w:t>
      </w:r>
    </w:p>
    <w:p w14:paraId="22F50A2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2.6整灯光效：≥160 lm/W</w:t>
      </w:r>
    </w:p>
    <w:p w14:paraId="4F66E4F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2.7▲色温：3000±200k </w:t>
      </w:r>
    </w:p>
    <w:p w14:paraId="4312B9F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2.8安装方式：侧装式，灯头与灯杆接口以原有灯杆直径为准。</w:t>
      </w:r>
    </w:p>
    <w:p w14:paraId="4666C88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投标人必须在投标文件中明确所投LED灯具的品牌、制造商和技术参数，对以上“▲”条款须提供国家权威检测机构出具的相关检测报告。</w:t>
      </w:r>
    </w:p>
    <w:p w14:paraId="22B90F4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（二）智能控制系统的技术特点及功能要求</w:t>
      </w:r>
    </w:p>
    <w:p w14:paraId="3403F9D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1、单灯4G通信设备功能及参数要求</w:t>
      </w:r>
    </w:p>
    <w:p w14:paraId="73305C5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1.1通信方式采用CAT-1低速4G通信模式，控制器能与软件平台进行双向通信；</w:t>
      </w:r>
    </w:p>
    <w:p w14:paraId="5E409FA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1.2控制中心通信中断时，能自主独立运行，按设定的计划（含开关灯和调光等控制策略）自主开关灯的功能；</w:t>
      </w:r>
    </w:p>
    <w:p w14:paraId="2D96DF6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1.3▲具备1路0-10V/PWM调光方式远程切换功能，能根据控制中心发送的调光命令对LED灯具进行无级调光控制。支持正反向调光逻辑；</w:t>
      </w:r>
    </w:p>
    <w:p w14:paraId="3F98778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1.4支持电压、电流、频率、有功功率、无功功率、视在功率、功率因数、漏电流、开关状态、信号强度、亮灯总时长、总能耗等灯具及控制器运行数据的实时监测、采集和上报，可远程监测灯具状态；</w:t>
      </w:r>
    </w:p>
    <w:p w14:paraId="4976E11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1.5具有支持补偿电容故障、灯具故障、电源故障、欠流、过流、欠压、过压、漏电流越限、路灯异常开关灯等故障检测功能；</w:t>
      </w:r>
    </w:p>
    <w:p w14:paraId="0908EB9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1.6具有对路灯异常开关灯、电压/电流超限、灯具故障、电容故障、漏电流故障、终端温度故障等故障信息主动上报的功能；</w:t>
      </w:r>
    </w:p>
    <w:p w14:paraId="349660C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1.7具备掉电保护功能，断电后重新恢复，所有参数（包括基本、通信、工作等参数）和数据信息不丢失；</w:t>
      </w:r>
    </w:p>
    <w:p w14:paraId="4701684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1.8具备自动记录灯具亮灯时长、故障时长和能耗累计的功能;</w:t>
      </w:r>
    </w:p>
    <w:p w14:paraId="624C1C9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1.9▲控制器内部出现供电故障的情况下，调光输出处于高阻状态，不会影响灯具的满功率输出。具有独立性，开关控制处在继电器常闭触点，终端自身故障不影响正常亮灯；</w:t>
      </w:r>
    </w:p>
    <w:p w14:paraId="355FC20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1.10具备连接备用服务器功能，具备IP地址和端口的本地设置功能，支持域名； </w:t>
      </w:r>
    </w:p>
    <w:p w14:paraId="23D228F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1.11支持对电能、亮灯时长、灯具故障时长的数据累计及清零；</w:t>
      </w:r>
    </w:p>
    <w:p w14:paraId="3879CF3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1.12▲具有漏电流检测功能，200mA量程，误差不超过±0.5%，接触电流＜0.75mA；</w:t>
      </w:r>
    </w:p>
    <w:p w14:paraId="52AAB55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工作温度：-40℃~85℃；</w:t>
      </w:r>
    </w:p>
    <w:p w14:paraId="63BB47D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1.14▲防护等级不低于IP68</w:t>
      </w:r>
    </w:p>
    <w:p w14:paraId="7DA81DA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对以上“▲”条款需提供国家认可的CMA和CNAS标识的第三方检验报告复印件。</w:t>
      </w:r>
    </w:p>
    <w:p w14:paraId="7A62A22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2、集中控制器</w:t>
      </w:r>
    </w:p>
    <w:p w14:paraId="56BF38C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2.1具备液晶显示，按键操作，方便现场人员手动操作；</w:t>
      </w:r>
    </w:p>
    <w:p w14:paraId="382CD34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2.2基于高性能32位工业级ARM9作为微控制器；  </w:t>
      </w:r>
    </w:p>
    <w:p w14:paraId="588EA03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2.3具有 10/100M 以太网接口、RS485 接口、USB 接口；</w:t>
      </w:r>
    </w:p>
    <w:p w14:paraId="55B3EE4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2.4支持以太网、4G全网通讯方式；  </w:t>
      </w:r>
    </w:p>
    <w:p w14:paraId="28E3455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2.5支持远程和本地程序升级； </w:t>
      </w:r>
    </w:p>
    <w:p w14:paraId="1C535B8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2.6▲具备漏电检测功能；</w:t>
      </w:r>
    </w:p>
    <w:p w14:paraId="176C63C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2.7具备配电箱状态故障报警功能； </w:t>
      </w:r>
    </w:p>
    <w:p w14:paraId="2AFFF7E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2.8具备自主运行功能； </w:t>
      </w:r>
    </w:p>
    <w:p w14:paraId="74FBC01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2.9集中控制器应在2000V,50Hz环境下，一分钟内应无击穿飞弧现象 ；</w:t>
      </w:r>
    </w:p>
    <w:p w14:paraId="3D13867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2.10集中控制器应在输入2倍额定电流或1.2倍额定电压时，应能正常工作；</w:t>
      </w:r>
    </w:p>
    <w:p w14:paraId="0A08C52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2.11▲防护等级不低于IP54；</w:t>
      </w:r>
    </w:p>
    <w:p w14:paraId="24886F4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2.12适用范围公共照明，远程配电箱线控开关控制，远程灯具开关；</w:t>
      </w:r>
    </w:p>
    <w:p w14:paraId="372637A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对以上“▲”条款需提供国家认可的CMA和CNAS标识的第三方检验报告复印件。</w:t>
      </w:r>
    </w:p>
    <w:p w14:paraId="2EAE97A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3、系统软件平台</w:t>
      </w:r>
    </w:p>
    <w:p w14:paraId="35449AF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系统应具备智能感知、实时监控、数据增值、数据分析等物联网核心功能，应具备强大的用户组态功能和海量设备接入及大数据计算能力; 通过简单的配置，就可以实现个性化应用，简化日常管理工作；具备设备状态监控功能，及完整的设备信息管理功能，为日常运维工作及设备生命周期管理提供可靠便捷的支持服务；具备高效的工单管理功能，支持自动生成工单，手动录入工单以及工单的流程管理；拥有实时文本、实时表格、实时曲线、仪表盘、图表等行业监控图形单元；提供完备的API接口，用于与设备端管理系统进行对接交互。</w:t>
      </w:r>
    </w:p>
    <w:p w14:paraId="1303BDA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平台硬件搭设：系统涉及的现场硬件产品经过规模应用实践验证，具有极高的可靠性，特别是抗高温环境和恶劣电磁环境具有异常突出的表现。系统建成后，为保证数据传输的安全性，平台对数据在传输过程中采用加解密的技术。同时，中心服务器软件具有防数据误删除机制和完善的数据备份、容错措施。</w:t>
      </w:r>
    </w:p>
    <w:p w14:paraId="59A9A74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软件架构合理化：系统架构采用模块化，多层级设计，考虑后续智慧平台的发展，可以将整个市、整个省、整个国家的照明系统纳入统一的监控平台。监控平台随着业务需求的变化和扩展，通过部署，使得扩展升级均非常方便且不必改变现有设备的状态。系统总体的规划能支持多种设备的接入及不同的操作系统环境，允许未来改变操作系统和硬件环境。本设计未涉及安全的部分采用开放协议标准，使得不同的厂商生产的设备可以实现兼容；同时在通信接口方面，均按通用的规范和标准进行设计，从根本上保证了系统良好的可扩展性。</w:t>
      </w:r>
    </w:p>
    <w:p w14:paraId="74E9C86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服务器及网络架构设计：智慧城市道路照明大数据系统依据海量设备接入，大数据计算，具备高扩展性和高安全性原则，使用互联网及物联网业内最先进并且可靠的技术，搭建高可用的大数据系统。</w:t>
      </w:r>
    </w:p>
    <w:p w14:paraId="6E2C0C7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服务器及网络架构采用应用服务与数据服务分离的方式，前端WEB服务可采用负载平衡方式扩展，数据服务和应用服务可采用服务器集群扩展，IOT接入服务可采用水平复制方式扩展；终端采用专网与平台服务通信，保证数据传输安全；内网与外网分别部署应用服务器，并对操作访问权限做精细化控制，保证数据访问安全。</w:t>
      </w:r>
    </w:p>
    <w:p w14:paraId="1347306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3.1具备用户名和密码进行校验，可识别非法登陆，并给出提示。</w:t>
      </w:r>
    </w:p>
    <w:p w14:paraId="0502798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3.2平台应支持2D/3D地图、卫星地图、百度地图切换，切换地图模式，模式包括网页版地图、离线地图、海量地图模式，对地图进行拖动、漫游、缩放、测距。</w:t>
      </w:r>
    </w:p>
    <w:p w14:paraId="31B928B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3.3系统项终端发送命令，反馈时间应不大于15秒。</w:t>
      </w:r>
    </w:p>
    <w:p w14:paraId="4F69E2A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3.4具备大于100万台配电箱，150万只灯杆，350万个灯具的信息储存量。</w:t>
      </w:r>
    </w:p>
    <w:p w14:paraId="1D58FDB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3.5具备展示控制柜列表，包括名称、UID、集中器连接状态、回路最后一次的开关时间、内置电表三相电参数、外置电表三相电参数、集中器版本、备注等信息。</w:t>
      </w:r>
    </w:p>
    <w:p w14:paraId="04C2A46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3.6支持不少于可支持2G/3G/4G/CDMA、Ethernet、RS485、USB、电力载波（PLC）、433、 Zigbee、915MHz、lora等多种通信方式。</w:t>
      </w:r>
    </w:p>
    <w:p w14:paraId="66064B0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3.7系统应能设置光照阈值。可选择时控、光控、经纬度、时控+光控、经纬度+光控等控制方式。</w:t>
      </w:r>
    </w:p>
    <w:p w14:paraId="2DE3105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3.8告警类型包括但不限于意外亮灯，意外灭灯，灯具故障，电源故障，欠压，过压，过流，控制柜缺相，灯杆漏电，灯杆倾斜，节点丢失，补偿电容故障，塑壳断路器故障，漏电保护器故障，交流接触器故障等。</w:t>
      </w:r>
    </w:p>
    <w:p w14:paraId="0878640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3.9系统应具备告警统计分析，可统计告警数据，展示历史状态、数据、警情。</w:t>
      </w:r>
    </w:p>
    <w:p w14:paraId="748A4AD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3.10具备弹图像、声光报警、语音、短信、APP推送等多种告警提示。</w:t>
      </w:r>
    </w:p>
    <w:p w14:paraId="02042B1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3.11具备统计亮灯率、设备数量、开灯时长，并通过图形进行展示。</w:t>
      </w:r>
    </w:p>
    <w:p w14:paraId="1A9995A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（三）技术标准</w:t>
      </w:r>
    </w:p>
    <w:p w14:paraId="3376D35B">
      <w:pPr>
        <w:spacing w:line="360" w:lineRule="auto"/>
        <w:ind w:firstLine="420"/>
        <w:jc w:val="left"/>
        <w:rPr>
          <w:rFonts w:hint="eastAsia" w:ascii="仿宋" w:hAnsi="仿宋" w:eastAsia="仿宋" w:cs="仿宋"/>
          <w:sz w:val="24"/>
          <w:lang w:val="en-US" w:eastAsia="zh-CN"/>
        </w:rPr>
      </w:pPr>
      <w:bookmarkStart w:id="8" w:name="_Toc9973"/>
      <w:bookmarkStart w:id="9" w:name="_Toc22107"/>
      <w:r>
        <w:rPr>
          <w:rFonts w:hint="eastAsia" w:ascii="仿宋" w:hAnsi="仿宋" w:eastAsia="仿宋" w:cs="仿宋"/>
          <w:sz w:val="24"/>
          <w:lang w:val="en-US" w:eastAsia="zh-CN"/>
        </w:rPr>
        <w:t>1、规范与标准</w:t>
      </w:r>
    </w:p>
    <w:p w14:paraId="44D7B54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1.1道路照明指标在合同期内必须满足《城市道路照明设计标准》（CJJ45-2015）、《公路隧道照明设计细则》。</w:t>
      </w:r>
    </w:p>
    <w:p w14:paraId="205F0B2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1.2路灯安装型式选择LED路灯灯具仰角宜采用可调式，应与原灯具安装方式相匹配。</w:t>
      </w:r>
    </w:p>
    <w:p w14:paraId="60E9630C">
      <w:pPr>
        <w:spacing w:line="360" w:lineRule="auto"/>
        <w:ind w:firstLine="420"/>
        <w:jc w:val="left"/>
        <w:rPr>
          <w:rFonts w:hint="eastAsia" w:ascii="仿宋" w:hAnsi="仿宋" w:eastAsia="仿宋" w:cs="仿宋"/>
          <w:sz w:val="24"/>
          <w:lang w:val="en-US" w:eastAsia="zh-CN"/>
        </w:rPr>
      </w:pPr>
      <w:bookmarkStart w:id="10" w:name="_Toc23200"/>
      <w:bookmarkStart w:id="11" w:name="_Toc24393"/>
      <w:r>
        <w:rPr>
          <w:rFonts w:hint="eastAsia" w:ascii="仿宋" w:hAnsi="仿宋" w:eastAsia="仿宋" w:cs="仿宋"/>
          <w:sz w:val="24"/>
          <w:lang w:val="en-US" w:eastAsia="zh-CN"/>
        </w:rPr>
        <w:t>1.3所投灯具具有中国质量认证中心颁发的CQC产品认证证书。</w:t>
      </w:r>
    </w:p>
    <w:p w14:paraId="425BDB4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1.4所投单灯通信设备具有中国质量认证中心颁发的CQC产品认证证书。</w:t>
      </w:r>
    </w:p>
    <w:p w14:paraId="5F0B4F8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1.5所投集中控制器具有中国质量认证中心颁发的CQC产品认证证书。</w:t>
      </w:r>
    </w:p>
    <w:p w14:paraId="073E8E0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2、城市道路照明标准值</w:t>
      </w:r>
      <w:bookmarkEnd w:id="10"/>
      <w:bookmarkEnd w:id="11"/>
    </w:p>
    <w:p w14:paraId="63FCA3BE">
      <w:pPr>
        <w:spacing w:line="360" w:lineRule="auto"/>
        <w:ind w:firstLine="420"/>
        <w:jc w:val="left"/>
        <w:rPr>
          <w:rFonts w:hint="eastAsia" w:ascii="仿宋" w:hAnsi="仿宋" w:eastAsia="仿宋" w:cs="仿宋"/>
          <w:sz w:val="24"/>
          <w:lang w:val="en-US" w:eastAsia="zh-CN"/>
        </w:rPr>
      </w:pPr>
      <w:bookmarkStart w:id="12" w:name="_Toc32574"/>
      <w:r>
        <w:rPr>
          <w:rFonts w:hint="eastAsia" w:ascii="仿宋" w:hAnsi="仿宋" w:eastAsia="仿宋" w:cs="仿宋"/>
          <w:sz w:val="24"/>
          <w:lang w:val="en-US" w:eastAsia="zh-CN"/>
        </w:rPr>
        <w:t>照明设计参数要求本项目根据各条道路的使用功能、等级、车道宽度、树木遮光情况等分别确定道路照明方案；城市（公路）道路照明值标准详见下表 。</w:t>
      </w:r>
    </w:p>
    <w:p w14:paraId="0B3A6AFB">
      <w:pPr>
        <w:spacing w:line="360" w:lineRule="auto"/>
        <w:ind w:firstLine="420"/>
        <w:jc w:val="left"/>
        <w:rPr>
          <w:rFonts w:hint="eastAsia" w:ascii="仿宋" w:hAnsi="仿宋" w:eastAsia="仿宋" w:cs="仿宋"/>
          <w:sz w:val="24"/>
          <w:lang w:val="en-US" w:eastAsia="zh-CN"/>
        </w:rPr>
      </w:pPr>
    </w:p>
    <w:p w14:paraId="711A5996">
      <w:pPr>
        <w:spacing w:line="360" w:lineRule="auto"/>
        <w:ind w:firstLine="420"/>
        <w:jc w:val="left"/>
        <w:rPr>
          <w:rFonts w:hint="eastAsia" w:ascii="仿宋" w:hAnsi="仿宋" w:eastAsia="仿宋" w:cs="仿宋"/>
          <w:sz w:val="24"/>
          <w:lang w:val="en-US" w:eastAsia="zh-CN"/>
        </w:rPr>
      </w:pPr>
    </w:p>
    <w:p w14:paraId="296737F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表一、城市道路机动车交通道路的照明标准值</w:t>
      </w:r>
      <w:bookmarkEnd w:id="1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418"/>
        <w:gridCol w:w="1134"/>
        <w:gridCol w:w="1276"/>
        <w:gridCol w:w="1134"/>
        <w:gridCol w:w="850"/>
        <w:gridCol w:w="1276"/>
        <w:gridCol w:w="850"/>
      </w:tblGrid>
      <w:tr w14:paraId="12E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vAlign w:val="center"/>
          </w:tcPr>
          <w:p w14:paraId="4FD699B1">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级别</w:t>
            </w:r>
          </w:p>
        </w:tc>
        <w:tc>
          <w:tcPr>
            <w:tcW w:w="1134" w:type="dxa"/>
            <w:vMerge w:val="restart"/>
            <w:vAlign w:val="center"/>
          </w:tcPr>
          <w:p w14:paraId="5F1C07A6">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道路类型</w:t>
            </w:r>
          </w:p>
        </w:tc>
        <w:tc>
          <w:tcPr>
            <w:tcW w:w="3828" w:type="dxa"/>
            <w:gridSpan w:val="3"/>
            <w:vAlign w:val="center"/>
          </w:tcPr>
          <w:p w14:paraId="6866D74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路面亮度</w:t>
            </w:r>
          </w:p>
        </w:tc>
        <w:tc>
          <w:tcPr>
            <w:tcW w:w="1984" w:type="dxa"/>
            <w:gridSpan w:val="2"/>
            <w:vAlign w:val="center"/>
          </w:tcPr>
          <w:p w14:paraId="61709CA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路面照度</w:t>
            </w:r>
          </w:p>
        </w:tc>
        <w:tc>
          <w:tcPr>
            <w:tcW w:w="1276" w:type="dxa"/>
            <w:vMerge w:val="restart"/>
            <w:vAlign w:val="center"/>
          </w:tcPr>
          <w:p w14:paraId="7D6D18C4">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眩光限制</w:t>
            </w:r>
          </w:p>
          <w:p w14:paraId="4BC9B6D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TI（%）</w:t>
            </w:r>
          </w:p>
          <w:p w14:paraId="7C3FC68A">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最大初始值</w:t>
            </w:r>
          </w:p>
        </w:tc>
        <w:tc>
          <w:tcPr>
            <w:tcW w:w="850" w:type="dxa"/>
            <w:vMerge w:val="restart"/>
            <w:vAlign w:val="center"/>
          </w:tcPr>
          <w:p w14:paraId="663D2708">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环境比</w:t>
            </w:r>
          </w:p>
          <w:p w14:paraId="0E1A9DCC">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S最小值</w:t>
            </w:r>
          </w:p>
        </w:tc>
      </w:tr>
      <w:tr w14:paraId="44F0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675" w:type="dxa"/>
            <w:vMerge w:val="continue"/>
            <w:vAlign w:val="center"/>
          </w:tcPr>
          <w:p w14:paraId="5200B6E9">
            <w:pPr>
              <w:spacing w:line="360" w:lineRule="auto"/>
              <w:ind w:firstLine="420"/>
              <w:jc w:val="left"/>
              <w:rPr>
                <w:rFonts w:hint="eastAsia" w:ascii="仿宋" w:hAnsi="仿宋" w:eastAsia="仿宋" w:cs="仿宋"/>
                <w:sz w:val="24"/>
                <w:lang w:val="en-US" w:eastAsia="zh-CN"/>
              </w:rPr>
            </w:pPr>
          </w:p>
        </w:tc>
        <w:tc>
          <w:tcPr>
            <w:tcW w:w="1134" w:type="dxa"/>
            <w:vMerge w:val="continue"/>
            <w:vAlign w:val="center"/>
          </w:tcPr>
          <w:p w14:paraId="73663750">
            <w:pPr>
              <w:spacing w:line="360" w:lineRule="auto"/>
              <w:ind w:firstLine="420"/>
              <w:jc w:val="left"/>
              <w:rPr>
                <w:rFonts w:hint="eastAsia" w:ascii="仿宋" w:hAnsi="仿宋" w:eastAsia="仿宋" w:cs="仿宋"/>
                <w:sz w:val="24"/>
                <w:lang w:val="en-US" w:eastAsia="zh-CN"/>
              </w:rPr>
            </w:pPr>
          </w:p>
        </w:tc>
        <w:tc>
          <w:tcPr>
            <w:tcW w:w="1418" w:type="dxa"/>
            <w:vAlign w:val="center"/>
          </w:tcPr>
          <w:p w14:paraId="4520244D">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平均亮度</w:t>
            </w:r>
          </w:p>
          <w:p w14:paraId="37912704">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Lav（cd/m2）</w:t>
            </w:r>
          </w:p>
          <w:p w14:paraId="7E203966">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维持值</w:t>
            </w:r>
          </w:p>
        </w:tc>
        <w:tc>
          <w:tcPr>
            <w:tcW w:w="1134" w:type="dxa"/>
            <w:vAlign w:val="center"/>
          </w:tcPr>
          <w:p w14:paraId="26028C53">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总均匀度Uo</w:t>
            </w:r>
          </w:p>
          <w:p w14:paraId="0DC853DA">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最小值</w:t>
            </w:r>
          </w:p>
        </w:tc>
        <w:tc>
          <w:tcPr>
            <w:tcW w:w="1276" w:type="dxa"/>
            <w:vAlign w:val="center"/>
          </w:tcPr>
          <w:p w14:paraId="5DDDAFDB">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纵向均匀度</w:t>
            </w:r>
          </w:p>
          <w:p w14:paraId="4A4A74F2">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UL最小值</w:t>
            </w:r>
          </w:p>
        </w:tc>
        <w:tc>
          <w:tcPr>
            <w:tcW w:w="1134" w:type="dxa"/>
            <w:vAlign w:val="center"/>
          </w:tcPr>
          <w:p w14:paraId="2B6A29D8">
            <w:pPr>
              <w:spacing w:line="360" w:lineRule="auto"/>
              <w:ind w:firstLine="420"/>
              <w:jc w:val="left"/>
              <w:rPr>
                <w:rFonts w:hint="eastAsia" w:ascii="仿宋" w:hAnsi="仿宋" w:eastAsia="仿宋" w:cs="仿宋"/>
                <w:sz w:val="24"/>
                <w:lang w:val="en-US" w:eastAsia="zh-CN"/>
              </w:rPr>
            </w:pPr>
          </w:p>
          <w:p w14:paraId="2B9CB230">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平均照度</w:t>
            </w:r>
          </w:p>
          <w:p w14:paraId="03D5F27D">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Eav（lx）</w:t>
            </w:r>
          </w:p>
          <w:p w14:paraId="1BEA5034">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维持值</w:t>
            </w:r>
          </w:p>
        </w:tc>
        <w:tc>
          <w:tcPr>
            <w:tcW w:w="850" w:type="dxa"/>
            <w:vAlign w:val="center"/>
          </w:tcPr>
          <w:p w14:paraId="0C2D592C">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均匀度</w:t>
            </w:r>
          </w:p>
          <w:p w14:paraId="13B6ECFF">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UE最小值</w:t>
            </w:r>
          </w:p>
        </w:tc>
        <w:tc>
          <w:tcPr>
            <w:tcW w:w="1276" w:type="dxa"/>
            <w:vMerge w:val="continue"/>
            <w:vAlign w:val="center"/>
          </w:tcPr>
          <w:p w14:paraId="57BD3C51">
            <w:pPr>
              <w:spacing w:line="360" w:lineRule="auto"/>
              <w:ind w:firstLine="420"/>
              <w:jc w:val="left"/>
              <w:rPr>
                <w:rFonts w:hint="eastAsia" w:ascii="仿宋" w:hAnsi="仿宋" w:eastAsia="仿宋" w:cs="仿宋"/>
                <w:sz w:val="24"/>
                <w:lang w:val="en-US" w:eastAsia="zh-CN"/>
              </w:rPr>
            </w:pPr>
          </w:p>
        </w:tc>
        <w:tc>
          <w:tcPr>
            <w:tcW w:w="850" w:type="dxa"/>
            <w:vMerge w:val="continue"/>
            <w:vAlign w:val="center"/>
          </w:tcPr>
          <w:p w14:paraId="261DC5FF">
            <w:pPr>
              <w:spacing w:line="360" w:lineRule="auto"/>
              <w:ind w:firstLine="420"/>
              <w:jc w:val="left"/>
              <w:rPr>
                <w:rFonts w:hint="eastAsia" w:ascii="仿宋" w:hAnsi="仿宋" w:eastAsia="仿宋" w:cs="仿宋"/>
                <w:sz w:val="24"/>
                <w:lang w:val="en-US" w:eastAsia="zh-CN"/>
              </w:rPr>
            </w:pPr>
          </w:p>
        </w:tc>
      </w:tr>
      <w:tr w14:paraId="4987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75" w:type="dxa"/>
            <w:vAlign w:val="center"/>
          </w:tcPr>
          <w:p w14:paraId="452387E2">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Ⅰ</w:t>
            </w:r>
          </w:p>
        </w:tc>
        <w:tc>
          <w:tcPr>
            <w:tcW w:w="1134" w:type="dxa"/>
            <w:vAlign w:val="center"/>
          </w:tcPr>
          <w:p w14:paraId="0ABB76C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快速路、主干路</w:t>
            </w:r>
          </w:p>
        </w:tc>
        <w:tc>
          <w:tcPr>
            <w:tcW w:w="1418" w:type="dxa"/>
            <w:vAlign w:val="center"/>
          </w:tcPr>
          <w:p w14:paraId="403BD45B">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1.5/2.0</w:t>
            </w:r>
          </w:p>
        </w:tc>
        <w:tc>
          <w:tcPr>
            <w:tcW w:w="1134" w:type="dxa"/>
            <w:vAlign w:val="center"/>
          </w:tcPr>
          <w:p w14:paraId="2ADC822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0.4</w:t>
            </w:r>
          </w:p>
        </w:tc>
        <w:tc>
          <w:tcPr>
            <w:tcW w:w="1276" w:type="dxa"/>
            <w:vAlign w:val="center"/>
          </w:tcPr>
          <w:p w14:paraId="3D62ADC1">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0.7</w:t>
            </w:r>
          </w:p>
        </w:tc>
        <w:tc>
          <w:tcPr>
            <w:tcW w:w="1134" w:type="dxa"/>
            <w:vAlign w:val="center"/>
          </w:tcPr>
          <w:p w14:paraId="4460FAAF">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20/30</w:t>
            </w:r>
          </w:p>
        </w:tc>
        <w:tc>
          <w:tcPr>
            <w:tcW w:w="850" w:type="dxa"/>
            <w:vAlign w:val="center"/>
          </w:tcPr>
          <w:p w14:paraId="2C1F0404">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0.4</w:t>
            </w:r>
          </w:p>
        </w:tc>
        <w:tc>
          <w:tcPr>
            <w:tcW w:w="1276" w:type="dxa"/>
            <w:vAlign w:val="center"/>
          </w:tcPr>
          <w:p w14:paraId="4486A219">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850" w:type="dxa"/>
            <w:vAlign w:val="center"/>
          </w:tcPr>
          <w:p w14:paraId="6A33D4E7">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0.5</w:t>
            </w:r>
          </w:p>
        </w:tc>
      </w:tr>
      <w:tr w14:paraId="2A9D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B64BC2C">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Ⅱ</w:t>
            </w:r>
          </w:p>
        </w:tc>
        <w:tc>
          <w:tcPr>
            <w:tcW w:w="1134" w:type="dxa"/>
            <w:vAlign w:val="center"/>
          </w:tcPr>
          <w:p w14:paraId="388C57A4">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次干路</w:t>
            </w:r>
          </w:p>
        </w:tc>
        <w:tc>
          <w:tcPr>
            <w:tcW w:w="1418" w:type="dxa"/>
            <w:vAlign w:val="center"/>
          </w:tcPr>
          <w:p w14:paraId="5975D6AC">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1.0/1.5</w:t>
            </w:r>
          </w:p>
        </w:tc>
        <w:tc>
          <w:tcPr>
            <w:tcW w:w="1134" w:type="dxa"/>
            <w:vAlign w:val="center"/>
          </w:tcPr>
          <w:p w14:paraId="2A4E0A83">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0.4</w:t>
            </w:r>
          </w:p>
        </w:tc>
        <w:tc>
          <w:tcPr>
            <w:tcW w:w="1276" w:type="dxa"/>
            <w:vAlign w:val="center"/>
          </w:tcPr>
          <w:p w14:paraId="320A02A2">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0.5</w:t>
            </w:r>
          </w:p>
        </w:tc>
        <w:tc>
          <w:tcPr>
            <w:tcW w:w="1134" w:type="dxa"/>
            <w:vAlign w:val="center"/>
          </w:tcPr>
          <w:p w14:paraId="6F52F044">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15/20</w:t>
            </w:r>
          </w:p>
        </w:tc>
        <w:tc>
          <w:tcPr>
            <w:tcW w:w="850" w:type="dxa"/>
            <w:vAlign w:val="center"/>
          </w:tcPr>
          <w:p w14:paraId="76565408">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0.4</w:t>
            </w:r>
          </w:p>
        </w:tc>
        <w:tc>
          <w:tcPr>
            <w:tcW w:w="1276" w:type="dxa"/>
            <w:vAlign w:val="center"/>
          </w:tcPr>
          <w:p w14:paraId="406D7069">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850" w:type="dxa"/>
            <w:vAlign w:val="center"/>
          </w:tcPr>
          <w:p w14:paraId="409F3224">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0.5</w:t>
            </w:r>
          </w:p>
        </w:tc>
      </w:tr>
      <w:tr w14:paraId="427C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C5E7886">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Ⅲ</w:t>
            </w:r>
          </w:p>
        </w:tc>
        <w:tc>
          <w:tcPr>
            <w:tcW w:w="1134" w:type="dxa"/>
            <w:vAlign w:val="center"/>
          </w:tcPr>
          <w:p w14:paraId="31A44AD9">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支路</w:t>
            </w:r>
          </w:p>
        </w:tc>
        <w:tc>
          <w:tcPr>
            <w:tcW w:w="1418" w:type="dxa"/>
            <w:vAlign w:val="center"/>
          </w:tcPr>
          <w:p w14:paraId="0B718079">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0.5/0.75</w:t>
            </w:r>
          </w:p>
        </w:tc>
        <w:tc>
          <w:tcPr>
            <w:tcW w:w="1134" w:type="dxa"/>
            <w:vAlign w:val="center"/>
          </w:tcPr>
          <w:p w14:paraId="1FF54A1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0.4</w:t>
            </w:r>
          </w:p>
        </w:tc>
        <w:tc>
          <w:tcPr>
            <w:tcW w:w="1276" w:type="dxa"/>
            <w:vAlign w:val="center"/>
          </w:tcPr>
          <w:p w14:paraId="4F96FD83">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134" w:type="dxa"/>
            <w:vAlign w:val="center"/>
          </w:tcPr>
          <w:p w14:paraId="7901AA63">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8/10</w:t>
            </w:r>
          </w:p>
        </w:tc>
        <w:tc>
          <w:tcPr>
            <w:tcW w:w="850" w:type="dxa"/>
            <w:vAlign w:val="center"/>
          </w:tcPr>
          <w:p w14:paraId="08AC7249">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0.3</w:t>
            </w:r>
          </w:p>
        </w:tc>
        <w:tc>
          <w:tcPr>
            <w:tcW w:w="1276" w:type="dxa"/>
            <w:vAlign w:val="center"/>
          </w:tcPr>
          <w:p w14:paraId="4FC099EF">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850" w:type="dxa"/>
            <w:vAlign w:val="center"/>
          </w:tcPr>
          <w:p w14:paraId="4494DA2F">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r>
      <w:bookmarkEnd w:id="8"/>
      <w:bookmarkEnd w:id="9"/>
    </w:tbl>
    <w:p w14:paraId="7ABB6580">
      <w:pPr>
        <w:spacing w:line="360" w:lineRule="auto"/>
        <w:ind w:firstLine="420"/>
        <w:jc w:val="left"/>
        <w:rPr>
          <w:rFonts w:hint="eastAsia" w:ascii="仿宋" w:hAnsi="仿宋" w:eastAsia="仿宋" w:cs="仿宋"/>
          <w:sz w:val="24"/>
          <w:lang w:val="en-US" w:eastAsia="zh-CN"/>
        </w:rPr>
      </w:pPr>
      <w:bookmarkStart w:id="13" w:name="_Toc11580"/>
      <w:bookmarkStart w:id="14" w:name="_Toc28725"/>
      <w:r>
        <w:rPr>
          <w:rFonts w:hint="eastAsia" w:ascii="仿宋" w:hAnsi="仿宋" w:eastAsia="仿宋" w:cs="仿宋"/>
          <w:sz w:val="24"/>
          <w:lang w:val="en-US" w:eastAsia="zh-CN"/>
        </w:rPr>
        <w:t>注：一级公路、四车道以上参考快速路、主干路道路类型；</w:t>
      </w:r>
    </w:p>
    <w:p w14:paraId="27F2763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二级公路、二车道参考次干路道路类型；</w:t>
      </w:r>
    </w:p>
    <w:p w14:paraId="3109626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三路及以下参考支路道路类型。</w:t>
      </w:r>
    </w:p>
    <w:p w14:paraId="264434FB">
      <w:pPr>
        <w:keepNext/>
        <w:keepLines/>
        <w:spacing w:line="360" w:lineRule="auto"/>
        <w:ind w:left="420" w:firstLine="422" w:firstLineChars="200"/>
        <w:jc w:val="center"/>
        <w:outlineLvl w:val="3"/>
        <w:rPr>
          <w:rFonts w:ascii="宋体" w:hAnsi="宋体" w:eastAsia="宋体" w:cs="宋体"/>
          <w:b/>
          <w:bCs/>
          <w:szCs w:val="21"/>
        </w:rPr>
      </w:pPr>
      <w:r>
        <w:rPr>
          <w:rFonts w:hint="eastAsia" w:ascii="宋体" w:hAnsi="宋体" w:eastAsia="宋体" w:cs="宋体"/>
          <w:b/>
          <w:bCs/>
          <w:szCs w:val="21"/>
        </w:rPr>
        <w:t>表二、城市道路交会区照明标准值</w:t>
      </w:r>
      <w:bookmarkEnd w:id="13"/>
      <w:bookmarkEnd w:id="14"/>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0"/>
        <w:gridCol w:w="1818"/>
        <w:gridCol w:w="1516"/>
        <w:gridCol w:w="3563"/>
      </w:tblGrid>
      <w:tr w14:paraId="39042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2540" w:type="dxa"/>
            <w:tcBorders>
              <w:left w:val="single" w:color="auto" w:sz="4" w:space="0"/>
            </w:tcBorders>
            <w:vAlign w:val="center"/>
          </w:tcPr>
          <w:p w14:paraId="35C94EE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交会区类型</w:t>
            </w:r>
          </w:p>
        </w:tc>
        <w:tc>
          <w:tcPr>
            <w:tcW w:w="1818" w:type="dxa"/>
            <w:vAlign w:val="center"/>
          </w:tcPr>
          <w:p w14:paraId="4DD2320B">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路面平均照度(lx)维持值</w:t>
            </w:r>
          </w:p>
        </w:tc>
        <w:tc>
          <w:tcPr>
            <w:tcW w:w="1516" w:type="dxa"/>
            <w:vAlign w:val="center"/>
          </w:tcPr>
          <w:p w14:paraId="6EDB8A33">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照度均匀度</w:t>
            </w:r>
          </w:p>
        </w:tc>
        <w:tc>
          <w:tcPr>
            <w:tcW w:w="3563" w:type="dxa"/>
            <w:vAlign w:val="center"/>
          </w:tcPr>
          <w:p w14:paraId="4D5F181D">
            <w:pPr>
              <w:spacing w:line="360" w:lineRule="auto"/>
              <w:ind w:firstLine="420"/>
              <w:jc w:val="center"/>
              <w:rPr>
                <w:rFonts w:hint="eastAsia" w:ascii="仿宋" w:hAnsi="仿宋" w:eastAsia="仿宋" w:cs="仿宋"/>
                <w:sz w:val="24"/>
                <w:lang w:val="en-US" w:eastAsia="zh-CN"/>
              </w:rPr>
            </w:pPr>
            <w:r>
              <w:rPr>
                <w:rFonts w:hint="eastAsia" w:ascii="仿宋" w:hAnsi="仿宋" w:eastAsia="仿宋" w:cs="仿宋"/>
                <w:sz w:val="24"/>
                <w:lang w:val="en-US" w:eastAsia="zh-CN"/>
              </w:rPr>
              <w:t>眩光限制</w:t>
            </w:r>
          </w:p>
        </w:tc>
      </w:tr>
      <w:tr w14:paraId="7BE86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562AF34C">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主干路与主干路交会</w:t>
            </w:r>
          </w:p>
        </w:tc>
        <w:tc>
          <w:tcPr>
            <w:tcW w:w="1818" w:type="dxa"/>
            <w:vMerge w:val="restart"/>
            <w:vAlign w:val="center"/>
          </w:tcPr>
          <w:p w14:paraId="07940A4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30/50</w:t>
            </w:r>
          </w:p>
        </w:tc>
        <w:tc>
          <w:tcPr>
            <w:tcW w:w="1516" w:type="dxa"/>
            <w:vMerge w:val="restart"/>
            <w:vAlign w:val="center"/>
          </w:tcPr>
          <w:p w14:paraId="2BCD2A0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0.4</w:t>
            </w:r>
          </w:p>
        </w:tc>
        <w:tc>
          <w:tcPr>
            <w:tcW w:w="3563" w:type="dxa"/>
            <w:vMerge w:val="restart"/>
            <w:vAlign w:val="center"/>
          </w:tcPr>
          <w:p w14:paraId="66A59C1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在驾驶员观看灯具的方位角上，灯具在80°和90°高度角方向上的光强分别不得超过30cd/1000lm 和10cd/1000lm</w:t>
            </w:r>
          </w:p>
        </w:tc>
      </w:tr>
      <w:tr w14:paraId="20AD8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2EC934B7">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主干路与次干路交会</w:t>
            </w:r>
          </w:p>
        </w:tc>
        <w:tc>
          <w:tcPr>
            <w:tcW w:w="1818" w:type="dxa"/>
            <w:vMerge w:val="continue"/>
            <w:vAlign w:val="center"/>
          </w:tcPr>
          <w:p w14:paraId="1184502D">
            <w:pPr>
              <w:spacing w:line="360" w:lineRule="auto"/>
              <w:ind w:firstLine="420"/>
              <w:jc w:val="left"/>
              <w:rPr>
                <w:rFonts w:hint="eastAsia" w:ascii="仿宋" w:hAnsi="仿宋" w:eastAsia="仿宋" w:cs="仿宋"/>
                <w:sz w:val="24"/>
                <w:lang w:val="en-US" w:eastAsia="zh-CN"/>
              </w:rPr>
            </w:pPr>
          </w:p>
        </w:tc>
        <w:tc>
          <w:tcPr>
            <w:tcW w:w="1516" w:type="dxa"/>
            <w:vMerge w:val="continue"/>
          </w:tcPr>
          <w:p w14:paraId="2A5AA605">
            <w:pPr>
              <w:keepNext/>
              <w:keepLines/>
              <w:spacing w:before="156" w:beforeLines="50" w:after="156" w:afterLines="50" w:line="360" w:lineRule="auto"/>
              <w:outlineLvl w:val="3"/>
              <w:rPr>
                <w:rFonts w:ascii="宋体" w:hAnsi="宋体" w:eastAsia="宋体" w:cs="宋体"/>
                <w:szCs w:val="21"/>
              </w:rPr>
            </w:pPr>
          </w:p>
        </w:tc>
        <w:tc>
          <w:tcPr>
            <w:tcW w:w="3563" w:type="dxa"/>
            <w:vMerge w:val="continue"/>
          </w:tcPr>
          <w:p w14:paraId="1CC522F0">
            <w:pPr>
              <w:keepNext/>
              <w:keepLines/>
              <w:spacing w:before="156" w:beforeLines="50" w:after="156" w:afterLines="50" w:line="360" w:lineRule="auto"/>
              <w:outlineLvl w:val="3"/>
              <w:rPr>
                <w:rFonts w:ascii="宋体" w:hAnsi="宋体" w:eastAsia="宋体" w:cs="宋体"/>
                <w:szCs w:val="21"/>
              </w:rPr>
            </w:pPr>
          </w:p>
        </w:tc>
      </w:tr>
      <w:tr w14:paraId="42351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438689CF">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主干路与支路交会</w:t>
            </w:r>
          </w:p>
        </w:tc>
        <w:tc>
          <w:tcPr>
            <w:tcW w:w="1818" w:type="dxa"/>
            <w:vMerge w:val="continue"/>
            <w:vAlign w:val="center"/>
          </w:tcPr>
          <w:p w14:paraId="463E30BA">
            <w:pPr>
              <w:spacing w:line="360" w:lineRule="auto"/>
              <w:ind w:firstLine="420"/>
              <w:jc w:val="left"/>
              <w:rPr>
                <w:rFonts w:hint="eastAsia" w:ascii="仿宋" w:hAnsi="仿宋" w:eastAsia="仿宋" w:cs="仿宋"/>
                <w:sz w:val="24"/>
                <w:lang w:val="en-US" w:eastAsia="zh-CN"/>
              </w:rPr>
            </w:pPr>
          </w:p>
        </w:tc>
        <w:tc>
          <w:tcPr>
            <w:tcW w:w="1516" w:type="dxa"/>
            <w:vMerge w:val="continue"/>
          </w:tcPr>
          <w:p w14:paraId="72020C7C">
            <w:pPr>
              <w:keepNext/>
              <w:keepLines/>
              <w:spacing w:before="156" w:beforeLines="50" w:after="156" w:afterLines="50" w:line="360" w:lineRule="auto"/>
              <w:outlineLvl w:val="3"/>
              <w:rPr>
                <w:rFonts w:ascii="宋体" w:hAnsi="宋体" w:eastAsia="宋体" w:cs="宋体"/>
                <w:szCs w:val="21"/>
              </w:rPr>
            </w:pPr>
          </w:p>
        </w:tc>
        <w:tc>
          <w:tcPr>
            <w:tcW w:w="3563" w:type="dxa"/>
            <w:vMerge w:val="continue"/>
          </w:tcPr>
          <w:p w14:paraId="4373B8B6">
            <w:pPr>
              <w:keepNext/>
              <w:keepLines/>
              <w:spacing w:before="156" w:beforeLines="50" w:after="156" w:afterLines="50" w:line="360" w:lineRule="auto"/>
              <w:outlineLvl w:val="3"/>
              <w:rPr>
                <w:rFonts w:ascii="宋体" w:hAnsi="宋体" w:eastAsia="宋体" w:cs="宋体"/>
                <w:szCs w:val="21"/>
              </w:rPr>
            </w:pPr>
          </w:p>
        </w:tc>
      </w:tr>
      <w:tr w14:paraId="6AD43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34070D21">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次干路与次干路交会</w:t>
            </w:r>
          </w:p>
        </w:tc>
        <w:tc>
          <w:tcPr>
            <w:tcW w:w="1818" w:type="dxa"/>
            <w:vMerge w:val="restart"/>
            <w:vAlign w:val="center"/>
          </w:tcPr>
          <w:p w14:paraId="1F569B8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20/30</w:t>
            </w:r>
          </w:p>
        </w:tc>
        <w:tc>
          <w:tcPr>
            <w:tcW w:w="1516" w:type="dxa"/>
            <w:vMerge w:val="continue"/>
          </w:tcPr>
          <w:p w14:paraId="1DB0ED99">
            <w:pPr>
              <w:keepNext/>
              <w:keepLines/>
              <w:spacing w:before="156" w:beforeLines="50" w:after="156" w:afterLines="50" w:line="360" w:lineRule="auto"/>
              <w:outlineLvl w:val="3"/>
              <w:rPr>
                <w:rFonts w:ascii="宋体" w:hAnsi="宋体" w:eastAsia="宋体" w:cs="宋体"/>
                <w:szCs w:val="21"/>
              </w:rPr>
            </w:pPr>
          </w:p>
        </w:tc>
        <w:tc>
          <w:tcPr>
            <w:tcW w:w="3563" w:type="dxa"/>
            <w:vMerge w:val="continue"/>
          </w:tcPr>
          <w:p w14:paraId="5D19E546">
            <w:pPr>
              <w:keepNext/>
              <w:keepLines/>
              <w:spacing w:before="156" w:beforeLines="50" w:after="156" w:afterLines="50" w:line="360" w:lineRule="auto"/>
              <w:outlineLvl w:val="3"/>
              <w:rPr>
                <w:rFonts w:ascii="宋体" w:hAnsi="宋体" w:eastAsia="宋体" w:cs="宋体"/>
                <w:szCs w:val="21"/>
              </w:rPr>
            </w:pPr>
          </w:p>
        </w:tc>
      </w:tr>
      <w:tr w14:paraId="10674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7F64E125">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次干路与支路交会</w:t>
            </w:r>
          </w:p>
        </w:tc>
        <w:tc>
          <w:tcPr>
            <w:tcW w:w="1818" w:type="dxa"/>
            <w:vMerge w:val="continue"/>
            <w:vAlign w:val="center"/>
          </w:tcPr>
          <w:p w14:paraId="6BF799BC">
            <w:pPr>
              <w:spacing w:line="360" w:lineRule="auto"/>
              <w:ind w:firstLine="420"/>
              <w:jc w:val="left"/>
              <w:rPr>
                <w:rFonts w:hint="eastAsia" w:ascii="仿宋" w:hAnsi="仿宋" w:eastAsia="仿宋" w:cs="仿宋"/>
                <w:sz w:val="24"/>
                <w:lang w:val="en-US" w:eastAsia="zh-CN"/>
              </w:rPr>
            </w:pPr>
          </w:p>
        </w:tc>
        <w:tc>
          <w:tcPr>
            <w:tcW w:w="1516" w:type="dxa"/>
            <w:vMerge w:val="continue"/>
          </w:tcPr>
          <w:p w14:paraId="554308DD">
            <w:pPr>
              <w:keepNext/>
              <w:keepLines/>
              <w:spacing w:before="156" w:beforeLines="50" w:after="156" w:afterLines="50" w:line="360" w:lineRule="auto"/>
              <w:outlineLvl w:val="3"/>
              <w:rPr>
                <w:rFonts w:ascii="宋体" w:hAnsi="宋体" w:eastAsia="宋体" w:cs="宋体"/>
                <w:szCs w:val="21"/>
              </w:rPr>
            </w:pPr>
          </w:p>
        </w:tc>
        <w:tc>
          <w:tcPr>
            <w:tcW w:w="3563" w:type="dxa"/>
            <w:vMerge w:val="continue"/>
          </w:tcPr>
          <w:p w14:paraId="0AE48F02">
            <w:pPr>
              <w:keepNext/>
              <w:keepLines/>
              <w:spacing w:before="156" w:beforeLines="50" w:after="156" w:afterLines="50" w:line="360" w:lineRule="auto"/>
              <w:outlineLvl w:val="3"/>
              <w:rPr>
                <w:rFonts w:ascii="宋体" w:hAnsi="宋体" w:eastAsia="宋体" w:cs="宋体"/>
                <w:szCs w:val="21"/>
              </w:rPr>
            </w:pPr>
          </w:p>
        </w:tc>
      </w:tr>
      <w:tr w14:paraId="6E15A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540" w:type="dxa"/>
            <w:tcBorders>
              <w:left w:val="single" w:color="auto" w:sz="4" w:space="0"/>
            </w:tcBorders>
            <w:vAlign w:val="center"/>
          </w:tcPr>
          <w:p w14:paraId="0872FCAF">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支路与支路交会</w:t>
            </w:r>
          </w:p>
        </w:tc>
        <w:tc>
          <w:tcPr>
            <w:tcW w:w="1818" w:type="dxa"/>
            <w:vAlign w:val="center"/>
          </w:tcPr>
          <w:p w14:paraId="4F47BAE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15/20</w:t>
            </w:r>
          </w:p>
        </w:tc>
        <w:tc>
          <w:tcPr>
            <w:tcW w:w="1516" w:type="dxa"/>
            <w:vMerge w:val="continue"/>
          </w:tcPr>
          <w:p w14:paraId="01ABA3D9">
            <w:pPr>
              <w:keepNext/>
              <w:keepLines/>
              <w:spacing w:before="156" w:beforeLines="50" w:after="156" w:afterLines="50" w:line="360" w:lineRule="auto"/>
              <w:outlineLvl w:val="3"/>
              <w:rPr>
                <w:rFonts w:ascii="宋体" w:hAnsi="宋体" w:eastAsia="宋体" w:cs="宋体"/>
                <w:szCs w:val="21"/>
              </w:rPr>
            </w:pPr>
          </w:p>
        </w:tc>
        <w:tc>
          <w:tcPr>
            <w:tcW w:w="3563" w:type="dxa"/>
            <w:vMerge w:val="continue"/>
          </w:tcPr>
          <w:p w14:paraId="5A90BB13">
            <w:pPr>
              <w:keepNext/>
              <w:keepLines/>
              <w:spacing w:before="156" w:beforeLines="50" w:after="156" w:afterLines="50" w:line="360" w:lineRule="auto"/>
              <w:outlineLvl w:val="3"/>
              <w:rPr>
                <w:rFonts w:ascii="宋体" w:hAnsi="宋体" w:eastAsia="宋体" w:cs="宋体"/>
                <w:szCs w:val="21"/>
              </w:rPr>
            </w:pPr>
          </w:p>
        </w:tc>
      </w:tr>
    </w:tbl>
    <w:p w14:paraId="55A00C11">
      <w:pPr>
        <w:ind w:left="640" w:hanging="220"/>
        <w:jc w:val="center"/>
        <w:rPr>
          <w:rFonts w:ascii="宋体" w:hAnsi="宋体" w:eastAsia="宋体" w:cs="宋体"/>
          <w:sz w:val="22"/>
          <w:szCs w:val="22"/>
        </w:rPr>
      </w:pPr>
    </w:p>
    <w:p w14:paraId="17DA4A6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表三  人行及非机动车道照明标准值</w:t>
      </w:r>
    </w:p>
    <w:tbl>
      <w:tblPr>
        <w:tblStyle w:val="15"/>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870"/>
        <w:gridCol w:w="1612"/>
        <w:gridCol w:w="1579"/>
        <w:gridCol w:w="1548"/>
        <w:gridCol w:w="1853"/>
      </w:tblGrid>
      <w:tr w14:paraId="5371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50" w:type="dxa"/>
            <w:vAlign w:val="center"/>
          </w:tcPr>
          <w:p w14:paraId="3D35E7F7">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级别</w:t>
            </w:r>
          </w:p>
        </w:tc>
        <w:tc>
          <w:tcPr>
            <w:tcW w:w="1870" w:type="dxa"/>
            <w:vAlign w:val="center"/>
          </w:tcPr>
          <w:p w14:paraId="69E2576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道路类型</w:t>
            </w:r>
          </w:p>
          <w:p w14:paraId="01646D63">
            <w:pPr>
              <w:spacing w:line="360" w:lineRule="auto"/>
              <w:ind w:firstLine="420"/>
              <w:jc w:val="left"/>
              <w:rPr>
                <w:rFonts w:hint="eastAsia" w:ascii="仿宋" w:hAnsi="仿宋" w:eastAsia="仿宋" w:cs="仿宋"/>
                <w:sz w:val="24"/>
                <w:lang w:val="en-US" w:eastAsia="zh-CN"/>
              </w:rPr>
            </w:pPr>
          </w:p>
        </w:tc>
        <w:tc>
          <w:tcPr>
            <w:tcW w:w="1612" w:type="dxa"/>
            <w:vAlign w:val="center"/>
          </w:tcPr>
          <w:p w14:paraId="05EB33DA">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路面平均照度 </w:t>
            </w:r>
          </w:p>
          <w:p w14:paraId="3996D4C6">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Eh，av (lx) </w:t>
            </w:r>
          </w:p>
          <w:p w14:paraId="5B972C64">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维持值</w:t>
            </w:r>
          </w:p>
        </w:tc>
        <w:tc>
          <w:tcPr>
            <w:tcW w:w="1579" w:type="dxa"/>
            <w:vAlign w:val="center"/>
          </w:tcPr>
          <w:p w14:paraId="4DE91186">
            <w:pPr>
              <w:spacing w:line="360" w:lineRule="auto"/>
              <w:jc w:val="left"/>
              <w:rPr>
                <w:rFonts w:hint="eastAsia" w:ascii="仿宋" w:hAnsi="仿宋" w:eastAsia="仿宋" w:cs="仿宋"/>
                <w:sz w:val="24"/>
                <w:lang w:val="de-DE" w:eastAsia="zh-CN"/>
              </w:rPr>
            </w:pPr>
            <w:r>
              <w:rPr>
                <w:rFonts w:hint="eastAsia" w:ascii="仿宋" w:hAnsi="仿宋" w:eastAsia="仿宋" w:cs="仿宋"/>
                <w:sz w:val="24"/>
                <w:lang w:val="en-US" w:eastAsia="zh-CN"/>
              </w:rPr>
              <w:t>路面最小照度</w:t>
            </w:r>
          </w:p>
          <w:p w14:paraId="01D24B13">
            <w:pPr>
              <w:spacing w:line="360" w:lineRule="auto"/>
              <w:jc w:val="left"/>
              <w:rPr>
                <w:rFonts w:hint="eastAsia" w:ascii="仿宋" w:hAnsi="仿宋" w:eastAsia="仿宋" w:cs="仿宋"/>
                <w:sz w:val="24"/>
                <w:lang w:val="de-DE" w:eastAsia="zh-CN"/>
              </w:rPr>
            </w:pPr>
            <w:r>
              <w:rPr>
                <w:rFonts w:hint="eastAsia" w:ascii="仿宋" w:hAnsi="仿宋" w:eastAsia="仿宋" w:cs="仿宋"/>
                <w:sz w:val="24"/>
                <w:lang w:val="de-DE" w:eastAsia="zh-CN"/>
              </w:rPr>
              <w:t xml:space="preserve">E h，min(lx)  </w:t>
            </w:r>
          </w:p>
          <w:p w14:paraId="3A80412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维持值</w:t>
            </w:r>
          </w:p>
        </w:tc>
        <w:tc>
          <w:tcPr>
            <w:tcW w:w="1548" w:type="dxa"/>
            <w:vAlign w:val="center"/>
          </w:tcPr>
          <w:p w14:paraId="55BC4C46">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最小垂直照度    </w:t>
            </w:r>
          </w:p>
          <w:p w14:paraId="34A86CB5">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E v，min（lx） </w:t>
            </w:r>
          </w:p>
          <w:p w14:paraId="760A44C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维持值</w:t>
            </w:r>
          </w:p>
        </w:tc>
        <w:tc>
          <w:tcPr>
            <w:tcW w:w="1853" w:type="dxa"/>
            <w:vAlign w:val="center"/>
          </w:tcPr>
          <w:p w14:paraId="1ADB222D">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最小半柱面照度</w:t>
            </w:r>
          </w:p>
          <w:p w14:paraId="4921541D">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E sc,min（lx）</w:t>
            </w:r>
          </w:p>
          <w:p w14:paraId="2598185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维持值</w:t>
            </w:r>
          </w:p>
        </w:tc>
      </w:tr>
      <w:tr w14:paraId="63D3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5" w:hRule="atLeast"/>
          <w:jc w:val="center"/>
        </w:trPr>
        <w:tc>
          <w:tcPr>
            <w:tcW w:w="950" w:type="dxa"/>
            <w:vAlign w:val="center"/>
          </w:tcPr>
          <w:p w14:paraId="01E8D21B">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870" w:type="dxa"/>
            <w:vAlign w:val="center"/>
          </w:tcPr>
          <w:p w14:paraId="6BFBD3A5">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商业步行街；市中心或商业区行人流量高的道路；机动车与行人混合使用、与城市机动车道路连接的居住区出入道路</w:t>
            </w:r>
          </w:p>
        </w:tc>
        <w:tc>
          <w:tcPr>
            <w:tcW w:w="1612" w:type="dxa"/>
            <w:vAlign w:val="center"/>
          </w:tcPr>
          <w:p w14:paraId="656020D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1579" w:type="dxa"/>
            <w:vAlign w:val="center"/>
          </w:tcPr>
          <w:p w14:paraId="60CFB8A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548" w:type="dxa"/>
            <w:vAlign w:val="center"/>
          </w:tcPr>
          <w:p w14:paraId="3F91E14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853" w:type="dxa"/>
            <w:vAlign w:val="center"/>
          </w:tcPr>
          <w:p w14:paraId="40E3D6C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w:t>
            </w:r>
          </w:p>
        </w:tc>
      </w:tr>
      <w:tr w14:paraId="2C43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50" w:type="dxa"/>
            <w:vAlign w:val="center"/>
          </w:tcPr>
          <w:p w14:paraId="05B56AB1">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870" w:type="dxa"/>
            <w:vAlign w:val="center"/>
          </w:tcPr>
          <w:p w14:paraId="14FEAF81">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流量较高的道路</w:t>
            </w:r>
          </w:p>
        </w:tc>
        <w:tc>
          <w:tcPr>
            <w:tcW w:w="1612" w:type="dxa"/>
            <w:vAlign w:val="center"/>
          </w:tcPr>
          <w:p w14:paraId="69E4C57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1579" w:type="dxa"/>
            <w:vAlign w:val="center"/>
          </w:tcPr>
          <w:p w14:paraId="14F43AC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548" w:type="dxa"/>
            <w:vAlign w:val="center"/>
          </w:tcPr>
          <w:p w14:paraId="6FE93FE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853" w:type="dxa"/>
            <w:vAlign w:val="center"/>
          </w:tcPr>
          <w:p w14:paraId="4F87FE6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p>
        </w:tc>
      </w:tr>
      <w:tr w14:paraId="014E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50" w:type="dxa"/>
            <w:vAlign w:val="center"/>
          </w:tcPr>
          <w:p w14:paraId="4B3D1AB5">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870" w:type="dxa"/>
            <w:vAlign w:val="center"/>
          </w:tcPr>
          <w:p w14:paraId="74261583">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流量中等的道路</w:t>
            </w:r>
          </w:p>
        </w:tc>
        <w:tc>
          <w:tcPr>
            <w:tcW w:w="1612" w:type="dxa"/>
            <w:vAlign w:val="center"/>
          </w:tcPr>
          <w:p w14:paraId="085E529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7.5</w:t>
            </w:r>
          </w:p>
        </w:tc>
        <w:tc>
          <w:tcPr>
            <w:tcW w:w="1579" w:type="dxa"/>
            <w:vAlign w:val="center"/>
          </w:tcPr>
          <w:p w14:paraId="7DC3405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1548" w:type="dxa"/>
            <w:vAlign w:val="center"/>
          </w:tcPr>
          <w:p w14:paraId="4060A2E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2.5</w:t>
            </w:r>
          </w:p>
        </w:tc>
        <w:tc>
          <w:tcPr>
            <w:tcW w:w="1853" w:type="dxa"/>
            <w:vAlign w:val="center"/>
          </w:tcPr>
          <w:p w14:paraId="5D86F61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1.5</w:t>
            </w:r>
          </w:p>
        </w:tc>
      </w:tr>
      <w:tr w14:paraId="68A6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950" w:type="dxa"/>
            <w:vAlign w:val="center"/>
          </w:tcPr>
          <w:p w14:paraId="6AF3510C">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1870" w:type="dxa"/>
            <w:vAlign w:val="center"/>
          </w:tcPr>
          <w:p w14:paraId="16FBEE13">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流量较低的道路</w:t>
            </w:r>
          </w:p>
        </w:tc>
        <w:tc>
          <w:tcPr>
            <w:tcW w:w="1612" w:type="dxa"/>
            <w:vAlign w:val="center"/>
          </w:tcPr>
          <w:p w14:paraId="2B047C5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579" w:type="dxa"/>
            <w:vAlign w:val="center"/>
          </w:tcPr>
          <w:p w14:paraId="23632BB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548" w:type="dxa"/>
            <w:vAlign w:val="center"/>
          </w:tcPr>
          <w:p w14:paraId="54DD5DA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1853" w:type="dxa"/>
            <w:vAlign w:val="center"/>
          </w:tcPr>
          <w:p w14:paraId="7B023BF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w:t>
            </w:r>
          </w:p>
        </w:tc>
      </w:tr>
    </w:tbl>
    <w:p w14:paraId="7345DE55">
      <w:pPr>
        <w:ind w:left="420" w:firstLine="660" w:firstLineChars="300"/>
        <w:jc w:val="left"/>
        <w:rPr>
          <w:rFonts w:ascii="宋体" w:hAnsi="宋体" w:eastAsia="宋体" w:cs="宋体"/>
          <w:kern w:val="0"/>
          <w:sz w:val="22"/>
          <w:szCs w:val="22"/>
        </w:rPr>
      </w:pPr>
    </w:p>
    <w:p w14:paraId="6D325B09">
      <w:pPr>
        <w:ind w:left="641" w:hanging="221"/>
        <w:jc w:val="center"/>
        <w:rPr>
          <w:rFonts w:ascii="宋体" w:hAnsi="宋体" w:eastAsia="宋体" w:cs="宋体"/>
          <w:b/>
          <w:bCs/>
          <w:sz w:val="22"/>
          <w:szCs w:val="22"/>
        </w:rPr>
      </w:pPr>
    </w:p>
    <w:p w14:paraId="48CA978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表四  人行及非机动车道照明眩光限值</w:t>
      </w:r>
    </w:p>
    <w:tbl>
      <w:tblPr>
        <w:tblStyle w:val="1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946"/>
        <w:gridCol w:w="2225"/>
        <w:gridCol w:w="2033"/>
        <w:gridCol w:w="1781"/>
      </w:tblGrid>
      <w:tr w14:paraId="71FC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6" w:type="dxa"/>
            <w:vMerge w:val="restart"/>
            <w:vAlign w:val="center"/>
          </w:tcPr>
          <w:p w14:paraId="31B9EF5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级别</w:t>
            </w:r>
          </w:p>
        </w:tc>
        <w:tc>
          <w:tcPr>
            <w:tcW w:w="7985" w:type="dxa"/>
            <w:gridSpan w:val="4"/>
            <w:vAlign w:val="center"/>
          </w:tcPr>
          <w:p w14:paraId="16D3837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 最大光强Imax（cd/1000lm）</w:t>
            </w:r>
          </w:p>
        </w:tc>
      </w:tr>
      <w:tr w14:paraId="650D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56" w:type="dxa"/>
            <w:vMerge w:val="continue"/>
            <w:vAlign w:val="center"/>
          </w:tcPr>
          <w:p w14:paraId="19FBA4B1">
            <w:pPr>
              <w:spacing w:line="360" w:lineRule="auto"/>
              <w:ind w:firstLine="420"/>
              <w:jc w:val="left"/>
              <w:rPr>
                <w:rFonts w:hint="eastAsia" w:ascii="仿宋" w:hAnsi="仿宋" w:eastAsia="仿宋" w:cs="仿宋"/>
                <w:sz w:val="24"/>
                <w:lang w:val="en-US" w:eastAsia="zh-CN"/>
              </w:rPr>
            </w:pPr>
          </w:p>
        </w:tc>
        <w:tc>
          <w:tcPr>
            <w:tcW w:w="1946" w:type="dxa"/>
            <w:vAlign w:val="center"/>
          </w:tcPr>
          <w:p w14:paraId="59DA9A7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≥70°</w:t>
            </w:r>
          </w:p>
        </w:tc>
        <w:tc>
          <w:tcPr>
            <w:tcW w:w="2225" w:type="dxa"/>
            <w:vAlign w:val="center"/>
          </w:tcPr>
          <w:p w14:paraId="71BB926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≥80°</w:t>
            </w:r>
          </w:p>
        </w:tc>
        <w:tc>
          <w:tcPr>
            <w:tcW w:w="2033" w:type="dxa"/>
            <w:vAlign w:val="center"/>
          </w:tcPr>
          <w:p w14:paraId="577A9C3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 ≥90°</w:t>
            </w:r>
          </w:p>
        </w:tc>
        <w:tc>
          <w:tcPr>
            <w:tcW w:w="1781" w:type="dxa"/>
            <w:vAlign w:val="center"/>
          </w:tcPr>
          <w:p w14:paraId="12473CB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&gt;95°</w:t>
            </w:r>
          </w:p>
        </w:tc>
      </w:tr>
      <w:tr w14:paraId="355A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356" w:type="dxa"/>
            <w:vAlign w:val="center"/>
          </w:tcPr>
          <w:p w14:paraId="137FF9B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946" w:type="dxa"/>
            <w:vAlign w:val="center"/>
          </w:tcPr>
          <w:p w14:paraId="277CEEC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500</w:t>
            </w:r>
          </w:p>
        </w:tc>
        <w:tc>
          <w:tcPr>
            <w:tcW w:w="2225" w:type="dxa"/>
            <w:vAlign w:val="center"/>
          </w:tcPr>
          <w:p w14:paraId="5A29BBB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100</w:t>
            </w:r>
          </w:p>
        </w:tc>
        <w:tc>
          <w:tcPr>
            <w:tcW w:w="2033" w:type="dxa"/>
            <w:vAlign w:val="center"/>
          </w:tcPr>
          <w:p w14:paraId="1A20FE6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1781" w:type="dxa"/>
            <w:vAlign w:val="center"/>
          </w:tcPr>
          <w:p w14:paraId="39F745D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w:t>
            </w:r>
          </w:p>
        </w:tc>
      </w:tr>
      <w:tr w14:paraId="0E2D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356" w:type="dxa"/>
            <w:vAlign w:val="center"/>
          </w:tcPr>
          <w:p w14:paraId="12B1C1D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946" w:type="dxa"/>
            <w:vAlign w:val="center"/>
          </w:tcPr>
          <w:p w14:paraId="5D61B93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2225" w:type="dxa"/>
            <w:vAlign w:val="center"/>
          </w:tcPr>
          <w:p w14:paraId="52DC4CD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100</w:t>
            </w:r>
          </w:p>
        </w:tc>
        <w:tc>
          <w:tcPr>
            <w:tcW w:w="2033" w:type="dxa"/>
            <w:vAlign w:val="center"/>
          </w:tcPr>
          <w:p w14:paraId="66C1399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20</w:t>
            </w:r>
          </w:p>
        </w:tc>
        <w:tc>
          <w:tcPr>
            <w:tcW w:w="1781" w:type="dxa"/>
            <w:vAlign w:val="center"/>
          </w:tcPr>
          <w:p w14:paraId="26939B1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14:paraId="05D6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356" w:type="dxa"/>
            <w:vAlign w:val="center"/>
          </w:tcPr>
          <w:p w14:paraId="1E494E4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946" w:type="dxa"/>
            <w:vAlign w:val="center"/>
          </w:tcPr>
          <w:p w14:paraId="53BB28A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2225" w:type="dxa"/>
            <w:vAlign w:val="center"/>
          </w:tcPr>
          <w:p w14:paraId="6469485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150</w:t>
            </w:r>
          </w:p>
        </w:tc>
        <w:tc>
          <w:tcPr>
            <w:tcW w:w="2033" w:type="dxa"/>
            <w:vAlign w:val="center"/>
          </w:tcPr>
          <w:p w14:paraId="37D89D3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30</w:t>
            </w:r>
          </w:p>
        </w:tc>
        <w:tc>
          <w:tcPr>
            <w:tcW w:w="1781" w:type="dxa"/>
            <w:vAlign w:val="center"/>
          </w:tcPr>
          <w:p w14:paraId="403AEA8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r>
      <w:tr w14:paraId="79A6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356" w:type="dxa"/>
            <w:vAlign w:val="center"/>
          </w:tcPr>
          <w:p w14:paraId="49ABC9E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1946" w:type="dxa"/>
            <w:vAlign w:val="center"/>
          </w:tcPr>
          <w:p w14:paraId="2883834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2225" w:type="dxa"/>
            <w:vAlign w:val="center"/>
          </w:tcPr>
          <w:p w14:paraId="2972DCF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200</w:t>
            </w:r>
          </w:p>
        </w:tc>
        <w:tc>
          <w:tcPr>
            <w:tcW w:w="2033" w:type="dxa"/>
            <w:vAlign w:val="center"/>
          </w:tcPr>
          <w:p w14:paraId="5F54D6E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50</w:t>
            </w:r>
          </w:p>
        </w:tc>
        <w:tc>
          <w:tcPr>
            <w:tcW w:w="1781" w:type="dxa"/>
            <w:vAlign w:val="center"/>
          </w:tcPr>
          <w:p w14:paraId="0D393B8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r>
    </w:tbl>
    <w:p w14:paraId="5DE1C7CF">
      <w:pPr>
        <w:widowControl w:val="0"/>
        <w:spacing w:after="120"/>
        <w:ind w:firstLine="210" w:firstLineChars="100"/>
        <w:jc w:val="both"/>
        <w:rPr>
          <w:rFonts w:ascii="Times New Roman" w:hAnsi="Times New Roman" w:eastAsia="宋体" w:cs="Times New Roman"/>
          <w:kern w:val="2"/>
          <w:sz w:val="21"/>
          <w:szCs w:val="24"/>
          <w:lang w:val="en-US" w:eastAsia="zh-CN" w:bidi="ar-SA"/>
        </w:rPr>
      </w:pPr>
    </w:p>
    <w:p w14:paraId="2294343B">
      <w:pPr>
        <w:keepNext/>
        <w:keepLines/>
        <w:spacing w:before="156" w:beforeLines="50" w:after="156" w:afterLines="50" w:line="360" w:lineRule="auto"/>
        <w:ind w:left="420" w:firstLine="3584" w:firstLineChars="1700"/>
        <w:outlineLvl w:val="3"/>
        <w:rPr>
          <w:rFonts w:ascii="宋体" w:hAnsi="宋体" w:eastAsia="宋体" w:cs="宋体"/>
          <w:b/>
          <w:bCs/>
          <w:kern w:val="0"/>
          <w:szCs w:val="21"/>
          <w:highlight w:val="none"/>
        </w:rPr>
      </w:pPr>
      <w:r>
        <w:rPr>
          <w:rFonts w:hint="eastAsia" w:ascii="宋体" w:hAnsi="宋体" w:eastAsia="宋体" w:cs="宋体"/>
          <w:b/>
          <w:bCs/>
          <w:szCs w:val="21"/>
          <w:highlight w:val="none"/>
        </w:rPr>
        <w:t>表五、隧道照明标准值</w:t>
      </w:r>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336"/>
        <w:gridCol w:w="1255"/>
        <w:gridCol w:w="1486"/>
        <w:gridCol w:w="1159"/>
        <w:gridCol w:w="1362"/>
        <w:gridCol w:w="1502"/>
      </w:tblGrid>
      <w:tr w14:paraId="32BF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noWrap w:val="0"/>
            <w:vAlign w:val="center"/>
          </w:tcPr>
          <w:p w14:paraId="42D9C88A">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照明区域</w:t>
            </w:r>
          </w:p>
        </w:tc>
        <w:tc>
          <w:tcPr>
            <w:tcW w:w="1336" w:type="dxa"/>
            <w:noWrap w:val="0"/>
            <w:vAlign w:val="center"/>
          </w:tcPr>
          <w:p w14:paraId="35D29D5D">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设计车速（KM/H）</w:t>
            </w:r>
          </w:p>
        </w:tc>
        <w:tc>
          <w:tcPr>
            <w:tcW w:w="1255" w:type="dxa"/>
            <w:noWrap w:val="0"/>
            <w:vAlign w:val="center"/>
          </w:tcPr>
          <w:p w14:paraId="3F1E1CFE">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洞外亮度(cd/㎡）</w:t>
            </w:r>
          </w:p>
        </w:tc>
        <w:tc>
          <w:tcPr>
            <w:tcW w:w="1486" w:type="dxa"/>
            <w:noWrap w:val="0"/>
            <w:vAlign w:val="center"/>
          </w:tcPr>
          <w:p w14:paraId="6AC998BB">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亮度标准值(cd/㎡）</w:t>
            </w:r>
          </w:p>
        </w:tc>
        <w:tc>
          <w:tcPr>
            <w:tcW w:w="1159" w:type="dxa"/>
            <w:noWrap w:val="0"/>
            <w:vAlign w:val="center"/>
          </w:tcPr>
          <w:p w14:paraId="0B66183D">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均匀度（U₀）</w:t>
            </w:r>
          </w:p>
        </w:tc>
        <w:tc>
          <w:tcPr>
            <w:tcW w:w="1362" w:type="dxa"/>
            <w:noWrap w:val="0"/>
            <w:vAlign w:val="center"/>
          </w:tcPr>
          <w:p w14:paraId="71A00287">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区域长度</w:t>
            </w:r>
          </w:p>
        </w:tc>
        <w:tc>
          <w:tcPr>
            <w:tcW w:w="1502" w:type="dxa"/>
            <w:noWrap w:val="0"/>
            <w:vAlign w:val="center"/>
          </w:tcPr>
          <w:p w14:paraId="4DFB1B5B">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备注</w:t>
            </w:r>
          </w:p>
        </w:tc>
      </w:tr>
      <w:tr w14:paraId="592D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600F0093">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入口段</w:t>
            </w:r>
          </w:p>
        </w:tc>
        <w:tc>
          <w:tcPr>
            <w:tcW w:w="1336" w:type="dxa"/>
            <w:shd w:val="clear" w:color="auto" w:fill="auto"/>
            <w:noWrap w:val="0"/>
            <w:vAlign w:val="center"/>
          </w:tcPr>
          <w:p w14:paraId="42E677C6">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1255" w:type="dxa"/>
            <w:shd w:val="clear" w:color="auto" w:fill="auto"/>
            <w:noWrap w:val="0"/>
            <w:vAlign w:val="center"/>
          </w:tcPr>
          <w:p w14:paraId="6202CA13">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2500</w:t>
            </w:r>
          </w:p>
        </w:tc>
        <w:tc>
          <w:tcPr>
            <w:tcW w:w="1486" w:type="dxa"/>
            <w:shd w:val="clear" w:color="auto" w:fill="auto"/>
            <w:noWrap w:val="0"/>
            <w:vAlign w:val="center"/>
          </w:tcPr>
          <w:p w14:paraId="022AC938">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55</w:t>
            </w:r>
          </w:p>
        </w:tc>
        <w:tc>
          <w:tcPr>
            <w:tcW w:w="1159" w:type="dxa"/>
            <w:shd w:val="clear" w:color="auto" w:fill="auto"/>
            <w:noWrap w:val="0"/>
            <w:vAlign w:val="center"/>
          </w:tcPr>
          <w:p w14:paraId="04363641">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shd w:val="clear" w:color="auto" w:fill="auto"/>
            <w:noWrap w:val="0"/>
            <w:vAlign w:val="center"/>
          </w:tcPr>
          <w:p w14:paraId="113CEB09">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1502" w:type="dxa"/>
            <w:shd w:val="clear" w:color="auto" w:fill="auto"/>
            <w:noWrap w:val="0"/>
            <w:vAlign w:val="center"/>
          </w:tcPr>
          <w:p w14:paraId="63F4D3FE">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白天</w:t>
            </w:r>
          </w:p>
        </w:tc>
      </w:tr>
      <w:tr w14:paraId="671F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5348022">
            <w:pPr>
              <w:spacing w:line="360" w:lineRule="auto"/>
              <w:jc w:val="left"/>
              <w:rPr>
                <w:rFonts w:hint="default" w:ascii="仿宋" w:hAnsi="仿宋" w:eastAsia="仿宋" w:cs="仿宋"/>
                <w:sz w:val="24"/>
                <w:lang w:val="en-US" w:eastAsia="zh-CN"/>
              </w:rPr>
            </w:pPr>
          </w:p>
        </w:tc>
        <w:tc>
          <w:tcPr>
            <w:tcW w:w="1336" w:type="dxa"/>
            <w:shd w:val="clear" w:color="auto" w:fill="auto"/>
            <w:noWrap w:val="0"/>
            <w:vAlign w:val="center"/>
          </w:tcPr>
          <w:p w14:paraId="5714B0D2">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80</w:t>
            </w:r>
          </w:p>
        </w:tc>
        <w:tc>
          <w:tcPr>
            <w:tcW w:w="1255" w:type="dxa"/>
            <w:shd w:val="clear" w:color="auto" w:fill="auto"/>
            <w:noWrap w:val="0"/>
            <w:vAlign w:val="center"/>
          </w:tcPr>
          <w:p w14:paraId="11F0A157">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3000</w:t>
            </w:r>
          </w:p>
        </w:tc>
        <w:tc>
          <w:tcPr>
            <w:tcW w:w="1486" w:type="dxa"/>
            <w:shd w:val="clear" w:color="auto" w:fill="auto"/>
            <w:noWrap w:val="0"/>
            <w:vAlign w:val="center"/>
          </w:tcPr>
          <w:p w14:paraId="3BF48F04">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105</w:t>
            </w:r>
          </w:p>
        </w:tc>
        <w:tc>
          <w:tcPr>
            <w:tcW w:w="1159" w:type="dxa"/>
            <w:shd w:val="clear" w:color="auto" w:fill="auto"/>
            <w:noWrap w:val="0"/>
            <w:vAlign w:val="center"/>
          </w:tcPr>
          <w:p w14:paraId="04D24B40">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shd w:val="clear" w:color="auto" w:fill="auto"/>
            <w:noWrap w:val="0"/>
            <w:vAlign w:val="center"/>
          </w:tcPr>
          <w:p w14:paraId="1A47369C">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96</w:t>
            </w:r>
          </w:p>
        </w:tc>
        <w:tc>
          <w:tcPr>
            <w:tcW w:w="1502" w:type="dxa"/>
            <w:shd w:val="clear" w:color="auto" w:fill="auto"/>
            <w:noWrap w:val="0"/>
            <w:vAlign w:val="center"/>
          </w:tcPr>
          <w:p w14:paraId="48EF2308">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3993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0" w:type="dxa"/>
            <w:vMerge w:val="continue"/>
            <w:noWrap w:val="0"/>
            <w:vAlign w:val="center"/>
          </w:tcPr>
          <w:p w14:paraId="7BA342B0">
            <w:pPr>
              <w:spacing w:line="360" w:lineRule="auto"/>
              <w:jc w:val="left"/>
              <w:rPr>
                <w:rFonts w:hint="default" w:ascii="仿宋" w:hAnsi="仿宋" w:eastAsia="仿宋" w:cs="仿宋"/>
                <w:sz w:val="24"/>
                <w:lang w:val="en-US" w:eastAsia="zh-CN"/>
              </w:rPr>
            </w:pPr>
          </w:p>
        </w:tc>
        <w:tc>
          <w:tcPr>
            <w:tcW w:w="1336" w:type="dxa"/>
            <w:shd w:val="clear" w:color="auto" w:fill="auto"/>
            <w:noWrap w:val="0"/>
            <w:vAlign w:val="center"/>
          </w:tcPr>
          <w:p w14:paraId="09B3AE9D">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1255" w:type="dxa"/>
            <w:shd w:val="clear" w:color="auto" w:fill="auto"/>
            <w:noWrap w:val="0"/>
            <w:vAlign w:val="center"/>
          </w:tcPr>
          <w:p w14:paraId="0FDC33D4">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3500</w:t>
            </w:r>
          </w:p>
        </w:tc>
        <w:tc>
          <w:tcPr>
            <w:tcW w:w="1486" w:type="dxa"/>
            <w:shd w:val="clear" w:color="auto" w:fill="auto"/>
            <w:noWrap w:val="0"/>
            <w:vAlign w:val="center"/>
          </w:tcPr>
          <w:p w14:paraId="18EEE34F">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157.5</w:t>
            </w:r>
          </w:p>
        </w:tc>
        <w:tc>
          <w:tcPr>
            <w:tcW w:w="1159" w:type="dxa"/>
            <w:shd w:val="clear" w:color="auto" w:fill="auto"/>
            <w:noWrap w:val="0"/>
            <w:vAlign w:val="center"/>
          </w:tcPr>
          <w:p w14:paraId="47E2D21E">
            <w:pPr>
              <w:spacing w:line="360" w:lineRule="auto"/>
              <w:jc w:val="left"/>
              <w:rPr>
                <w:rFonts w:hint="eastAsia" w:ascii="仿宋" w:hAnsi="仿宋" w:eastAsia="仿宋" w:cs="仿宋"/>
                <w:sz w:val="24"/>
                <w:lang w:val="en-US" w:eastAsia="zh-CN"/>
              </w:rPr>
            </w:pPr>
            <w:r>
              <w:rPr>
                <w:rFonts w:hint="default" w:ascii="仿宋" w:hAnsi="仿宋" w:eastAsia="仿宋" w:cs="仿宋"/>
                <w:sz w:val="24"/>
                <w:lang w:val="en-US" w:eastAsia="zh-CN"/>
              </w:rPr>
              <w:t>≥0.4</w:t>
            </w:r>
          </w:p>
        </w:tc>
        <w:tc>
          <w:tcPr>
            <w:tcW w:w="1362" w:type="dxa"/>
            <w:shd w:val="clear" w:color="auto" w:fill="auto"/>
            <w:noWrap w:val="0"/>
            <w:vAlign w:val="center"/>
          </w:tcPr>
          <w:p w14:paraId="5038AE60">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168</w:t>
            </w:r>
          </w:p>
        </w:tc>
        <w:tc>
          <w:tcPr>
            <w:tcW w:w="1502" w:type="dxa"/>
            <w:shd w:val="clear" w:color="auto" w:fill="auto"/>
            <w:noWrap w:val="0"/>
            <w:vAlign w:val="center"/>
          </w:tcPr>
          <w:p w14:paraId="2FB79717">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7771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3E181D4">
            <w:pPr>
              <w:spacing w:line="360" w:lineRule="auto"/>
              <w:jc w:val="left"/>
              <w:rPr>
                <w:rFonts w:hint="default" w:ascii="仿宋" w:hAnsi="仿宋" w:eastAsia="仿宋" w:cs="仿宋"/>
                <w:sz w:val="24"/>
                <w:lang w:val="en-US" w:eastAsia="zh-CN"/>
              </w:rPr>
            </w:pPr>
          </w:p>
        </w:tc>
        <w:tc>
          <w:tcPr>
            <w:tcW w:w="1336" w:type="dxa"/>
            <w:noWrap w:val="0"/>
            <w:vAlign w:val="center"/>
          </w:tcPr>
          <w:p w14:paraId="07FF4046">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1255" w:type="dxa"/>
            <w:noWrap w:val="0"/>
            <w:vAlign w:val="center"/>
          </w:tcPr>
          <w:p w14:paraId="0554B0A4">
            <w:pPr>
              <w:spacing w:line="360" w:lineRule="auto"/>
              <w:jc w:val="left"/>
              <w:rPr>
                <w:rFonts w:hint="default" w:ascii="仿宋" w:hAnsi="仿宋" w:eastAsia="仿宋" w:cs="仿宋"/>
                <w:sz w:val="24"/>
                <w:lang w:val="en-US" w:eastAsia="zh-CN"/>
              </w:rPr>
            </w:pPr>
          </w:p>
        </w:tc>
        <w:tc>
          <w:tcPr>
            <w:tcW w:w="1486" w:type="dxa"/>
            <w:noWrap w:val="0"/>
            <w:vAlign w:val="center"/>
          </w:tcPr>
          <w:p w14:paraId="148E517C">
            <w:pPr>
              <w:spacing w:line="360" w:lineRule="auto"/>
              <w:jc w:val="left"/>
              <w:rPr>
                <w:rFonts w:hint="default" w:ascii="仿宋" w:hAnsi="仿宋" w:eastAsia="仿宋" w:cs="仿宋"/>
                <w:sz w:val="24"/>
                <w:lang w:val="en-US" w:eastAsia="zh-CN"/>
              </w:rPr>
            </w:pPr>
          </w:p>
        </w:tc>
        <w:tc>
          <w:tcPr>
            <w:tcW w:w="1159" w:type="dxa"/>
            <w:noWrap w:val="0"/>
            <w:vAlign w:val="center"/>
          </w:tcPr>
          <w:p w14:paraId="283F1D64">
            <w:pPr>
              <w:spacing w:line="360" w:lineRule="auto"/>
              <w:jc w:val="left"/>
              <w:rPr>
                <w:rFonts w:hint="eastAsia" w:ascii="仿宋" w:hAnsi="仿宋" w:eastAsia="仿宋" w:cs="仿宋"/>
                <w:sz w:val="24"/>
                <w:lang w:val="en-US" w:eastAsia="zh-CN"/>
              </w:rPr>
            </w:pPr>
          </w:p>
        </w:tc>
        <w:tc>
          <w:tcPr>
            <w:tcW w:w="1362" w:type="dxa"/>
            <w:noWrap w:val="0"/>
            <w:vAlign w:val="center"/>
          </w:tcPr>
          <w:p w14:paraId="1EB80D60">
            <w:pPr>
              <w:spacing w:line="360" w:lineRule="auto"/>
              <w:jc w:val="left"/>
              <w:rPr>
                <w:rFonts w:hint="default" w:ascii="仿宋" w:hAnsi="仿宋" w:eastAsia="仿宋" w:cs="仿宋"/>
                <w:sz w:val="24"/>
                <w:lang w:val="en-US" w:eastAsia="zh-CN"/>
              </w:rPr>
            </w:pPr>
          </w:p>
        </w:tc>
        <w:tc>
          <w:tcPr>
            <w:tcW w:w="1502" w:type="dxa"/>
            <w:noWrap w:val="0"/>
            <w:vAlign w:val="center"/>
          </w:tcPr>
          <w:p w14:paraId="09A3FD71">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夜间</w:t>
            </w:r>
          </w:p>
        </w:tc>
      </w:tr>
      <w:tr w14:paraId="2C9B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499DCF8E">
            <w:pPr>
              <w:spacing w:line="360" w:lineRule="auto"/>
              <w:jc w:val="left"/>
              <w:rPr>
                <w:rFonts w:hint="default" w:ascii="仿宋" w:hAnsi="仿宋" w:eastAsia="仿宋" w:cs="仿宋"/>
                <w:sz w:val="24"/>
                <w:lang w:val="en-US" w:eastAsia="zh-CN"/>
              </w:rPr>
            </w:pPr>
          </w:p>
        </w:tc>
        <w:tc>
          <w:tcPr>
            <w:tcW w:w="1336" w:type="dxa"/>
            <w:noWrap w:val="0"/>
            <w:vAlign w:val="center"/>
          </w:tcPr>
          <w:p w14:paraId="1C421A10">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80</w:t>
            </w:r>
          </w:p>
        </w:tc>
        <w:tc>
          <w:tcPr>
            <w:tcW w:w="1255" w:type="dxa"/>
            <w:noWrap w:val="0"/>
            <w:vAlign w:val="center"/>
          </w:tcPr>
          <w:p w14:paraId="671C87F5">
            <w:pPr>
              <w:spacing w:line="360" w:lineRule="auto"/>
              <w:jc w:val="left"/>
              <w:rPr>
                <w:rFonts w:hint="default" w:ascii="仿宋" w:hAnsi="仿宋" w:eastAsia="仿宋" w:cs="仿宋"/>
                <w:sz w:val="24"/>
                <w:lang w:val="en-US" w:eastAsia="zh-CN"/>
              </w:rPr>
            </w:pPr>
          </w:p>
        </w:tc>
        <w:tc>
          <w:tcPr>
            <w:tcW w:w="1486" w:type="dxa"/>
            <w:noWrap w:val="0"/>
            <w:vAlign w:val="center"/>
          </w:tcPr>
          <w:p w14:paraId="6C8667C4">
            <w:pPr>
              <w:spacing w:line="360" w:lineRule="auto"/>
              <w:jc w:val="left"/>
              <w:rPr>
                <w:rFonts w:hint="default" w:ascii="仿宋" w:hAnsi="仿宋" w:eastAsia="仿宋" w:cs="仿宋"/>
                <w:sz w:val="24"/>
                <w:lang w:val="en-US" w:eastAsia="zh-CN"/>
              </w:rPr>
            </w:pPr>
          </w:p>
        </w:tc>
        <w:tc>
          <w:tcPr>
            <w:tcW w:w="1159" w:type="dxa"/>
            <w:noWrap w:val="0"/>
            <w:vAlign w:val="center"/>
          </w:tcPr>
          <w:p w14:paraId="1A691CFD">
            <w:pPr>
              <w:spacing w:line="360" w:lineRule="auto"/>
              <w:jc w:val="left"/>
              <w:rPr>
                <w:rFonts w:hint="eastAsia" w:ascii="仿宋" w:hAnsi="仿宋" w:eastAsia="仿宋" w:cs="仿宋"/>
                <w:sz w:val="24"/>
                <w:lang w:val="en-US" w:eastAsia="zh-CN"/>
              </w:rPr>
            </w:pPr>
          </w:p>
        </w:tc>
        <w:tc>
          <w:tcPr>
            <w:tcW w:w="1362" w:type="dxa"/>
            <w:noWrap w:val="0"/>
            <w:vAlign w:val="center"/>
          </w:tcPr>
          <w:p w14:paraId="442DCD60">
            <w:pPr>
              <w:spacing w:line="360" w:lineRule="auto"/>
              <w:jc w:val="left"/>
              <w:rPr>
                <w:rFonts w:hint="default" w:ascii="仿宋" w:hAnsi="仿宋" w:eastAsia="仿宋" w:cs="仿宋"/>
                <w:sz w:val="24"/>
                <w:lang w:val="en-US" w:eastAsia="zh-CN"/>
              </w:rPr>
            </w:pPr>
          </w:p>
        </w:tc>
        <w:tc>
          <w:tcPr>
            <w:tcW w:w="1502" w:type="dxa"/>
            <w:noWrap w:val="0"/>
            <w:vAlign w:val="center"/>
          </w:tcPr>
          <w:p w14:paraId="3E5BB213">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r w14:paraId="4502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87015FB">
            <w:pPr>
              <w:spacing w:line="360" w:lineRule="auto"/>
              <w:jc w:val="left"/>
              <w:rPr>
                <w:rFonts w:hint="default" w:ascii="仿宋" w:hAnsi="仿宋" w:eastAsia="仿宋" w:cs="仿宋"/>
                <w:sz w:val="24"/>
                <w:lang w:val="en-US" w:eastAsia="zh-CN"/>
              </w:rPr>
            </w:pPr>
          </w:p>
        </w:tc>
        <w:tc>
          <w:tcPr>
            <w:tcW w:w="1336" w:type="dxa"/>
            <w:noWrap w:val="0"/>
            <w:vAlign w:val="center"/>
          </w:tcPr>
          <w:p w14:paraId="11DDE552">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1255" w:type="dxa"/>
            <w:noWrap w:val="0"/>
            <w:vAlign w:val="center"/>
          </w:tcPr>
          <w:p w14:paraId="6A700C6D">
            <w:pPr>
              <w:spacing w:line="360" w:lineRule="auto"/>
              <w:jc w:val="left"/>
              <w:rPr>
                <w:rFonts w:hint="default" w:ascii="仿宋" w:hAnsi="仿宋" w:eastAsia="仿宋" w:cs="仿宋"/>
                <w:sz w:val="24"/>
                <w:lang w:val="en-US" w:eastAsia="zh-CN"/>
              </w:rPr>
            </w:pPr>
          </w:p>
        </w:tc>
        <w:tc>
          <w:tcPr>
            <w:tcW w:w="1486" w:type="dxa"/>
            <w:noWrap w:val="0"/>
            <w:vAlign w:val="center"/>
          </w:tcPr>
          <w:p w14:paraId="27298D0E">
            <w:pPr>
              <w:spacing w:line="360" w:lineRule="auto"/>
              <w:jc w:val="left"/>
              <w:rPr>
                <w:rFonts w:hint="default" w:ascii="仿宋" w:hAnsi="仿宋" w:eastAsia="仿宋" w:cs="仿宋"/>
                <w:sz w:val="24"/>
                <w:lang w:val="en-US" w:eastAsia="zh-CN"/>
              </w:rPr>
            </w:pPr>
          </w:p>
        </w:tc>
        <w:tc>
          <w:tcPr>
            <w:tcW w:w="1159" w:type="dxa"/>
            <w:noWrap w:val="0"/>
            <w:vAlign w:val="center"/>
          </w:tcPr>
          <w:p w14:paraId="2A34005E">
            <w:pPr>
              <w:spacing w:line="360" w:lineRule="auto"/>
              <w:jc w:val="left"/>
              <w:rPr>
                <w:rFonts w:hint="eastAsia" w:ascii="仿宋" w:hAnsi="仿宋" w:eastAsia="仿宋" w:cs="仿宋"/>
                <w:sz w:val="24"/>
                <w:lang w:val="en-US" w:eastAsia="zh-CN"/>
              </w:rPr>
            </w:pPr>
          </w:p>
        </w:tc>
        <w:tc>
          <w:tcPr>
            <w:tcW w:w="1362" w:type="dxa"/>
            <w:noWrap w:val="0"/>
            <w:vAlign w:val="center"/>
          </w:tcPr>
          <w:p w14:paraId="6BFDE7E1">
            <w:pPr>
              <w:spacing w:line="360" w:lineRule="auto"/>
              <w:jc w:val="left"/>
              <w:rPr>
                <w:rFonts w:hint="default" w:ascii="仿宋" w:hAnsi="仿宋" w:eastAsia="仿宋" w:cs="仿宋"/>
                <w:sz w:val="24"/>
                <w:lang w:val="en-US" w:eastAsia="zh-CN"/>
              </w:rPr>
            </w:pPr>
          </w:p>
        </w:tc>
        <w:tc>
          <w:tcPr>
            <w:tcW w:w="1502" w:type="dxa"/>
            <w:noWrap w:val="0"/>
            <w:vAlign w:val="center"/>
          </w:tcPr>
          <w:p w14:paraId="66B1A7D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r w14:paraId="295C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58E2DF6E">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过渡段</w:t>
            </w:r>
          </w:p>
        </w:tc>
        <w:tc>
          <w:tcPr>
            <w:tcW w:w="1336" w:type="dxa"/>
            <w:noWrap w:val="0"/>
            <w:vAlign w:val="center"/>
          </w:tcPr>
          <w:p w14:paraId="499DA69A">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1255" w:type="dxa"/>
            <w:noWrap w:val="0"/>
            <w:vAlign w:val="center"/>
          </w:tcPr>
          <w:p w14:paraId="0383E91D">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65828880">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8.3</w:t>
            </w:r>
          </w:p>
        </w:tc>
        <w:tc>
          <w:tcPr>
            <w:tcW w:w="1159" w:type="dxa"/>
            <w:noWrap w:val="0"/>
            <w:vAlign w:val="center"/>
          </w:tcPr>
          <w:p w14:paraId="7063D933">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054ECAD8">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120</w:t>
            </w:r>
          </w:p>
        </w:tc>
        <w:tc>
          <w:tcPr>
            <w:tcW w:w="1502" w:type="dxa"/>
            <w:noWrap w:val="0"/>
            <w:vAlign w:val="center"/>
          </w:tcPr>
          <w:p w14:paraId="0B549225">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51B6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0669CD6C">
            <w:pPr>
              <w:spacing w:line="360" w:lineRule="auto"/>
              <w:jc w:val="left"/>
              <w:rPr>
                <w:rFonts w:hint="default" w:ascii="仿宋" w:hAnsi="仿宋" w:eastAsia="仿宋" w:cs="仿宋"/>
                <w:sz w:val="24"/>
                <w:lang w:val="en-US" w:eastAsia="zh-CN"/>
              </w:rPr>
            </w:pPr>
          </w:p>
        </w:tc>
        <w:tc>
          <w:tcPr>
            <w:tcW w:w="1336" w:type="dxa"/>
            <w:noWrap w:val="0"/>
            <w:vAlign w:val="center"/>
          </w:tcPr>
          <w:p w14:paraId="1ABFF43E">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80</w:t>
            </w:r>
          </w:p>
        </w:tc>
        <w:tc>
          <w:tcPr>
            <w:tcW w:w="1255" w:type="dxa"/>
            <w:noWrap w:val="0"/>
            <w:vAlign w:val="center"/>
          </w:tcPr>
          <w:p w14:paraId="3ACB99C8">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3D5373D8">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15.8</w:t>
            </w:r>
          </w:p>
        </w:tc>
        <w:tc>
          <w:tcPr>
            <w:tcW w:w="1159" w:type="dxa"/>
            <w:noWrap w:val="0"/>
            <w:vAlign w:val="center"/>
          </w:tcPr>
          <w:p w14:paraId="775DAE3D">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67D416E8">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168</w:t>
            </w:r>
          </w:p>
        </w:tc>
        <w:tc>
          <w:tcPr>
            <w:tcW w:w="1502" w:type="dxa"/>
            <w:noWrap w:val="0"/>
            <w:vAlign w:val="center"/>
          </w:tcPr>
          <w:p w14:paraId="76916758">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2483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5F339B5">
            <w:pPr>
              <w:spacing w:line="360" w:lineRule="auto"/>
              <w:jc w:val="left"/>
              <w:rPr>
                <w:rFonts w:hint="default" w:ascii="仿宋" w:hAnsi="仿宋" w:eastAsia="仿宋" w:cs="仿宋"/>
                <w:sz w:val="24"/>
                <w:lang w:val="en-US" w:eastAsia="zh-CN"/>
              </w:rPr>
            </w:pPr>
          </w:p>
        </w:tc>
        <w:tc>
          <w:tcPr>
            <w:tcW w:w="1336" w:type="dxa"/>
            <w:noWrap w:val="0"/>
            <w:vAlign w:val="center"/>
          </w:tcPr>
          <w:p w14:paraId="67B7CDDB">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1255" w:type="dxa"/>
            <w:noWrap w:val="0"/>
            <w:vAlign w:val="center"/>
          </w:tcPr>
          <w:p w14:paraId="3470B257">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525AED03">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23.7</w:t>
            </w:r>
          </w:p>
        </w:tc>
        <w:tc>
          <w:tcPr>
            <w:tcW w:w="1159" w:type="dxa"/>
            <w:noWrap w:val="0"/>
            <w:vAlign w:val="center"/>
          </w:tcPr>
          <w:p w14:paraId="7DBF15A9">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1A6951EF">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228</w:t>
            </w:r>
          </w:p>
        </w:tc>
        <w:tc>
          <w:tcPr>
            <w:tcW w:w="1502" w:type="dxa"/>
            <w:noWrap w:val="0"/>
            <w:vAlign w:val="center"/>
          </w:tcPr>
          <w:p w14:paraId="2976F04F">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7FC7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BAB34A6">
            <w:pPr>
              <w:spacing w:line="360" w:lineRule="auto"/>
              <w:jc w:val="left"/>
              <w:rPr>
                <w:rFonts w:hint="default" w:ascii="仿宋" w:hAnsi="仿宋" w:eastAsia="仿宋" w:cs="仿宋"/>
                <w:sz w:val="24"/>
                <w:lang w:val="en-US" w:eastAsia="zh-CN"/>
              </w:rPr>
            </w:pPr>
          </w:p>
        </w:tc>
        <w:tc>
          <w:tcPr>
            <w:tcW w:w="1336" w:type="dxa"/>
            <w:noWrap w:val="0"/>
            <w:vAlign w:val="center"/>
          </w:tcPr>
          <w:p w14:paraId="7D6BED6D">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1255" w:type="dxa"/>
            <w:noWrap w:val="0"/>
            <w:vAlign w:val="center"/>
          </w:tcPr>
          <w:p w14:paraId="6015BB46">
            <w:pPr>
              <w:spacing w:line="360" w:lineRule="auto"/>
              <w:jc w:val="left"/>
              <w:rPr>
                <w:rFonts w:hint="eastAsia" w:ascii="仿宋" w:hAnsi="仿宋" w:eastAsia="仿宋" w:cs="仿宋"/>
                <w:sz w:val="24"/>
                <w:lang w:val="en-US" w:eastAsia="zh-CN"/>
              </w:rPr>
            </w:pPr>
          </w:p>
        </w:tc>
        <w:tc>
          <w:tcPr>
            <w:tcW w:w="1486" w:type="dxa"/>
            <w:noWrap w:val="0"/>
            <w:vAlign w:val="center"/>
          </w:tcPr>
          <w:p w14:paraId="20188722">
            <w:pPr>
              <w:spacing w:line="360" w:lineRule="auto"/>
              <w:jc w:val="left"/>
              <w:rPr>
                <w:rFonts w:hint="default" w:ascii="仿宋" w:hAnsi="仿宋" w:eastAsia="仿宋" w:cs="仿宋"/>
                <w:sz w:val="24"/>
                <w:lang w:val="en-US" w:eastAsia="zh-CN"/>
              </w:rPr>
            </w:pPr>
          </w:p>
        </w:tc>
        <w:tc>
          <w:tcPr>
            <w:tcW w:w="1159" w:type="dxa"/>
            <w:noWrap w:val="0"/>
            <w:vAlign w:val="center"/>
          </w:tcPr>
          <w:p w14:paraId="5D86CA9B">
            <w:pPr>
              <w:spacing w:line="360" w:lineRule="auto"/>
              <w:jc w:val="left"/>
              <w:rPr>
                <w:rFonts w:hint="default" w:ascii="仿宋" w:hAnsi="仿宋" w:eastAsia="仿宋" w:cs="仿宋"/>
                <w:sz w:val="24"/>
                <w:lang w:val="en-US" w:eastAsia="zh-CN"/>
              </w:rPr>
            </w:pPr>
          </w:p>
        </w:tc>
        <w:tc>
          <w:tcPr>
            <w:tcW w:w="1362" w:type="dxa"/>
            <w:noWrap w:val="0"/>
            <w:vAlign w:val="center"/>
          </w:tcPr>
          <w:p w14:paraId="2F793643">
            <w:pPr>
              <w:spacing w:line="360" w:lineRule="auto"/>
              <w:jc w:val="left"/>
              <w:rPr>
                <w:rFonts w:hint="default" w:ascii="仿宋" w:hAnsi="仿宋" w:eastAsia="仿宋" w:cs="仿宋"/>
                <w:sz w:val="24"/>
                <w:lang w:val="en-US" w:eastAsia="zh-CN"/>
              </w:rPr>
            </w:pPr>
          </w:p>
        </w:tc>
        <w:tc>
          <w:tcPr>
            <w:tcW w:w="1502" w:type="dxa"/>
            <w:noWrap w:val="0"/>
            <w:vAlign w:val="center"/>
          </w:tcPr>
          <w:p w14:paraId="4AA9C976">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r w14:paraId="14A9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6A6E5EFA">
            <w:pPr>
              <w:spacing w:line="360" w:lineRule="auto"/>
              <w:jc w:val="left"/>
              <w:rPr>
                <w:rFonts w:hint="default" w:ascii="仿宋" w:hAnsi="仿宋" w:eastAsia="仿宋" w:cs="仿宋"/>
                <w:sz w:val="24"/>
                <w:lang w:val="en-US" w:eastAsia="zh-CN"/>
              </w:rPr>
            </w:pPr>
          </w:p>
        </w:tc>
        <w:tc>
          <w:tcPr>
            <w:tcW w:w="1336" w:type="dxa"/>
            <w:noWrap w:val="0"/>
            <w:vAlign w:val="center"/>
          </w:tcPr>
          <w:p w14:paraId="47A6B57F">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80</w:t>
            </w:r>
          </w:p>
        </w:tc>
        <w:tc>
          <w:tcPr>
            <w:tcW w:w="1255" w:type="dxa"/>
            <w:noWrap w:val="0"/>
            <w:vAlign w:val="center"/>
          </w:tcPr>
          <w:p w14:paraId="1AC6D619">
            <w:pPr>
              <w:spacing w:line="360" w:lineRule="auto"/>
              <w:jc w:val="left"/>
              <w:rPr>
                <w:rFonts w:hint="eastAsia" w:ascii="仿宋" w:hAnsi="仿宋" w:eastAsia="仿宋" w:cs="仿宋"/>
                <w:sz w:val="24"/>
                <w:lang w:val="en-US" w:eastAsia="zh-CN"/>
              </w:rPr>
            </w:pPr>
          </w:p>
        </w:tc>
        <w:tc>
          <w:tcPr>
            <w:tcW w:w="1486" w:type="dxa"/>
            <w:noWrap w:val="0"/>
            <w:vAlign w:val="center"/>
          </w:tcPr>
          <w:p w14:paraId="320926FA">
            <w:pPr>
              <w:spacing w:line="360" w:lineRule="auto"/>
              <w:jc w:val="left"/>
              <w:rPr>
                <w:rFonts w:hint="default" w:ascii="仿宋" w:hAnsi="仿宋" w:eastAsia="仿宋" w:cs="仿宋"/>
                <w:sz w:val="24"/>
                <w:lang w:val="en-US" w:eastAsia="zh-CN"/>
              </w:rPr>
            </w:pPr>
          </w:p>
        </w:tc>
        <w:tc>
          <w:tcPr>
            <w:tcW w:w="1159" w:type="dxa"/>
            <w:noWrap w:val="0"/>
            <w:vAlign w:val="center"/>
          </w:tcPr>
          <w:p w14:paraId="74B43329">
            <w:pPr>
              <w:spacing w:line="360" w:lineRule="auto"/>
              <w:jc w:val="left"/>
              <w:rPr>
                <w:rFonts w:hint="default" w:ascii="仿宋" w:hAnsi="仿宋" w:eastAsia="仿宋" w:cs="仿宋"/>
                <w:sz w:val="24"/>
                <w:lang w:val="en-US" w:eastAsia="zh-CN"/>
              </w:rPr>
            </w:pPr>
          </w:p>
        </w:tc>
        <w:tc>
          <w:tcPr>
            <w:tcW w:w="1362" w:type="dxa"/>
            <w:noWrap w:val="0"/>
            <w:vAlign w:val="center"/>
          </w:tcPr>
          <w:p w14:paraId="5FE367C7">
            <w:pPr>
              <w:spacing w:line="360" w:lineRule="auto"/>
              <w:jc w:val="left"/>
              <w:rPr>
                <w:rFonts w:hint="default" w:ascii="仿宋" w:hAnsi="仿宋" w:eastAsia="仿宋" w:cs="仿宋"/>
                <w:sz w:val="24"/>
                <w:lang w:val="en-US" w:eastAsia="zh-CN"/>
              </w:rPr>
            </w:pPr>
          </w:p>
        </w:tc>
        <w:tc>
          <w:tcPr>
            <w:tcW w:w="1502" w:type="dxa"/>
            <w:noWrap w:val="0"/>
            <w:vAlign w:val="center"/>
          </w:tcPr>
          <w:p w14:paraId="1505EFFA">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r w14:paraId="2B3E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65875168">
            <w:pPr>
              <w:spacing w:line="360" w:lineRule="auto"/>
              <w:jc w:val="left"/>
              <w:rPr>
                <w:rFonts w:hint="default" w:ascii="仿宋" w:hAnsi="仿宋" w:eastAsia="仿宋" w:cs="仿宋"/>
                <w:sz w:val="24"/>
                <w:lang w:val="en-US" w:eastAsia="zh-CN"/>
              </w:rPr>
            </w:pPr>
          </w:p>
        </w:tc>
        <w:tc>
          <w:tcPr>
            <w:tcW w:w="1336" w:type="dxa"/>
            <w:noWrap w:val="0"/>
            <w:vAlign w:val="center"/>
          </w:tcPr>
          <w:p w14:paraId="46359BB3">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1255" w:type="dxa"/>
            <w:noWrap w:val="0"/>
            <w:vAlign w:val="center"/>
          </w:tcPr>
          <w:p w14:paraId="234103A3">
            <w:pPr>
              <w:spacing w:line="360" w:lineRule="auto"/>
              <w:jc w:val="left"/>
              <w:rPr>
                <w:rFonts w:hint="eastAsia" w:ascii="仿宋" w:hAnsi="仿宋" w:eastAsia="仿宋" w:cs="仿宋"/>
                <w:sz w:val="24"/>
                <w:lang w:val="en-US" w:eastAsia="zh-CN"/>
              </w:rPr>
            </w:pPr>
          </w:p>
        </w:tc>
        <w:tc>
          <w:tcPr>
            <w:tcW w:w="1486" w:type="dxa"/>
            <w:noWrap w:val="0"/>
            <w:vAlign w:val="center"/>
          </w:tcPr>
          <w:p w14:paraId="4C214FC2">
            <w:pPr>
              <w:spacing w:line="360" w:lineRule="auto"/>
              <w:jc w:val="left"/>
              <w:rPr>
                <w:rFonts w:hint="default" w:ascii="仿宋" w:hAnsi="仿宋" w:eastAsia="仿宋" w:cs="仿宋"/>
                <w:sz w:val="24"/>
                <w:lang w:val="en-US" w:eastAsia="zh-CN"/>
              </w:rPr>
            </w:pPr>
          </w:p>
        </w:tc>
        <w:tc>
          <w:tcPr>
            <w:tcW w:w="1159" w:type="dxa"/>
            <w:noWrap w:val="0"/>
            <w:vAlign w:val="center"/>
          </w:tcPr>
          <w:p w14:paraId="16CA3543">
            <w:pPr>
              <w:spacing w:line="360" w:lineRule="auto"/>
              <w:jc w:val="left"/>
              <w:rPr>
                <w:rFonts w:hint="default" w:ascii="仿宋" w:hAnsi="仿宋" w:eastAsia="仿宋" w:cs="仿宋"/>
                <w:sz w:val="24"/>
                <w:lang w:val="en-US" w:eastAsia="zh-CN"/>
              </w:rPr>
            </w:pPr>
          </w:p>
        </w:tc>
        <w:tc>
          <w:tcPr>
            <w:tcW w:w="1362" w:type="dxa"/>
            <w:noWrap w:val="0"/>
            <w:vAlign w:val="center"/>
          </w:tcPr>
          <w:p w14:paraId="496CBA90">
            <w:pPr>
              <w:spacing w:line="360" w:lineRule="auto"/>
              <w:jc w:val="left"/>
              <w:rPr>
                <w:rFonts w:hint="default" w:ascii="仿宋" w:hAnsi="仿宋" w:eastAsia="仿宋" w:cs="仿宋"/>
                <w:sz w:val="24"/>
                <w:lang w:val="en-US" w:eastAsia="zh-CN"/>
              </w:rPr>
            </w:pPr>
          </w:p>
        </w:tc>
        <w:tc>
          <w:tcPr>
            <w:tcW w:w="1502" w:type="dxa"/>
            <w:noWrap w:val="0"/>
            <w:vAlign w:val="center"/>
          </w:tcPr>
          <w:p w14:paraId="09658E2A">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r w14:paraId="16BB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6E44032E">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内部段</w:t>
            </w:r>
          </w:p>
        </w:tc>
        <w:tc>
          <w:tcPr>
            <w:tcW w:w="1336" w:type="dxa"/>
            <w:noWrap w:val="0"/>
            <w:vAlign w:val="center"/>
          </w:tcPr>
          <w:p w14:paraId="500A0906">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1255" w:type="dxa"/>
            <w:noWrap w:val="0"/>
            <w:vAlign w:val="center"/>
          </w:tcPr>
          <w:p w14:paraId="56D36C61">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2DECB619">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159" w:type="dxa"/>
            <w:noWrap w:val="0"/>
            <w:vAlign w:val="center"/>
          </w:tcPr>
          <w:p w14:paraId="46031E05">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05670A86">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502" w:type="dxa"/>
            <w:noWrap w:val="0"/>
            <w:vAlign w:val="center"/>
          </w:tcPr>
          <w:p w14:paraId="3A83EBFA">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5E84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6549B9B3">
            <w:pPr>
              <w:spacing w:line="360" w:lineRule="auto"/>
              <w:jc w:val="left"/>
              <w:rPr>
                <w:rFonts w:hint="default" w:ascii="仿宋" w:hAnsi="仿宋" w:eastAsia="仿宋" w:cs="仿宋"/>
                <w:sz w:val="24"/>
                <w:lang w:val="en-US" w:eastAsia="zh-CN"/>
              </w:rPr>
            </w:pPr>
          </w:p>
        </w:tc>
        <w:tc>
          <w:tcPr>
            <w:tcW w:w="1336" w:type="dxa"/>
            <w:noWrap w:val="0"/>
            <w:vAlign w:val="center"/>
          </w:tcPr>
          <w:p w14:paraId="52C806DF">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80</w:t>
            </w:r>
          </w:p>
        </w:tc>
        <w:tc>
          <w:tcPr>
            <w:tcW w:w="1255" w:type="dxa"/>
            <w:noWrap w:val="0"/>
            <w:vAlign w:val="center"/>
          </w:tcPr>
          <w:p w14:paraId="3B54280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00A0D5CF">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3.5</w:t>
            </w:r>
          </w:p>
        </w:tc>
        <w:tc>
          <w:tcPr>
            <w:tcW w:w="1159" w:type="dxa"/>
            <w:noWrap w:val="0"/>
            <w:vAlign w:val="center"/>
          </w:tcPr>
          <w:p w14:paraId="1E507E4C">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4FAABD87">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502" w:type="dxa"/>
            <w:noWrap w:val="0"/>
            <w:vAlign w:val="center"/>
          </w:tcPr>
          <w:p w14:paraId="615E7334">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342B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0BF51DBD">
            <w:pPr>
              <w:spacing w:line="360" w:lineRule="auto"/>
              <w:jc w:val="left"/>
              <w:rPr>
                <w:rFonts w:hint="default" w:ascii="仿宋" w:hAnsi="仿宋" w:eastAsia="仿宋" w:cs="仿宋"/>
                <w:sz w:val="24"/>
                <w:lang w:val="en-US" w:eastAsia="zh-CN"/>
              </w:rPr>
            </w:pPr>
          </w:p>
        </w:tc>
        <w:tc>
          <w:tcPr>
            <w:tcW w:w="1336" w:type="dxa"/>
            <w:noWrap w:val="0"/>
            <w:vAlign w:val="center"/>
          </w:tcPr>
          <w:p w14:paraId="2ED5EFF0">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1255" w:type="dxa"/>
            <w:noWrap w:val="0"/>
            <w:vAlign w:val="center"/>
          </w:tcPr>
          <w:p w14:paraId="2D4E5B00">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13109878">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3.5</w:t>
            </w:r>
          </w:p>
        </w:tc>
        <w:tc>
          <w:tcPr>
            <w:tcW w:w="1159" w:type="dxa"/>
            <w:noWrap w:val="0"/>
            <w:vAlign w:val="center"/>
          </w:tcPr>
          <w:p w14:paraId="52D55BD4">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31320FEB">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502" w:type="dxa"/>
            <w:noWrap w:val="0"/>
            <w:vAlign w:val="center"/>
          </w:tcPr>
          <w:p w14:paraId="3997D145">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26EF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0CAB2C9B">
            <w:pPr>
              <w:spacing w:line="360" w:lineRule="auto"/>
              <w:jc w:val="left"/>
              <w:rPr>
                <w:rFonts w:hint="default" w:ascii="仿宋" w:hAnsi="仿宋" w:eastAsia="仿宋" w:cs="仿宋"/>
                <w:sz w:val="24"/>
                <w:lang w:val="en-US" w:eastAsia="zh-CN"/>
              </w:rPr>
            </w:pPr>
          </w:p>
        </w:tc>
        <w:tc>
          <w:tcPr>
            <w:tcW w:w="1336" w:type="dxa"/>
            <w:noWrap w:val="0"/>
            <w:vAlign w:val="center"/>
          </w:tcPr>
          <w:p w14:paraId="0FFF2FD6">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1255" w:type="dxa"/>
            <w:noWrap w:val="0"/>
            <w:vAlign w:val="center"/>
          </w:tcPr>
          <w:p w14:paraId="1A49DB22">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35480601">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159" w:type="dxa"/>
            <w:noWrap w:val="0"/>
            <w:vAlign w:val="center"/>
          </w:tcPr>
          <w:p w14:paraId="3B6C4106">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7C3F7405">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502" w:type="dxa"/>
            <w:noWrap w:val="0"/>
            <w:vAlign w:val="center"/>
          </w:tcPr>
          <w:p w14:paraId="7983AFA8">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r w14:paraId="4DF3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6D6D051F">
            <w:pPr>
              <w:spacing w:line="360" w:lineRule="auto"/>
              <w:jc w:val="left"/>
              <w:rPr>
                <w:rFonts w:hint="default" w:ascii="仿宋" w:hAnsi="仿宋" w:eastAsia="仿宋" w:cs="仿宋"/>
                <w:sz w:val="24"/>
                <w:lang w:val="en-US" w:eastAsia="zh-CN"/>
              </w:rPr>
            </w:pPr>
          </w:p>
        </w:tc>
        <w:tc>
          <w:tcPr>
            <w:tcW w:w="1336" w:type="dxa"/>
            <w:noWrap w:val="0"/>
            <w:vAlign w:val="center"/>
          </w:tcPr>
          <w:p w14:paraId="35CD608E">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80</w:t>
            </w:r>
          </w:p>
        </w:tc>
        <w:tc>
          <w:tcPr>
            <w:tcW w:w="1255" w:type="dxa"/>
            <w:noWrap w:val="0"/>
            <w:vAlign w:val="center"/>
          </w:tcPr>
          <w:p w14:paraId="132A573F">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0D8E8C7C">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3.5</w:t>
            </w:r>
          </w:p>
        </w:tc>
        <w:tc>
          <w:tcPr>
            <w:tcW w:w="1159" w:type="dxa"/>
            <w:noWrap w:val="0"/>
            <w:vAlign w:val="center"/>
          </w:tcPr>
          <w:p w14:paraId="2B6FBE2E">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08F2FEA4">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502" w:type="dxa"/>
            <w:noWrap w:val="0"/>
            <w:vAlign w:val="center"/>
          </w:tcPr>
          <w:p w14:paraId="6AE7FF37">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r w14:paraId="3BD0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5FC619E">
            <w:pPr>
              <w:spacing w:line="360" w:lineRule="auto"/>
              <w:jc w:val="left"/>
              <w:rPr>
                <w:rFonts w:hint="default" w:ascii="仿宋" w:hAnsi="仿宋" w:eastAsia="仿宋" w:cs="仿宋"/>
                <w:sz w:val="24"/>
                <w:lang w:val="en-US" w:eastAsia="zh-CN"/>
              </w:rPr>
            </w:pPr>
          </w:p>
        </w:tc>
        <w:tc>
          <w:tcPr>
            <w:tcW w:w="1336" w:type="dxa"/>
            <w:noWrap w:val="0"/>
            <w:vAlign w:val="center"/>
          </w:tcPr>
          <w:p w14:paraId="42C6FBD5">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100</w:t>
            </w:r>
          </w:p>
        </w:tc>
        <w:tc>
          <w:tcPr>
            <w:tcW w:w="1255" w:type="dxa"/>
            <w:noWrap w:val="0"/>
            <w:vAlign w:val="center"/>
          </w:tcPr>
          <w:p w14:paraId="67F147CF">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71E53749">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3.5</w:t>
            </w:r>
          </w:p>
        </w:tc>
        <w:tc>
          <w:tcPr>
            <w:tcW w:w="1159" w:type="dxa"/>
            <w:noWrap w:val="0"/>
            <w:vAlign w:val="center"/>
          </w:tcPr>
          <w:p w14:paraId="5E19813D">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17035FD8">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1502" w:type="dxa"/>
            <w:noWrap w:val="0"/>
            <w:vAlign w:val="center"/>
          </w:tcPr>
          <w:p w14:paraId="6D8EF2B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r w14:paraId="6C09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58F23CD9">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出口段</w:t>
            </w:r>
          </w:p>
        </w:tc>
        <w:tc>
          <w:tcPr>
            <w:tcW w:w="1336" w:type="dxa"/>
            <w:noWrap w:val="0"/>
            <w:vAlign w:val="center"/>
          </w:tcPr>
          <w:p w14:paraId="66AD763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60</w:t>
            </w:r>
          </w:p>
        </w:tc>
        <w:tc>
          <w:tcPr>
            <w:tcW w:w="1255" w:type="dxa"/>
            <w:noWrap w:val="0"/>
            <w:vAlign w:val="center"/>
          </w:tcPr>
          <w:p w14:paraId="2B627912">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28CE7E86">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159" w:type="dxa"/>
            <w:noWrap w:val="0"/>
            <w:vAlign w:val="center"/>
          </w:tcPr>
          <w:p w14:paraId="72C3158B">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0F17C5D9">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1502" w:type="dxa"/>
            <w:noWrap w:val="0"/>
            <w:vAlign w:val="center"/>
          </w:tcPr>
          <w:p w14:paraId="0565038F">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220E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4B8AD4E">
            <w:pPr>
              <w:spacing w:line="360" w:lineRule="auto"/>
              <w:jc w:val="left"/>
              <w:rPr>
                <w:rFonts w:hint="default" w:ascii="仿宋" w:hAnsi="仿宋" w:eastAsia="仿宋" w:cs="仿宋"/>
                <w:sz w:val="24"/>
                <w:lang w:val="en-US" w:eastAsia="zh-CN"/>
              </w:rPr>
            </w:pPr>
          </w:p>
        </w:tc>
        <w:tc>
          <w:tcPr>
            <w:tcW w:w="1336" w:type="dxa"/>
            <w:noWrap w:val="0"/>
            <w:vAlign w:val="center"/>
          </w:tcPr>
          <w:p w14:paraId="5E1026C9">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80</w:t>
            </w:r>
          </w:p>
        </w:tc>
        <w:tc>
          <w:tcPr>
            <w:tcW w:w="1255" w:type="dxa"/>
            <w:noWrap w:val="0"/>
            <w:vAlign w:val="center"/>
          </w:tcPr>
          <w:p w14:paraId="36381D8B">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6B720D6B">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17.5</w:t>
            </w:r>
          </w:p>
        </w:tc>
        <w:tc>
          <w:tcPr>
            <w:tcW w:w="1159" w:type="dxa"/>
            <w:noWrap w:val="0"/>
            <w:vAlign w:val="center"/>
          </w:tcPr>
          <w:p w14:paraId="35A03DF6">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19320D4E">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1502" w:type="dxa"/>
            <w:noWrap w:val="0"/>
            <w:vAlign w:val="center"/>
          </w:tcPr>
          <w:p w14:paraId="1B0160CD">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444F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3759557C">
            <w:pPr>
              <w:spacing w:line="360" w:lineRule="auto"/>
              <w:jc w:val="left"/>
              <w:rPr>
                <w:rFonts w:hint="default" w:ascii="仿宋" w:hAnsi="仿宋" w:eastAsia="仿宋" w:cs="仿宋"/>
                <w:sz w:val="24"/>
                <w:lang w:val="en-US" w:eastAsia="zh-CN"/>
              </w:rPr>
            </w:pPr>
          </w:p>
        </w:tc>
        <w:tc>
          <w:tcPr>
            <w:tcW w:w="1336" w:type="dxa"/>
            <w:noWrap w:val="0"/>
            <w:vAlign w:val="center"/>
          </w:tcPr>
          <w:p w14:paraId="67390187">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100</w:t>
            </w:r>
          </w:p>
        </w:tc>
        <w:tc>
          <w:tcPr>
            <w:tcW w:w="1255" w:type="dxa"/>
            <w:noWrap w:val="0"/>
            <w:vAlign w:val="center"/>
          </w:tcPr>
          <w:p w14:paraId="7F018F29">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1613C3BD">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17.5</w:t>
            </w:r>
          </w:p>
        </w:tc>
        <w:tc>
          <w:tcPr>
            <w:tcW w:w="1159" w:type="dxa"/>
            <w:noWrap w:val="0"/>
            <w:vAlign w:val="center"/>
          </w:tcPr>
          <w:p w14:paraId="49F43865">
            <w:pPr>
              <w:spacing w:line="360" w:lineRule="auto"/>
              <w:jc w:val="left"/>
              <w:rPr>
                <w:rFonts w:hint="default" w:ascii="仿宋" w:hAnsi="仿宋" w:eastAsia="仿宋" w:cs="仿宋"/>
                <w:sz w:val="24"/>
                <w:lang w:val="en-US" w:eastAsia="zh-CN"/>
              </w:rPr>
            </w:pPr>
            <w:r>
              <w:rPr>
                <w:rFonts w:hint="default" w:ascii="仿宋" w:hAnsi="仿宋" w:eastAsia="仿宋" w:cs="仿宋"/>
                <w:sz w:val="24"/>
                <w:lang w:val="en-US" w:eastAsia="zh-CN"/>
              </w:rPr>
              <w:t>≥0.4</w:t>
            </w:r>
          </w:p>
        </w:tc>
        <w:tc>
          <w:tcPr>
            <w:tcW w:w="1362" w:type="dxa"/>
            <w:noWrap w:val="0"/>
            <w:vAlign w:val="center"/>
          </w:tcPr>
          <w:p w14:paraId="0CDF914F">
            <w:pPr>
              <w:spacing w:line="36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60</w:t>
            </w:r>
          </w:p>
        </w:tc>
        <w:tc>
          <w:tcPr>
            <w:tcW w:w="1502" w:type="dxa"/>
            <w:noWrap w:val="0"/>
            <w:vAlign w:val="center"/>
          </w:tcPr>
          <w:p w14:paraId="683CC8EA">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白天</w:t>
            </w:r>
          </w:p>
        </w:tc>
      </w:tr>
      <w:tr w14:paraId="3E64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6C74463">
            <w:pPr>
              <w:spacing w:line="360" w:lineRule="auto"/>
              <w:jc w:val="left"/>
              <w:rPr>
                <w:rFonts w:hint="default" w:ascii="仿宋" w:hAnsi="仿宋" w:eastAsia="仿宋" w:cs="仿宋"/>
                <w:sz w:val="24"/>
                <w:lang w:val="en-US" w:eastAsia="zh-CN"/>
              </w:rPr>
            </w:pPr>
          </w:p>
        </w:tc>
        <w:tc>
          <w:tcPr>
            <w:tcW w:w="1336" w:type="dxa"/>
            <w:noWrap w:val="0"/>
            <w:vAlign w:val="center"/>
          </w:tcPr>
          <w:p w14:paraId="6DF5877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60</w:t>
            </w:r>
          </w:p>
        </w:tc>
        <w:tc>
          <w:tcPr>
            <w:tcW w:w="1255" w:type="dxa"/>
            <w:noWrap w:val="0"/>
            <w:vAlign w:val="center"/>
          </w:tcPr>
          <w:p w14:paraId="6A999FE8">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2DB3B30E">
            <w:pPr>
              <w:spacing w:line="360" w:lineRule="auto"/>
              <w:jc w:val="left"/>
              <w:rPr>
                <w:rFonts w:hint="default" w:ascii="仿宋" w:hAnsi="仿宋" w:eastAsia="仿宋" w:cs="仿宋"/>
                <w:sz w:val="24"/>
                <w:lang w:val="en-US" w:eastAsia="zh-CN"/>
              </w:rPr>
            </w:pPr>
          </w:p>
        </w:tc>
        <w:tc>
          <w:tcPr>
            <w:tcW w:w="1159" w:type="dxa"/>
            <w:noWrap w:val="0"/>
            <w:vAlign w:val="center"/>
          </w:tcPr>
          <w:p w14:paraId="7B1C591F">
            <w:pPr>
              <w:spacing w:line="360" w:lineRule="auto"/>
              <w:jc w:val="left"/>
              <w:rPr>
                <w:rFonts w:hint="default" w:ascii="仿宋" w:hAnsi="仿宋" w:eastAsia="仿宋" w:cs="仿宋"/>
                <w:sz w:val="24"/>
                <w:lang w:val="en-US" w:eastAsia="zh-CN"/>
              </w:rPr>
            </w:pPr>
          </w:p>
        </w:tc>
        <w:tc>
          <w:tcPr>
            <w:tcW w:w="1362" w:type="dxa"/>
            <w:noWrap w:val="0"/>
            <w:vAlign w:val="center"/>
          </w:tcPr>
          <w:p w14:paraId="2C1DD8F5">
            <w:pPr>
              <w:spacing w:line="360" w:lineRule="auto"/>
              <w:jc w:val="left"/>
              <w:rPr>
                <w:rFonts w:hint="default" w:ascii="仿宋" w:hAnsi="仿宋" w:eastAsia="仿宋" w:cs="仿宋"/>
                <w:sz w:val="24"/>
                <w:lang w:val="en-US" w:eastAsia="zh-CN"/>
              </w:rPr>
            </w:pPr>
          </w:p>
        </w:tc>
        <w:tc>
          <w:tcPr>
            <w:tcW w:w="1502" w:type="dxa"/>
            <w:noWrap w:val="0"/>
            <w:vAlign w:val="center"/>
          </w:tcPr>
          <w:p w14:paraId="34F6B24D">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r w14:paraId="1779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28D877A">
            <w:pPr>
              <w:spacing w:line="360" w:lineRule="auto"/>
              <w:jc w:val="left"/>
              <w:rPr>
                <w:rFonts w:hint="default" w:ascii="仿宋" w:hAnsi="仿宋" w:eastAsia="仿宋" w:cs="仿宋"/>
                <w:sz w:val="24"/>
                <w:lang w:val="en-US" w:eastAsia="zh-CN"/>
              </w:rPr>
            </w:pPr>
          </w:p>
        </w:tc>
        <w:tc>
          <w:tcPr>
            <w:tcW w:w="1336" w:type="dxa"/>
            <w:noWrap w:val="0"/>
            <w:vAlign w:val="center"/>
          </w:tcPr>
          <w:p w14:paraId="0772D3A6">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80</w:t>
            </w:r>
          </w:p>
        </w:tc>
        <w:tc>
          <w:tcPr>
            <w:tcW w:w="1255" w:type="dxa"/>
            <w:noWrap w:val="0"/>
            <w:vAlign w:val="center"/>
          </w:tcPr>
          <w:p w14:paraId="34145117">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107720B8">
            <w:pPr>
              <w:spacing w:line="360" w:lineRule="auto"/>
              <w:jc w:val="left"/>
              <w:rPr>
                <w:rFonts w:hint="default" w:ascii="仿宋" w:hAnsi="仿宋" w:eastAsia="仿宋" w:cs="仿宋"/>
                <w:sz w:val="24"/>
                <w:lang w:val="en-US" w:eastAsia="zh-CN"/>
              </w:rPr>
            </w:pPr>
          </w:p>
        </w:tc>
        <w:tc>
          <w:tcPr>
            <w:tcW w:w="1159" w:type="dxa"/>
            <w:noWrap w:val="0"/>
            <w:vAlign w:val="center"/>
          </w:tcPr>
          <w:p w14:paraId="687A22DD">
            <w:pPr>
              <w:spacing w:line="360" w:lineRule="auto"/>
              <w:jc w:val="left"/>
              <w:rPr>
                <w:rFonts w:hint="default" w:ascii="仿宋" w:hAnsi="仿宋" w:eastAsia="仿宋" w:cs="仿宋"/>
                <w:sz w:val="24"/>
                <w:lang w:val="en-US" w:eastAsia="zh-CN"/>
              </w:rPr>
            </w:pPr>
          </w:p>
        </w:tc>
        <w:tc>
          <w:tcPr>
            <w:tcW w:w="1362" w:type="dxa"/>
            <w:noWrap w:val="0"/>
            <w:vAlign w:val="center"/>
          </w:tcPr>
          <w:p w14:paraId="5F4E866B">
            <w:pPr>
              <w:spacing w:line="360" w:lineRule="auto"/>
              <w:jc w:val="left"/>
              <w:rPr>
                <w:rFonts w:hint="default" w:ascii="仿宋" w:hAnsi="仿宋" w:eastAsia="仿宋" w:cs="仿宋"/>
                <w:sz w:val="24"/>
                <w:lang w:val="en-US" w:eastAsia="zh-CN"/>
              </w:rPr>
            </w:pPr>
          </w:p>
        </w:tc>
        <w:tc>
          <w:tcPr>
            <w:tcW w:w="1502" w:type="dxa"/>
            <w:noWrap w:val="0"/>
            <w:vAlign w:val="center"/>
          </w:tcPr>
          <w:p w14:paraId="7868907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r w14:paraId="6802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4BEEC0B">
            <w:pPr>
              <w:spacing w:line="360" w:lineRule="auto"/>
              <w:jc w:val="left"/>
              <w:rPr>
                <w:rFonts w:hint="default" w:ascii="仿宋" w:hAnsi="仿宋" w:eastAsia="仿宋" w:cs="仿宋"/>
                <w:sz w:val="24"/>
                <w:lang w:val="en-US" w:eastAsia="zh-CN"/>
              </w:rPr>
            </w:pPr>
          </w:p>
        </w:tc>
        <w:tc>
          <w:tcPr>
            <w:tcW w:w="1336" w:type="dxa"/>
            <w:noWrap w:val="0"/>
            <w:vAlign w:val="center"/>
          </w:tcPr>
          <w:p w14:paraId="18472A74">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100</w:t>
            </w:r>
          </w:p>
        </w:tc>
        <w:tc>
          <w:tcPr>
            <w:tcW w:w="1255" w:type="dxa"/>
            <w:noWrap w:val="0"/>
            <w:vAlign w:val="center"/>
          </w:tcPr>
          <w:p w14:paraId="238335ED">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w:t>
            </w:r>
          </w:p>
        </w:tc>
        <w:tc>
          <w:tcPr>
            <w:tcW w:w="1486" w:type="dxa"/>
            <w:noWrap w:val="0"/>
            <w:vAlign w:val="center"/>
          </w:tcPr>
          <w:p w14:paraId="4EA2503A">
            <w:pPr>
              <w:spacing w:line="360" w:lineRule="auto"/>
              <w:jc w:val="left"/>
              <w:rPr>
                <w:rFonts w:hint="default" w:ascii="仿宋" w:hAnsi="仿宋" w:eastAsia="仿宋" w:cs="仿宋"/>
                <w:sz w:val="24"/>
                <w:lang w:val="en-US" w:eastAsia="zh-CN"/>
              </w:rPr>
            </w:pPr>
          </w:p>
        </w:tc>
        <w:tc>
          <w:tcPr>
            <w:tcW w:w="1159" w:type="dxa"/>
            <w:noWrap w:val="0"/>
            <w:vAlign w:val="center"/>
          </w:tcPr>
          <w:p w14:paraId="2025B136">
            <w:pPr>
              <w:spacing w:line="360" w:lineRule="auto"/>
              <w:jc w:val="left"/>
              <w:rPr>
                <w:rFonts w:hint="default" w:ascii="仿宋" w:hAnsi="仿宋" w:eastAsia="仿宋" w:cs="仿宋"/>
                <w:sz w:val="24"/>
                <w:lang w:val="en-US" w:eastAsia="zh-CN"/>
              </w:rPr>
            </w:pPr>
          </w:p>
        </w:tc>
        <w:tc>
          <w:tcPr>
            <w:tcW w:w="1362" w:type="dxa"/>
            <w:noWrap w:val="0"/>
            <w:vAlign w:val="center"/>
          </w:tcPr>
          <w:p w14:paraId="3F396BBB">
            <w:pPr>
              <w:spacing w:line="360" w:lineRule="auto"/>
              <w:jc w:val="left"/>
              <w:rPr>
                <w:rFonts w:hint="default" w:ascii="仿宋" w:hAnsi="仿宋" w:eastAsia="仿宋" w:cs="仿宋"/>
                <w:sz w:val="24"/>
                <w:lang w:val="en-US" w:eastAsia="zh-CN"/>
              </w:rPr>
            </w:pPr>
          </w:p>
        </w:tc>
        <w:tc>
          <w:tcPr>
            <w:tcW w:w="1502" w:type="dxa"/>
            <w:noWrap w:val="0"/>
            <w:vAlign w:val="center"/>
          </w:tcPr>
          <w:p w14:paraId="211C57DD">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夜间</w:t>
            </w:r>
          </w:p>
        </w:tc>
      </w:tr>
    </w:tbl>
    <w:p w14:paraId="6279509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注意事项：</w:t>
      </w:r>
    </w:p>
    <w:p w14:paraId="5C7B2CE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表格为参考值，具体设计需结合项目实际情况。</w:t>
      </w:r>
    </w:p>
    <w:p w14:paraId="35B17FF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隧道照明设计还需考虑灯具布置、光源选择、控制方式等。</w:t>
      </w:r>
    </w:p>
    <w:p w14:paraId="3C46971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需符合当地规范和要求。</w:t>
      </w:r>
    </w:p>
    <w:p w14:paraId="0BA39E4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最终以国家最新出台的标准为主</w:t>
      </w:r>
    </w:p>
    <w:p w14:paraId="441BA36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3、更换LED灯具的技术原则</w:t>
      </w:r>
    </w:p>
    <w:p w14:paraId="785B12E0">
      <w:pPr>
        <w:spacing w:line="360" w:lineRule="auto"/>
        <w:ind w:firstLine="420"/>
        <w:jc w:val="left"/>
        <w:rPr>
          <w:rFonts w:hint="eastAsia" w:ascii="仿宋" w:hAnsi="仿宋" w:eastAsia="仿宋" w:cs="仿宋"/>
          <w:sz w:val="24"/>
          <w:lang w:val="en-US" w:eastAsia="zh-CN"/>
        </w:rPr>
      </w:pPr>
      <w:bookmarkStart w:id="15" w:name="_Toc9844"/>
      <w:r>
        <w:rPr>
          <w:rFonts w:hint="eastAsia" w:ascii="仿宋" w:hAnsi="仿宋" w:eastAsia="仿宋" w:cs="仿宋"/>
          <w:sz w:val="24"/>
          <w:lang w:val="en-US" w:eastAsia="zh-CN"/>
        </w:rPr>
        <w:t>3.1灯具应具有良好的整体强度和性能，适用全天候使用。改造后LED路灯的灯壳外罩的材质须与原路灯材质相近。</w:t>
      </w:r>
      <w:bookmarkEnd w:id="15"/>
    </w:p>
    <w:p w14:paraId="050C909D">
      <w:pPr>
        <w:spacing w:line="360" w:lineRule="auto"/>
        <w:ind w:firstLine="420"/>
        <w:jc w:val="left"/>
        <w:rPr>
          <w:rFonts w:hint="eastAsia" w:ascii="仿宋" w:hAnsi="仿宋" w:eastAsia="仿宋" w:cs="仿宋"/>
          <w:sz w:val="24"/>
          <w:lang w:val="en-US" w:eastAsia="zh-CN"/>
        </w:rPr>
      </w:pPr>
      <w:bookmarkStart w:id="16" w:name="_Toc8560"/>
      <w:r>
        <w:rPr>
          <w:rFonts w:hint="eastAsia" w:ascii="仿宋" w:hAnsi="仿宋" w:eastAsia="仿宋" w:cs="仿宋"/>
          <w:sz w:val="24"/>
          <w:lang w:val="en-US" w:eastAsia="zh-CN"/>
        </w:rPr>
        <w:t>3.2灯具采用原位置一对一替换。灯具须经招标人认可。</w:t>
      </w:r>
      <w:bookmarkEnd w:id="16"/>
    </w:p>
    <w:p w14:paraId="25CEF9DC">
      <w:pPr>
        <w:spacing w:line="360" w:lineRule="auto"/>
        <w:ind w:firstLine="420"/>
        <w:jc w:val="left"/>
        <w:rPr>
          <w:rFonts w:hint="eastAsia" w:ascii="仿宋" w:hAnsi="仿宋" w:eastAsia="仿宋" w:cs="仿宋"/>
          <w:sz w:val="24"/>
          <w:lang w:val="en-US" w:eastAsia="zh-CN"/>
        </w:rPr>
      </w:pPr>
      <w:bookmarkStart w:id="17" w:name="_Toc3905"/>
      <w:r>
        <w:rPr>
          <w:rFonts w:hint="eastAsia" w:ascii="仿宋" w:hAnsi="仿宋" w:eastAsia="仿宋" w:cs="仿宋"/>
          <w:sz w:val="24"/>
          <w:lang w:val="en-US" w:eastAsia="zh-CN"/>
        </w:rPr>
        <w:t>3.3本项目使用的LED整灯灯具采用模组化设计，技术性能应符合《GBT34846-2017》标准。</w:t>
      </w:r>
      <w:bookmarkEnd w:id="17"/>
    </w:p>
    <w:p w14:paraId="2D337C93">
      <w:pPr>
        <w:spacing w:line="360" w:lineRule="auto"/>
        <w:ind w:firstLine="420"/>
        <w:jc w:val="left"/>
        <w:rPr>
          <w:rFonts w:hint="eastAsia" w:ascii="仿宋" w:hAnsi="仿宋" w:eastAsia="仿宋" w:cs="仿宋"/>
          <w:sz w:val="24"/>
          <w:lang w:val="en-US" w:eastAsia="zh-CN"/>
        </w:rPr>
      </w:pPr>
      <w:bookmarkStart w:id="18" w:name="_Toc2031"/>
      <w:r>
        <w:rPr>
          <w:rFonts w:hint="eastAsia" w:ascii="仿宋" w:hAnsi="仿宋" w:eastAsia="仿宋" w:cs="仿宋"/>
          <w:sz w:val="24"/>
          <w:lang w:val="en-US" w:eastAsia="zh-CN"/>
        </w:rPr>
        <w:t>3.4改造后LED路灯的亮灯时间按路灯管理部门的相关规定执行。</w:t>
      </w:r>
      <w:bookmarkEnd w:id="18"/>
    </w:p>
    <w:p w14:paraId="5B1B49E2">
      <w:pPr>
        <w:spacing w:line="360" w:lineRule="auto"/>
        <w:ind w:firstLine="420"/>
        <w:jc w:val="left"/>
        <w:rPr>
          <w:rFonts w:hint="eastAsia" w:ascii="仿宋" w:hAnsi="仿宋" w:eastAsia="仿宋" w:cs="仿宋"/>
          <w:sz w:val="24"/>
          <w:lang w:val="en-US" w:eastAsia="zh-CN"/>
        </w:rPr>
      </w:pPr>
      <w:bookmarkStart w:id="19" w:name="_Toc31795"/>
      <w:r>
        <w:rPr>
          <w:rFonts w:hint="eastAsia" w:ascii="仿宋" w:hAnsi="仿宋" w:eastAsia="仿宋" w:cs="仿宋"/>
          <w:sz w:val="24"/>
          <w:lang w:val="en-US" w:eastAsia="zh-CN"/>
        </w:rPr>
        <w:t>3.5安全指标：达到表1-1中各项规定；</w:t>
      </w:r>
      <w:bookmarkEnd w:id="19"/>
    </w:p>
    <w:p w14:paraId="3E4C74B6">
      <w:pPr>
        <w:spacing w:line="360" w:lineRule="auto"/>
        <w:ind w:left="631" w:hanging="211"/>
        <w:jc w:val="center"/>
        <w:rPr>
          <w:rFonts w:ascii="宋体" w:hAnsi="宋体" w:eastAsia="宋体" w:cs="宋体"/>
          <w:b/>
          <w:szCs w:val="21"/>
        </w:rPr>
      </w:pPr>
      <w:r>
        <w:rPr>
          <w:rFonts w:hint="eastAsia" w:ascii="宋体" w:hAnsi="宋体" w:eastAsia="宋体" w:cs="宋体"/>
          <w:b/>
          <w:szCs w:val="21"/>
        </w:rPr>
        <w:t>表1-1  LED道路照明产品安全指标要求</w:t>
      </w:r>
    </w:p>
    <w:tbl>
      <w:tblPr>
        <w:tblStyle w:val="15"/>
        <w:tblW w:w="9359" w:type="dxa"/>
        <w:jc w:val="center"/>
        <w:tblLayout w:type="fixed"/>
        <w:tblCellMar>
          <w:top w:w="0" w:type="dxa"/>
          <w:left w:w="108" w:type="dxa"/>
          <w:bottom w:w="0" w:type="dxa"/>
          <w:right w:w="108" w:type="dxa"/>
        </w:tblCellMar>
      </w:tblPr>
      <w:tblGrid>
        <w:gridCol w:w="816"/>
        <w:gridCol w:w="1761"/>
        <w:gridCol w:w="6782"/>
      </w:tblGrid>
      <w:tr w14:paraId="58A967BC">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0A74AC0A">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5B908BC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评定参数</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2E3213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指标要求</w:t>
            </w:r>
          </w:p>
        </w:tc>
      </w:tr>
      <w:tr w14:paraId="2FED940D">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0F1DE7C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EC3C78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安全要求</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2461F67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采用GB7000.1-2015以及GB7000.203-2013《道路与街路照明灯具安全要求》规定条款。</w:t>
            </w:r>
          </w:p>
          <w:p w14:paraId="54AA01A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防尘、防固体异物和防水等级应为IP65或IP66；</w:t>
            </w:r>
          </w:p>
          <w:p w14:paraId="4EA010D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产品标记除满足GB7000.5-2007的条款规定外，尚应提供额定光通量额定相关色温等信息</w:t>
            </w:r>
          </w:p>
          <w:p w14:paraId="1B3818F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做好路灯灯头等各项接地安全工作</w:t>
            </w:r>
          </w:p>
        </w:tc>
      </w:tr>
      <w:tr w14:paraId="15BDF8F1">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714C7A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2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5BCFFF86">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骚扰电压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0B8E0E8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符合GB17743-2017的要求 </w:t>
            </w:r>
          </w:p>
        </w:tc>
      </w:tr>
      <w:tr w14:paraId="0EA1B965">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0A17041">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3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38E1F193">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谐波电流限值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EDA0FA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符合GB17625.1-2012的要求 </w:t>
            </w:r>
          </w:p>
        </w:tc>
      </w:tr>
      <w:tr w14:paraId="20B10B0A">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35A6A4C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4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8398C6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浪涌试验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E86C69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符合GB18595-2014的要求 </w:t>
            </w:r>
          </w:p>
        </w:tc>
      </w:tr>
    </w:tbl>
    <w:p w14:paraId="7249D5C0">
      <w:pPr>
        <w:widowControl w:val="0"/>
        <w:spacing w:line="360" w:lineRule="auto"/>
        <w:ind w:left="620" w:hanging="200"/>
        <w:jc w:val="both"/>
        <w:rPr>
          <w:rFonts w:ascii="Times New Roman" w:hAnsi="宋体" w:eastAsia="宋体" w:cs="宋体"/>
          <w:kern w:val="0"/>
          <w:sz w:val="20"/>
          <w:szCs w:val="21"/>
          <w:highlight w:val="yellow"/>
          <w:lang w:val="en-US" w:eastAsia="zh-CN" w:bidi="ar-SA"/>
        </w:rPr>
      </w:pPr>
    </w:p>
    <w:p w14:paraId="01D334B1">
      <w:pPr>
        <w:spacing w:line="360" w:lineRule="auto"/>
        <w:ind w:firstLine="420"/>
        <w:jc w:val="left"/>
        <w:rPr>
          <w:rFonts w:hint="eastAsia" w:ascii="仿宋" w:hAnsi="仿宋" w:eastAsia="仿宋" w:cs="仿宋"/>
          <w:sz w:val="24"/>
          <w:lang w:val="en-US" w:eastAsia="zh-CN"/>
        </w:rPr>
      </w:pPr>
      <w:bookmarkStart w:id="20" w:name="_Toc22132"/>
      <w:bookmarkStart w:id="21" w:name="_Toc5203"/>
      <w:r>
        <w:rPr>
          <w:rFonts w:hint="eastAsia" w:ascii="仿宋" w:hAnsi="仿宋" w:eastAsia="仿宋" w:cs="仿宋"/>
          <w:sz w:val="24"/>
          <w:lang w:val="en-US" w:eastAsia="zh-CN"/>
        </w:rPr>
        <w:t>4、LED路灯相关技术标准</w:t>
      </w:r>
      <w:bookmarkEnd w:id="20"/>
      <w:bookmarkEnd w:id="21"/>
    </w:p>
    <w:p w14:paraId="700944FD">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项目所选用LED路灯，在设计、制造和检验方面应符合下列标准：（如果有标准更新以最新现行标准执行）：</w:t>
      </w:r>
    </w:p>
    <w:p w14:paraId="603FA635">
      <w:pPr>
        <w:spacing w:line="360" w:lineRule="auto"/>
        <w:ind w:firstLine="420"/>
        <w:jc w:val="left"/>
        <w:rPr>
          <w:rFonts w:hint="eastAsia" w:ascii="仿宋" w:hAnsi="仿宋" w:eastAsia="仿宋" w:cs="仿宋"/>
          <w:sz w:val="24"/>
          <w:lang w:val="en-US" w:eastAsia="zh-CN"/>
        </w:rPr>
      </w:pPr>
      <w:bookmarkStart w:id="22" w:name="_Toc27834"/>
      <w:r>
        <w:rPr>
          <w:rFonts w:hint="eastAsia" w:ascii="仿宋" w:hAnsi="仿宋" w:eastAsia="仿宋" w:cs="仿宋"/>
          <w:sz w:val="24"/>
          <w:lang w:val="en-US" w:eastAsia="zh-CN"/>
        </w:rPr>
        <w:t>4.1满足《城市道路照明设计标准》（CJJ45-2015</w:t>
      </w:r>
      <w:bookmarkEnd w:id="22"/>
      <w:r>
        <w:rPr>
          <w:rFonts w:hint="eastAsia" w:ascii="仿宋" w:hAnsi="仿宋" w:eastAsia="仿宋" w:cs="仿宋"/>
          <w:sz w:val="24"/>
          <w:lang w:val="en-US" w:eastAsia="zh-CN"/>
        </w:rPr>
        <w:t>）要求；</w:t>
      </w:r>
    </w:p>
    <w:p w14:paraId="2F085F1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4.2《城市道路照明施工及验收规程》（CJJ89-2012）要求；</w:t>
      </w:r>
    </w:p>
    <w:p w14:paraId="354D669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4.3《最新路灯管理与路灯技能设计、施工、维护技术标准指导手册》；</w:t>
      </w:r>
    </w:p>
    <w:p w14:paraId="50957EA4">
      <w:pPr>
        <w:spacing w:line="360" w:lineRule="auto"/>
        <w:ind w:firstLine="420"/>
        <w:jc w:val="left"/>
        <w:rPr>
          <w:rFonts w:hint="eastAsia" w:ascii="仿宋" w:hAnsi="仿宋" w:eastAsia="仿宋" w:cs="仿宋"/>
          <w:sz w:val="24"/>
          <w:lang w:val="en-US" w:eastAsia="zh-CN"/>
        </w:rPr>
      </w:pPr>
      <w:bookmarkStart w:id="23" w:name="_Toc21104"/>
      <w:r>
        <w:rPr>
          <w:rFonts w:hint="eastAsia" w:ascii="仿宋" w:hAnsi="仿宋" w:eastAsia="仿宋" w:cs="仿宋"/>
          <w:sz w:val="24"/>
          <w:lang w:val="en-US" w:eastAsia="zh-CN"/>
        </w:rPr>
        <w:t>4.4《半导体照明产品技术要求》（2010版）</w:t>
      </w:r>
      <w:bookmarkEnd w:id="23"/>
      <w:r>
        <w:rPr>
          <w:rFonts w:hint="eastAsia" w:ascii="仿宋" w:hAnsi="仿宋" w:eastAsia="仿宋" w:cs="仿宋"/>
          <w:sz w:val="24"/>
          <w:lang w:val="en-US" w:eastAsia="zh-CN"/>
        </w:rPr>
        <w:t>；</w:t>
      </w:r>
    </w:p>
    <w:p w14:paraId="142C8BC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4.5《道路与街路照明灯具安全要求》GB7000.203-2013；</w:t>
      </w:r>
    </w:p>
    <w:p w14:paraId="0EAD71EF">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4.6电气照明和类似设备的无线电骚扰特性的限值和测量方法</w:t>
      </w:r>
      <w:r>
        <w:rPr>
          <w:rFonts w:hint="eastAsia" w:ascii="仿宋" w:hAnsi="仿宋" w:eastAsia="仿宋" w:cs="仿宋"/>
          <w:sz w:val="24"/>
          <w:lang w:val="en-US" w:eastAsia="zh-CN"/>
        </w:rPr>
        <w:fldChar w:fldCharType="begin"/>
      </w:r>
      <w:r>
        <w:rPr>
          <w:rFonts w:hint="eastAsia" w:ascii="仿宋" w:hAnsi="仿宋" w:eastAsia="仿宋" w:cs="仿宋"/>
          <w:sz w:val="24"/>
          <w:lang w:val="en-US" w:eastAsia="zh-CN"/>
        </w:rPr>
        <w:instrText xml:space="preserve"> HYPERLINK "https://std.samr.gov.cn/gb/search/gbDetailed?id=D4BEFFF4EA2AB241E05397BE0A0AF581" \t "_blank" </w:instrText>
      </w:r>
      <w:r>
        <w:rPr>
          <w:rFonts w:hint="eastAsia" w:ascii="仿宋" w:hAnsi="仿宋" w:eastAsia="仿宋" w:cs="仿宋"/>
          <w:sz w:val="24"/>
          <w:lang w:val="en-US" w:eastAsia="zh-CN"/>
        </w:rPr>
        <w:fldChar w:fldCharType="separate"/>
      </w:r>
      <w:r>
        <w:rPr>
          <w:rFonts w:hint="eastAsia" w:ascii="仿宋" w:hAnsi="仿宋" w:eastAsia="仿宋" w:cs="仿宋"/>
          <w:sz w:val="24"/>
          <w:lang w:val="en-US" w:eastAsia="zh-CN"/>
        </w:rPr>
        <w:t>GB/T 17743-2021；</w:t>
      </w:r>
      <w:r>
        <w:rPr>
          <w:rFonts w:hint="eastAsia" w:ascii="仿宋" w:hAnsi="仿宋" w:eastAsia="仿宋" w:cs="仿宋"/>
          <w:sz w:val="24"/>
          <w:lang w:val="en-US" w:eastAsia="zh-CN"/>
        </w:rPr>
        <w:fldChar w:fldCharType="end"/>
      </w:r>
    </w:p>
    <w:p w14:paraId="6AF32AB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4.7电磁兼容限值谐波电流发射限值(设备每相输入电流镇≤16 A)：符合</w:t>
      </w:r>
      <w:r>
        <w:rPr>
          <w:rFonts w:hint="eastAsia" w:ascii="仿宋" w:hAnsi="仿宋" w:eastAsia="仿宋" w:cs="仿宋"/>
          <w:sz w:val="24"/>
          <w:lang w:val="en-US" w:eastAsia="zh-CN"/>
        </w:rPr>
        <w:fldChar w:fldCharType="begin"/>
      </w:r>
      <w:r>
        <w:rPr>
          <w:rFonts w:hint="eastAsia" w:ascii="仿宋" w:hAnsi="仿宋" w:eastAsia="仿宋" w:cs="仿宋"/>
          <w:sz w:val="24"/>
          <w:lang w:val="en-US" w:eastAsia="zh-CN"/>
        </w:rPr>
        <w:instrText xml:space="preserve"> HYPERLINK "https://std.samr.gov.cn/gb/search/gbDetailed?id=F113142E3FD04B65E05397BE0A0A5AB9" \t "_blank" </w:instrText>
      </w:r>
      <w:r>
        <w:rPr>
          <w:rFonts w:hint="eastAsia" w:ascii="仿宋" w:hAnsi="仿宋" w:eastAsia="仿宋" w:cs="仿宋"/>
          <w:sz w:val="24"/>
          <w:lang w:val="en-US" w:eastAsia="zh-CN"/>
        </w:rPr>
        <w:fldChar w:fldCharType="separate"/>
      </w:r>
      <w:r>
        <w:rPr>
          <w:rFonts w:hint="eastAsia" w:ascii="仿宋" w:hAnsi="仿宋" w:eastAsia="仿宋" w:cs="仿宋"/>
          <w:sz w:val="24"/>
          <w:lang w:val="en-US" w:eastAsia="zh-CN"/>
        </w:rPr>
        <w:t>GB 17625.1-2022</w:t>
      </w:r>
      <w:r>
        <w:rPr>
          <w:rFonts w:hint="eastAsia" w:ascii="仿宋" w:hAnsi="仿宋" w:eastAsia="仿宋" w:cs="仿宋"/>
          <w:sz w:val="24"/>
          <w:lang w:val="en-US" w:eastAsia="zh-CN"/>
        </w:rPr>
        <w:fldChar w:fldCharType="end"/>
      </w:r>
      <w:r>
        <w:rPr>
          <w:rFonts w:hint="eastAsia" w:ascii="仿宋" w:hAnsi="仿宋" w:eastAsia="仿宋" w:cs="仿宋"/>
          <w:sz w:val="24"/>
          <w:lang w:val="en-US" w:eastAsia="zh-CN"/>
        </w:rPr>
        <w:t>；</w:t>
      </w:r>
    </w:p>
    <w:p w14:paraId="4C8AFCA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4.8一般照明用设备电磁兼容抗扰度要求：符的要求；</w:t>
      </w:r>
      <w:r>
        <w:rPr>
          <w:rFonts w:hint="eastAsia" w:ascii="仿宋" w:hAnsi="仿宋" w:eastAsia="仿宋" w:cs="仿宋"/>
          <w:sz w:val="24"/>
          <w:lang w:val="en-US" w:eastAsia="zh-CN"/>
        </w:rPr>
        <w:fldChar w:fldCharType="begin"/>
      </w:r>
      <w:r>
        <w:rPr>
          <w:rFonts w:hint="eastAsia" w:ascii="仿宋" w:hAnsi="仿宋" w:eastAsia="仿宋" w:cs="仿宋"/>
          <w:sz w:val="24"/>
          <w:lang w:val="en-US" w:eastAsia="zh-CN"/>
        </w:rPr>
        <w:instrText xml:space="preserve"> HYPERLINK "https://std.samr.gov.cn/gb/search/gbDetailed?id=71F772D7F2AAD3A7E05397BE0A0AB82A" \t "_blank" </w:instrText>
      </w:r>
      <w:r>
        <w:rPr>
          <w:rFonts w:hint="eastAsia" w:ascii="仿宋" w:hAnsi="仿宋" w:eastAsia="仿宋" w:cs="仿宋"/>
          <w:sz w:val="24"/>
          <w:lang w:val="en-US" w:eastAsia="zh-CN"/>
        </w:rPr>
        <w:fldChar w:fldCharType="separate"/>
      </w:r>
      <w:r>
        <w:rPr>
          <w:rFonts w:hint="eastAsia" w:ascii="仿宋" w:hAnsi="仿宋" w:eastAsia="仿宋" w:cs="仿宋"/>
          <w:sz w:val="24"/>
          <w:lang w:val="en-US" w:eastAsia="zh-CN"/>
        </w:rPr>
        <w:t>GB/T 18595-2014</w:t>
      </w:r>
      <w:r>
        <w:rPr>
          <w:rFonts w:hint="eastAsia" w:ascii="仿宋" w:hAnsi="仿宋" w:eastAsia="仿宋" w:cs="仿宋"/>
          <w:sz w:val="24"/>
          <w:lang w:val="en-US" w:eastAsia="zh-CN"/>
        </w:rPr>
        <w:fldChar w:fldCharType="end"/>
      </w:r>
      <w:r>
        <w:rPr>
          <w:rFonts w:hint="eastAsia" w:ascii="仿宋" w:hAnsi="仿宋" w:eastAsia="仿宋" w:cs="仿宋"/>
          <w:sz w:val="24"/>
          <w:lang w:val="en-US" w:eastAsia="zh-CN"/>
        </w:rPr>
        <w:t>；</w:t>
      </w:r>
    </w:p>
    <w:p w14:paraId="578286D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4.9《灯具 第一部分：一般安全要求与试验》GB 7000.1-2015；</w:t>
      </w:r>
    </w:p>
    <w:p w14:paraId="623B5C1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4.10《道路和街路照明灯具性能要求》</w:t>
      </w:r>
      <w:r>
        <w:rPr>
          <w:rFonts w:hint="eastAsia" w:ascii="仿宋" w:hAnsi="仿宋" w:eastAsia="仿宋" w:cs="仿宋"/>
          <w:sz w:val="24"/>
          <w:lang w:val="en-US" w:eastAsia="zh-CN"/>
        </w:rPr>
        <w:tab/>
      </w:r>
      <w:r>
        <w:rPr>
          <w:rFonts w:hint="eastAsia" w:ascii="仿宋" w:hAnsi="仿宋" w:eastAsia="仿宋" w:cs="仿宋"/>
          <w:sz w:val="24"/>
          <w:lang w:val="en-US" w:eastAsia="zh-CN"/>
        </w:rPr>
        <w:t>GB/T 24827-2015、</w:t>
      </w:r>
    </w:p>
    <w:p w14:paraId="55BBB92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4.11《道路照明用LED灯性能要求》GB/T 24907-2010； </w:t>
      </w:r>
    </w:p>
    <w:p w14:paraId="590B283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4.12《电能质量公用电网谐波》符合GB/T 14549-1993</w:t>
      </w:r>
    </w:p>
    <w:p w14:paraId="40802E7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4.13其它国家、地方标准规范；</w:t>
      </w:r>
    </w:p>
    <w:p w14:paraId="70CEA7B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4.14、发包人提出的要求及有关基础资料。</w:t>
      </w:r>
    </w:p>
    <w:p w14:paraId="1C0679E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5、路灯竣工验收标准</w:t>
      </w:r>
    </w:p>
    <w:p w14:paraId="49EC8255">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本项目技术验收按照《灯具第2-3部分：特殊要求道路与街路照明灯具》（GB7000.203-2013）、《城市道路照明工程施工及验收规程》（CJJ89-2012）相关细节进行，整体验收按照《城市道路照明设计标准》（CJJ45-2015）执行。如工程未达到验收标准，供应商应根据采购人及相关政府部门的意见进行限期整改，直至本项目工程通过竣工验收。</w:t>
      </w:r>
    </w:p>
    <w:p w14:paraId="3E57505A">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5.1基本验收标准</w:t>
      </w:r>
    </w:p>
    <w:p w14:paraId="1E4D27D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竣工验收时采购人委托第三方检测机构检测改造路段，检测标准根据国家相应标准，同时要求节能率相比改造前达到 12 %以上，并由第三方机构出具《路灯节能改造工程节能量检测报告》、《道路照度质量测试报告》等相关报告。如未能达到 12 %以上的节能率，采购人有权单方提出终止合同。</w:t>
      </w:r>
    </w:p>
    <w:p w14:paraId="33EC455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5.2特殊情况验收标准</w:t>
      </w:r>
    </w:p>
    <w:p w14:paraId="7ED63B6F">
      <w:pPr>
        <w:spacing w:line="360" w:lineRule="auto"/>
        <w:ind w:firstLine="420"/>
        <w:jc w:val="left"/>
        <w:rPr>
          <w:rFonts w:hint="eastAsia" w:ascii="仿宋" w:hAnsi="仿宋" w:eastAsia="仿宋" w:cs="仿宋"/>
          <w:sz w:val="24"/>
          <w:lang w:val="en-US" w:eastAsia="zh-CN"/>
        </w:rPr>
      </w:pPr>
      <w:bookmarkStart w:id="24" w:name="_Hlk22469461"/>
      <w:r>
        <w:rPr>
          <w:rFonts w:hint="eastAsia" w:ascii="仿宋" w:hAnsi="仿宋" w:eastAsia="仿宋" w:cs="仿宋"/>
          <w:sz w:val="24"/>
          <w:lang w:val="en-US" w:eastAsia="zh-CN"/>
        </w:rPr>
        <w:t>因原有设计限制，改造路段中存在灯杆间距超过45米或灯杆高度不足的情况，对此特殊情况的路灯，改造时要求适当提高LED灯功率。对于提高功率后路灯照度等参数仍旧无法达到《城市道路照明设计标准》（CJJ45-2015）和《城市道路照明工程施工及验收规程》（CJJ89-2012）的规定，则必须要求照度大于改造前的10%以上。</w:t>
      </w:r>
      <w:bookmarkEnd w:id="24"/>
    </w:p>
    <w:p w14:paraId="49CD33F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五、管理要求</w:t>
      </w:r>
    </w:p>
    <w:p w14:paraId="1E984A20">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（一）人员组织</w:t>
      </w:r>
    </w:p>
    <w:p w14:paraId="09F89E9F">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供应商应为本项目配备经验丰富的项目团队，团队骨干成员应有能源系统管理、</w:t>
      </w:r>
      <w:r>
        <w:rPr>
          <w:rFonts w:hint="eastAsia" w:ascii="仿宋" w:hAnsi="仿宋" w:eastAsia="仿宋" w:cs="仿宋"/>
          <w:sz w:val="24"/>
          <w:lang w:val="en-US" w:eastAsia="zh-CN"/>
        </w:rPr>
        <w:t>照明设施</w:t>
      </w:r>
      <w:r>
        <w:rPr>
          <w:rFonts w:hint="eastAsia" w:ascii="仿宋" w:hAnsi="仿宋" w:eastAsia="仿宋" w:cs="仿宋"/>
          <w:sz w:val="24"/>
          <w:lang w:val="en-US" w:eastAsia="zh-Hans"/>
        </w:rPr>
        <w:t>节能改造等相关经验。供应商应保证项目团队主要人员的稳定性，在未经过采购人同意的情况下，供应商不得随意更换人员。采购人或供应商认为需要更换项目</w:t>
      </w:r>
      <w:r>
        <w:rPr>
          <w:rFonts w:hint="eastAsia" w:ascii="仿宋" w:hAnsi="仿宋" w:eastAsia="仿宋" w:cs="仿宋"/>
          <w:sz w:val="24"/>
          <w:lang w:val="en-US" w:eastAsia="zh-CN"/>
        </w:rPr>
        <w:t>负责人</w:t>
      </w:r>
      <w:r>
        <w:rPr>
          <w:rFonts w:hint="eastAsia" w:ascii="仿宋" w:hAnsi="仿宋" w:eastAsia="仿宋" w:cs="仿宋"/>
          <w:sz w:val="24"/>
          <w:lang w:val="en-US" w:eastAsia="zh-Hans"/>
        </w:rPr>
        <w:t>或项目团队成员时，均应提早两周向对方申明原因，供应商应同时提出新的符合合同要求的项目经理或项目团队成员人选，经采购人同意并办理交接手续后方可更换。</w:t>
      </w:r>
    </w:p>
    <w:p w14:paraId="0F992E4C">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供应商应配备专业技术团队为本项目提供专业技术支持服务，专业技术人员应来自不同的专业领域，如网络专家、电力系统专家以及其它专业业务专家等。</w:t>
      </w:r>
    </w:p>
    <w:p w14:paraId="57E2179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Hans"/>
        </w:rPr>
        <w:t>供应商应当确保其工作人员或者其</w:t>
      </w:r>
      <w:r>
        <w:rPr>
          <w:rFonts w:hint="eastAsia" w:ascii="仿宋" w:hAnsi="仿宋" w:eastAsia="仿宋" w:cs="仿宋"/>
          <w:sz w:val="24"/>
          <w:lang w:val="en-US" w:eastAsia="zh-CN"/>
        </w:rPr>
        <w:t>分包</w:t>
      </w:r>
      <w:r>
        <w:rPr>
          <w:rFonts w:hint="eastAsia" w:ascii="仿宋" w:hAnsi="仿宋" w:eastAsia="仿宋" w:cs="仿宋"/>
          <w:sz w:val="24"/>
          <w:lang w:val="en-US" w:eastAsia="zh-Hans"/>
        </w:rPr>
        <w:t>的第三方在项目实施、运行的整个过程中遵守采购人的相关规章制度。</w:t>
      </w:r>
    </w:p>
    <w:p w14:paraId="3F54DF93">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供应商应确保在项目实施、运行的整个过程中有不少于</w:t>
      </w:r>
      <w:r>
        <w:rPr>
          <w:rFonts w:hint="eastAsia" w:ascii="仿宋" w:hAnsi="仿宋" w:eastAsia="仿宋" w:cs="仿宋"/>
          <w:sz w:val="24"/>
          <w:lang w:val="en-US" w:eastAsia="zh-CN"/>
        </w:rPr>
        <w:t>8</w:t>
      </w:r>
      <w:r>
        <w:rPr>
          <w:rFonts w:hint="eastAsia" w:ascii="仿宋" w:hAnsi="仿宋" w:eastAsia="仿宋" w:cs="仿宋"/>
          <w:sz w:val="24"/>
          <w:lang w:val="en-US" w:eastAsia="zh-Hans"/>
        </w:rPr>
        <w:t>名专业技术人员进行现场服务，确保项目进度正常，能源系统运行正常。其中:</w:t>
      </w:r>
    </w:p>
    <w:p w14:paraId="6BC175D0">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（1）配置经验丰富的项目负责人1名。在项目运作期间如项目负责人需变更应事先得到招标人同意。</w:t>
      </w:r>
    </w:p>
    <w:p w14:paraId="5CC5F44B">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（2）配置高空特殊操作电工 6人，需持有有效期内的低压电工证或建筑电工证并同时持有有效期内的高处作业证；</w:t>
      </w:r>
    </w:p>
    <w:p w14:paraId="4EF503E5">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（3）配置高压操作电工 1人，需持有应急管理部门颁发的在有效期内的《特种作业操作证（电工）》 ；</w:t>
      </w:r>
    </w:p>
    <w:p w14:paraId="5E6C153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（4）其它人员按需求自行配置。</w:t>
      </w:r>
    </w:p>
    <w:p w14:paraId="54A72C85">
      <w:pPr>
        <w:spacing w:line="360" w:lineRule="auto"/>
        <w:ind w:firstLine="420"/>
        <w:jc w:val="left"/>
        <w:rPr>
          <w:rFonts w:hint="default" w:ascii="仿宋" w:hAnsi="仿宋" w:eastAsia="仿宋" w:cs="仿宋"/>
          <w:sz w:val="24"/>
          <w:lang w:val="en-US" w:eastAsia="zh-CN"/>
        </w:rPr>
      </w:pPr>
      <w:r>
        <w:rPr>
          <w:rFonts w:hint="eastAsia" w:ascii="仿宋" w:hAnsi="仿宋" w:eastAsia="仿宋" w:cs="仿宋"/>
          <w:sz w:val="24"/>
          <w:lang w:val="en-US" w:eastAsia="zh-CN"/>
        </w:rPr>
        <w:t>（5）项目负责人员需具有中级综合能源管理师资格证书。</w:t>
      </w:r>
    </w:p>
    <w:p w14:paraId="3E87C20C">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▲请在投标文件中提供上述人员的相关证书，以及投标单位为上述人员连续缴纳近三个月的社保证明。</w:t>
      </w:r>
    </w:p>
    <w:p w14:paraId="597C38F0">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（二）进度管理</w:t>
      </w:r>
    </w:p>
    <w:p w14:paraId="08AE6605">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供应商应有详细计划，明确每个阶段的阶段目标、阶段性成果、验收依据、双方的责任和义务等。节能改造实施方案经采购人同意，供应商应按项目方案文件规定的技术标准和要求以及招标文件的规定，按时完成本项目的方案设计、建设。</w:t>
      </w:r>
    </w:p>
    <w:p w14:paraId="490E1003">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（三）风险管理</w:t>
      </w:r>
    </w:p>
    <w:p w14:paraId="7B0CA823">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实际运行过程中，风险随时可能出现，供应商应根据项目实际情况加强风险管理，做好风险的识别，风险的量化分析，制定风险的应对预案。供应商应当确保其工作人员和其聘请的第三方严格遵守采购人有关施工场地安全和卫生等方面的规定，并听从采购人合理的现场指挥。</w:t>
      </w:r>
    </w:p>
    <w:p w14:paraId="5291578C">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（四）服务质量</w:t>
      </w:r>
    </w:p>
    <w:p w14:paraId="1520467C">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1、供应商应建立严格的质量保证体系，制定项目服务质量控制方案和实施措施，并督促落实各环节质量控制内容和目标，确保安装和调试相关设备、设施应符合国家、行业有关施工管理法律法规和与项目相对应的技术标准规范要求，以及采购方合理的特有的施工、管理、质量要求。满足采购人对质量的要求。供应商应根据整个项目周期的工作计划，对阶段性工作成果进行审查和测试，并向项目单位提交阶段性工作成果。通过保证各阶段性成果的质量，最终保证整个项目的质量。供应商应针对项目制定详细的质量管理方案。</w:t>
      </w:r>
    </w:p>
    <w:p w14:paraId="6165BAD8">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2、为保证服务质量，供应商应至少配置以下设备：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3205"/>
        <w:gridCol w:w="3012"/>
        <w:gridCol w:w="1852"/>
      </w:tblGrid>
      <w:tr w14:paraId="3D79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4901F09A">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3538" w:type="dxa"/>
            <w:vAlign w:val="center"/>
          </w:tcPr>
          <w:p w14:paraId="0BCCCE1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设备名称</w:t>
            </w:r>
          </w:p>
        </w:tc>
        <w:tc>
          <w:tcPr>
            <w:tcW w:w="3300" w:type="dxa"/>
            <w:vAlign w:val="center"/>
          </w:tcPr>
          <w:p w14:paraId="33A599C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技术参数</w:t>
            </w:r>
          </w:p>
        </w:tc>
        <w:tc>
          <w:tcPr>
            <w:tcW w:w="1991" w:type="dxa"/>
            <w:vAlign w:val="center"/>
          </w:tcPr>
          <w:p w14:paraId="52D0B36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数量</w:t>
            </w:r>
          </w:p>
        </w:tc>
      </w:tr>
      <w:tr w14:paraId="7469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57E80A62">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3538" w:type="dxa"/>
            <w:vAlign w:val="center"/>
          </w:tcPr>
          <w:p w14:paraId="1A3B5F8E">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高空作业车</w:t>
            </w:r>
          </w:p>
        </w:tc>
        <w:tc>
          <w:tcPr>
            <w:tcW w:w="3300" w:type="dxa"/>
            <w:vAlign w:val="center"/>
          </w:tcPr>
          <w:p w14:paraId="6E83F4D8">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满足22米及以上高空作业</w:t>
            </w:r>
          </w:p>
        </w:tc>
        <w:tc>
          <w:tcPr>
            <w:tcW w:w="1991" w:type="dxa"/>
            <w:vAlign w:val="center"/>
          </w:tcPr>
          <w:p w14:paraId="085C22D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1辆</w:t>
            </w:r>
          </w:p>
        </w:tc>
      </w:tr>
      <w:tr w14:paraId="4C9B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41000E9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3538" w:type="dxa"/>
            <w:vAlign w:val="center"/>
          </w:tcPr>
          <w:p w14:paraId="6148E2E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高空作业车</w:t>
            </w:r>
          </w:p>
        </w:tc>
        <w:tc>
          <w:tcPr>
            <w:tcW w:w="3300" w:type="dxa"/>
            <w:vAlign w:val="center"/>
          </w:tcPr>
          <w:p w14:paraId="2F0C22EE">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满足16米及以上高空作业</w:t>
            </w:r>
          </w:p>
        </w:tc>
        <w:tc>
          <w:tcPr>
            <w:tcW w:w="1991" w:type="dxa"/>
            <w:vAlign w:val="center"/>
          </w:tcPr>
          <w:p w14:paraId="03A2564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2辆</w:t>
            </w:r>
          </w:p>
        </w:tc>
      </w:tr>
      <w:tr w14:paraId="2D1A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0C9A9F7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3538" w:type="dxa"/>
            <w:vAlign w:val="center"/>
          </w:tcPr>
          <w:p w14:paraId="4310AE9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防撞缓冲车</w:t>
            </w:r>
          </w:p>
        </w:tc>
        <w:tc>
          <w:tcPr>
            <w:tcW w:w="3300" w:type="dxa"/>
            <w:vAlign w:val="center"/>
          </w:tcPr>
          <w:p w14:paraId="68AF62E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70K及以上</w:t>
            </w:r>
          </w:p>
        </w:tc>
        <w:tc>
          <w:tcPr>
            <w:tcW w:w="1991" w:type="dxa"/>
            <w:vAlign w:val="center"/>
          </w:tcPr>
          <w:p w14:paraId="725E877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1辆</w:t>
            </w:r>
          </w:p>
        </w:tc>
      </w:tr>
      <w:tr w14:paraId="4BC3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2EB3F599">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3538" w:type="dxa"/>
            <w:vAlign w:val="center"/>
          </w:tcPr>
          <w:p w14:paraId="6F6843D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工程抢修车</w:t>
            </w:r>
          </w:p>
        </w:tc>
        <w:tc>
          <w:tcPr>
            <w:tcW w:w="3300" w:type="dxa"/>
            <w:vAlign w:val="center"/>
          </w:tcPr>
          <w:p w14:paraId="6D77602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2吨及以上卡车</w:t>
            </w:r>
          </w:p>
        </w:tc>
        <w:tc>
          <w:tcPr>
            <w:tcW w:w="1991" w:type="dxa"/>
            <w:vAlign w:val="center"/>
          </w:tcPr>
          <w:p w14:paraId="21ACCDD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1辆</w:t>
            </w:r>
          </w:p>
        </w:tc>
      </w:tr>
      <w:tr w14:paraId="71E0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152F837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3538" w:type="dxa"/>
            <w:vAlign w:val="center"/>
          </w:tcPr>
          <w:p w14:paraId="1E911FD7">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皮卡或其他巡检车辆。</w:t>
            </w:r>
          </w:p>
        </w:tc>
        <w:tc>
          <w:tcPr>
            <w:tcW w:w="3300" w:type="dxa"/>
            <w:vAlign w:val="center"/>
          </w:tcPr>
          <w:p w14:paraId="40FE08D9">
            <w:pPr>
              <w:spacing w:line="360" w:lineRule="auto"/>
              <w:ind w:firstLine="420"/>
              <w:jc w:val="left"/>
              <w:rPr>
                <w:rFonts w:hint="eastAsia" w:ascii="仿宋" w:hAnsi="仿宋" w:eastAsia="仿宋" w:cs="仿宋"/>
                <w:sz w:val="24"/>
                <w:lang w:val="en-US" w:eastAsia="zh-CN"/>
              </w:rPr>
            </w:pPr>
          </w:p>
        </w:tc>
        <w:tc>
          <w:tcPr>
            <w:tcW w:w="1991" w:type="dxa"/>
            <w:vAlign w:val="center"/>
          </w:tcPr>
          <w:p w14:paraId="75CB713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2辆</w:t>
            </w:r>
          </w:p>
        </w:tc>
      </w:tr>
      <w:tr w14:paraId="51A2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77522286">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设备如自有的，请在投标文件中提供车辆行驶证、产权证、车辆外观图片及车辆相关高度等参数的证明材料；如租赁的，请在投标文件中提供车辆租赁合同、车辆行驶证、产权证、车辆外观图片及车辆相关高度等参数的证明材料。车辆相关高度参数证明材料中的车辆型号、车架号、发动机型号、车牌号需与行驶证或产权证中相关参数对应）</w:t>
            </w:r>
          </w:p>
        </w:tc>
      </w:tr>
    </w:tbl>
    <w:p w14:paraId="5AC254C2">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（五）文档要求</w:t>
      </w:r>
    </w:p>
    <w:p w14:paraId="2FB04858">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供应商应依照要求提供服务周期内的各类文档，除特别要求的文档，可采用电子文档的形式；供应商应按照采购人规定的文档格式、文档要求、提交周期准时提交相关文档；供应商应提供所有的文档，主要包括：各项问题分析报告、典型经验总结、系统数据报告、系统数据分析报告、系统的优化建议方案等；除了常规报告类的文档，供应商需按照服务要求提供相关技术方案等临时性文档，还应配合采购人进行相关项目验收的资料准备、各项规章制度的编制、完善等文档类工作。</w:t>
      </w:r>
    </w:p>
    <w:p w14:paraId="2CD04433">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（六）知识产权</w:t>
      </w:r>
    </w:p>
    <w:p w14:paraId="5E39D86C">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对于结合采购人专门服务需求开发的部分，采购人享有知识产权。供应商在项目服务过程中涉及第三方产品，若出现技术、经济或法律上的纠纷，应由供应商全面承担并全权解决，确保不影响工作的正常开展。</w:t>
      </w:r>
    </w:p>
    <w:p w14:paraId="63EA0581">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（七）合同变更要求</w:t>
      </w:r>
    </w:p>
    <w:p w14:paraId="5D4F35B5">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如在项目服务过程中需要调整合同中规定的工作内容（如：增添设备、改造设备、系统优化等），需经供应商与采购人共同同意，按合同变更程序办理。</w:t>
      </w:r>
    </w:p>
    <w:p w14:paraId="2CB4BEB2">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（八）保密要求</w:t>
      </w:r>
    </w:p>
    <w:p w14:paraId="66085647">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1、供应商必须严格遵守采购人信息安全方面的要求。对于参与项目的人员均需要签订统一的信息保密协议。</w:t>
      </w:r>
    </w:p>
    <w:p w14:paraId="2FC2B37F">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2、供应商应对以下信息进行保密，具体包括：</w:t>
      </w:r>
    </w:p>
    <w:p w14:paraId="0A399115">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项目信息：如业务流程、技术方案、业务数据（静态数据、动态数据、历史数据）、报表指标、技术指标、计算机软件、数据库、操作手册、技术资料等。</w:t>
      </w:r>
    </w:p>
    <w:p w14:paraId="07162572">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保密信息既包括书面认定为保密或专有的，又包括口头给予，随即被书面确认为保密或专有的信息。保密信息存储介质包括但不限于纸质文档、电子文档、光盘、U盘、服务器等文档。</w:t>
      </w:r>
    </w:p>
    <w:p w14:paraId="4DFFFFEA">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供应商组建的项目成员在项目单位履行职责期间，必须遵守采购人规定的任何成文或不成文的保密规章、制度，履行与其工作岗位相应的保密职责。不得向不承担相应保密义务的任何第三人披露采购人的商业秘密。</w:t>
      </w:r>
    </w:p>
    <w:p w14:paraId="02C7CE9C">
      <w:pPr>
        <w:spacing w:line="360" w:lineRule="auto"/>
        <w:ind w:firstLine="420"/>
        <w:jc w:val="left"/>
        <w:rPr>
          <w:rFonts w:hint="eastAsia" w:ascii="仿宋" w:hAnsi="仿宋" w:eastAsia="仿宋" w:cs="仿宋"/>
          <w:sz w:val="24"/>
          <w:lang w:val="en-US" w:eastAsia="zh-Hans"/>
        </w:rPr>
      </w:pPr>
      <w:bookmarkStart w:id="25" w:name="_Toc2293"/>
      <w:bookmarkStart w:id="26" w:name="_Toc13538"/>
      <w:r>
        <w:rPr>
          <w:rFonts w:hint="eastAsia" w:ascii="仿宋" w:hAnsi="仿宋" w:eastAsia="仿宋" w:cs="仿宋"/>
          <w:sz w:val="24"/>
          <w:lang w:val="en-US" w:eastAsia="zh-Hans"/>
        </w:rPr>
        <w:t>六、项目服务其它要求</w:t>
      </w:r>
    </w:p>
    <w:p w14:paraId="3784F0F3">
      <w:pPr>
        <w:spacing w:line="360" w:lineRule="auto"/>
        <w:ind w:firstLine="420"/>
        <w:jc w:val="left"/>
        <w:rPr>
          <w:rFonts w:hint="eastAsia" w:ascii="仿宋" w:hAnsi="仿宋" w:eastAsia="仿宋" w:cs="仿宋"/>
          <w:sz w:val="24"/>
          <w:lang w:val="en-US" w:eastAsia="zh-Hans"/>
        </w:rPr>
      </w:pPr>
      <w:bookmarkStart w:id="27" w:name="_Toc15323"/>
      <w:bookmarkStart w:id="28" w:name="_Toc32160"/>
      <w:bookmarkStart w:id="29" w:name="_Toc7104"/>
      <w:r>
        <w:rPr>
          <w:rFonts w:hint="eastAsia" w:ascii="仿宋" w:hAnsi="仿宋" w:eastAsia="仿宋" w:cs="仿宋"/>
          <w:sz w:val="24"/>
          <w:lang w:val="en-US" w:eastAsia="zh-Hans"/>
        </w:rPr>
        <w:t>1、中标供应商必须为采购人提供项目设计、项目融资、设备采购、工程施工、设备安装调试、运行管理、配合第三方检测单位检测、计量确认和保证等一整套的节能服务解决方案。</w:t>
      </w:r>
    </w:p>
    <w:p w14:paraId="51C8C32C">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2、中标人应根据现场实际情况勘察进行方案设计（包括改造前道路照明数据、改造后道路模拟照明文件、拟采用的LED灯具参数、灯杆灯臂受力模拟方案、基础的强度和安全性核算等），把设计方案报送采购人，采购人组织专家审核同意后实施。审核意见并不免除中标人对项目质量所负的完全责任，中标人须对灯具安装的安全性负责。</w:t>
      </w:r>
    </w:p>
    <w:p w14:paraId="59B448F0">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3、本项目涉及改造的所有灯具按采购人及项目要求进行更换及改造。中标供应商自行负责节能改造的投资费用，供应商在报价时应综合考虑，自行承担风险。</w:t>
      </w:r>
    </w:p>
    <w:p w14:paraId="00F2968F">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4、中标供应商施工前，应把施工方案报送采购人，经审核同意后才能实施。审核意见并不免除中标人对项目质量所负的完全责任，中标人须对安装施工的安全负责。中标人须自行办理施工开挖、占道等手续。</w:t>
      </w:r>
    </w:p>
    <w:p w14:paraId="6E8368C5">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5、投标供应商的投资额为完成招标文件及合同条款所规定的工作内容的各项费用，应包括人工、设备、材料、软件、管理、维护、安装、道路开挖、绿化补偿费、绿地占用费、调试、税金、保险、包干预备费、政策性文件规定及招标文件、合同包含的所有风险（包括施工期间物价上涨、政策性调整等因素）、责任等各项应有的费用。</w:t>
      </w:r>
    </w:p>
    <w:p w14:paraId="0BE05C2C">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6、本项目施工期需更换灯具、其他设备及提供备品的所有费用（包含人工、材料、产品、设备、设施、运输费、税费、管理费、保险、利润、代理服务费等一切与完成项目施工有关的所有费用）均应由中标人承担，投标时，应考虑到项目总投资额内。</w:t>
      </w:r>
    </w:p>
    <w:p w14:paraId="62B07D7E">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7、中标供应商应对合同履约期间的生产安全负责，由于安全管理不当或其它自身原因，造成工作人员或第三方人员的人身安全事故和财产损失，由中标供应商自行处理解决与采购人无涉。合同履约期间所涉及的所有安全管理费由中标供应商负责，安全管理费包含路口标志标牌、公告、交通管制费及其他一切与安全相关的费用。</w:t>
      </w:r>
    </w:p>
    <w:p w14:paraId="5F7C52E9">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8、运至现场的灯具抽测以及项目竣工、设施移交涉及的灯具检测、道路照明质量等项目竣工验收、设施移交所必须检测费用由中标人支付，不属于本项目第三方检测单位的工作内容。项目验收移交后的能源托管合同期（含节能改造）内的节能检测、光照质量测试等由采购人招标或自行委托引入的第三方检测单位检测，所有检测发生的费用由中标人负责。</w:t>
      </w:r>
    </w:p>
    <w:p w14:paraId="43CAD75F">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9、合同履约期内，如业主有零星的新建路灯需要中标供应商配合施工，中标供应商应积极配合。</w:t>
      </w:r>
    </w:p>
    <w:p w14:paraId="117320C5">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10、招标范围内隧道的所有机电设备（设施）（包括排风扇、应急灯、消防设施、水泵等）的电费由中标人支付，并确保用电正常。及时向采购人反馈机电设备的运行情况，机电设备的维修保养由采购人负责。</w:t>
      </w:r>
    </w:p>
    <w:p w14:paraId="27341878">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11、在合同期满后，新一任委托单位接手之前，中标供应商需负责实施范围的</w:t>
      </w:r>
      <w:r>
        <w:rPr>
          <w:rFonts w:hint="eastAsia" w:ascii="仿宋" w:hAnsi="仿宋" w:eastAsia="仿宋" w:cs="仿宋"/>
          <w:sz w:val="24"/>
          <w:lang w:val="en-US" w:eastAsia="zh-CN"/>
        </w:rPr>
        <w:t>免费</w:t>
      </w:r>
      <w:r>
        <w:rPr>
          <w:rFonts w:hint="eastAsia" w:ascii="仿宋" w:hAnsi="仿宋" w:eastAsia="仿宋" w:cs="仿宋"/>
          <w:sz w:val="24"/>
          <w:lang w:val="en-US" w:eastAsia="zh-Hans"/>
        </w:rPr>
        <w:t>维修，不超过一年。</w:t>
      </w:r>
    </w:p>
    <w:p w14:paraId="1109C7EF">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七、货物质量要求</w:t>
      </w:r>
      <w:bookmarkEnd w:id="27"/>
      <w:bookmarkEnd w:id="28"/>
      <w:bookmarkEnd w:id="29"/>
    </w:p>
    <w:p w14:paraId="75AD6483">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1、中标供应商应提供全新的原厂原装货物和完善服务。</w:t>
      </w:r>
    </w:p>
    <w:p w14:paraId="7546779C">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2、货物质量指标达到相应的生产标准及技术要求。货物须经中国政府批准在中国境内销售。</w:t>
      </w:r>
    </w:p>
    <w:p w14:paraId="156D2F8A">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3、确定中标供应商后，运至现场的每批次灯具由采购人或项目监理单位随机抽取2套灯具，送第三方检测单位检测，检测费由中标人支付，检测符合投标文件中技术要求后，交由采购人封样，方可使用；若检测不合格，该批次路灯灯具不得安装于现场，已安装于现场的必须在7个日历天内拆除。</w:t>
      </w:r>
    </w:p>
    <w:p w14:paraId="39CA9CC1">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4、中标供应商应按合同要求以及适用法律法规进行任务通知书指定区域道路照明改造的设计工作，选择相应设计资质单位进行设计，并承担相应费用。</w:t>
      </w:r>
    </w:p>
    <w:p w14:paraId="6441F6DF">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5、应向采购人递交的设计方案应经审核通过后方可施工。</w:t>
      </w:r>
    </w:p>
    <w:p w14:paraId="16DC9113">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6、施工改造过程中，采购人有权对已使用或即将安装的路灯进行抽检（非采购人委托的第三方检测机构的工作内容），与样品进行比对；若品牌不一致、参数不能满足投标文件和招标文件要求的，该批次路灯灯具不得安装于现场，已安装于现场的必须在7个日历天内拆除。</w:t>
      </w:r>
    </w:p>
    <w:p w14:paraId="0CAC9E7D">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7、中标供应商在改造过程中，需根据LED灯具的重量、体积等参数，结合原有的灯杆、挑臂进行综合模拟测试，出具改用LED灯具后路灯整体无安全隐患的承诺函，并承担相应责任。</w:t>
      </w:r>
    </w:p>
    <w:p w14:paraId="0E2860AF">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8、不允许更改中标供应商承诺的灯具品牌及型号。</w:t>
      </w:r>
    </w:p>
    <w:p w14:paraId="02EC3393">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9、节能改造服务期内，在国家LED路灯新标准未出台之前，合同所涉及到的LED路灯节能产品的性能参数不能低于中标人产品在投标过程中检测报告的数据；如有参数上的差异，取更优参数为准。</w:t>
      </w:r>
    </w:p>
    <w:p w14:paraId="54A1CCA0">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Hans"/>
        </w:rPr>
        <w:t>10、投标供应商应提供承诺函，承诺投入使用的LED灯具技术参数不低于投标时提供的检测报告的参数。</w:t>
      </w:r>
      <w:r>
        <w:rPr>
          <w:rFonts w:hint="eastAsia" w:ascii="仿宋" w:hAnsi="仿宋" w:eastAsia="仿宋" w:cs="仿宋"/>
          <w:sz w:val="24"/>
          <w:lang w:val="en-US" w:eastAsia="zh-CN"/>
        </w:rPr>
        <w:t>（承诺函格式自拟）</w:t>
      </w:r>
    </w:p>
    <w:p w14:paraId="6DBF35E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八、商务要求</w:t>
      </w:r>
      <w:bookmarkEnd w:id="25"/>
      <w:bookmarkEnd w:id="26"/>
    </w:p>
    <w:tbl>
      <w:tblPr>
        <w:tblStyle w:val="15"/>
        <w:tblW w:w="9197" w:type="dxa"/>
        <w:tblInd w:w="1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5"/>
        <w:gridCol w:w="8532"/>
      </w:tblGrid>
      <w:tr w14:paraId="0D82D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6A0A6E45">
            <w:pPr>
              <w:spacing w:line="360" w:lineRule="auto"/>
              <w:jc w:val="left"/>
              <w:rPr>
                <w:rFonts w:hint="eastAsia" w:ascii="仿宋" w:hAnsi="仿宋" w:eastAsia="仿宋" w:cs="仿宋"/>
                <w:sz w:val="24"/>
                <w:lang w:val="en-US" w:eastAsia="zh-Hans"/>
              </w:rPr>
            </w:pPr>
            <w:bookmarkStart w:id="30" w:name="_Toc27104"/>
            <w:bookmarkStart w:id="31" w:name="_Toc2073"/>
            <w:r>
              <w:rPr>
                <w:rFonts w:hint="eastAsia" w:ascii="仿宋" w:hAnsi="仿宋" w:eastAsia="仿宋" w:cs="仿宋"/>
                <w:sz w:val="24"/>
                <w:lang w:val="en-US" w:eastAsia="zh-Hans"/>
              </w:rPr>
              <w:t>序号</w:t>
            </w:r>
          </w:p>
        </w:tc>
        <w:tc>
          <w:tcPr>
            <w:tcW w:w="8532" w:type="dxa"/>
            <w:vAlign w:val="center"/>
          </w:tcPr>
          <w:p w14:paraId="66293C67">
            <w:pPr>
              <w:spacing w:line="360" w:lineRule="auto"/>
              <w:ind w:firstLine="420"/>
              <w:jc w:val="center"/>
              <w:rPr>
                <w:rFonts w:hint="eastAsia" w:ascii="仿宋" w:hAnsi="仿宋" w:eastAsia="仿宋" w:cs="仿宋"/>
                <w:sz w:val="24"/>
                <w:lang w:val="en-US" w:eastAsia="zh-Hans"/>
              </w:rPr>
            </w:pPr>
            <w:r>
              <w:rPr>
                <w:rFonts w:hint="eastAsia" w:ascii="仿宋" w:hAnsi="仿宋" w:eastAsia="仿宋" w:cs="仿宋"/>
                <w:sz w:val="24"/>
                <w:lang w:val="en-US" w:eastAsia="zh-Hans"/>
              </w:rPr>
              <w:t>内      容</w:t>
            </w:r>
          </w:p>
        </w:tc>
      </w:tr>
      <w:tr w14:paraId="63F3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540B0713">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1</w:t>
            </w:r>
          </w:p>
        </w:tc>
        <w:tc>
          <w:tcPr>
            <w:tcW w:w="8532" w:type="dxa"/>
            <w:vAlign w:val="center"/>
          </w:tcPr>
          <w:p w14:paraId="37A1D726">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CN"/>
              </w:rPr>
              <w:t>服务地点：</w:t>
            </w:r>
            <w:r>
              <w:rPr>
                <w:rFonts w:hint="eastAsia" w:ascii="仿宋" w:hAnsi="仿宋" w:eastAsia="仿宋" w:cs="仿宋"/>
                <w:sz w:val="24"/>
                <w:lang w:val="en-US" w:eastAsia="zh-Hans"/>
              </w:rPr>
              <w:t xml:space="preserve">舟山市定海区（采购人指定地点）  </w:t>
            </w:r>
          </w:p>
        </w:tc>
      </w:tr>
      <w:tr w14:paraId="4397F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666AC0B9">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▲2</w:t>
            </w:r>
          </w:p>
        </w:tc>
        <w:tc>
          <w:tcPr>
            <w:tcW w:w="8532" w:type="dxa"/>
            <w:vAlign w:val="center"/>
          </w:tcPr>
          <w:p w14:paraId="0E7C5F9D">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1、合同履约期限:</w:t>
            </w:r>
          </w:p>
          <w:p w14:paraId="6D433F30">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本项目</w:t>
            </w:r>
            <w:r>
              <w:rPr>
                <w:rFonts w:hint="eastAsia" w:ascii="仿宋" w:hAnsi="仿宋" w:eastAsia="仿宋" w:cs="仿宋"/>
                <w:sz w:val="24"/>
                <w:lang w:val="en-US" w:eastAsia="zh-CN"/>
              </w:rPr>
              <w:t>合同履约期限</w:t>
            </w:r>
            <w:r>
              <w:rPr>
                <w:rFonts w:hint="eastAsia" w:ascii="仿宋" w:hAnsi="仿宋" w:eastAsia="仿宋" w:cs="仿宋"/>
                <w:sz w:val="24"/>
                <w:lang w:val="en-US" w:eastAsia="zh-Hans"/>
              </w:rPr>
              <w:t>指</w:t>
            </w:r>
            <w:r>
              <w:rPr>
                <w:rFonts w:hint="eastAsia" w:ascii="仿宋" w:hAnsi="仿宋" w:eastAsia="仿宋" w:cs="仿宋"/>
                <w:sz w:val="24"/>
                <w:lang w:val="en-US" w:eastAsia="zh-CN"/>
              </w:rPr>
              <w:t>供应商</w:t>
            </w:r>
            <w:r>
              <w:rPr>
                <w:rFonts w:hint="eastAsia" w:ascii="仿宋" w:hAnsi="仿宋" w:eastAsia="仿宋" w:cs="仿宋"/>
                <w:sz w:val="24"/>
                <w:lang w:val="en-US" w:eastAsia="zh-Hans"/>
              </w:rPr>
              <w:t>与采购人签订合同至</w:t>
            </w:r>
            <w:r>
              <w:rPr>
                <w:rFonts w:hint="eastAsia" w:ascii="仿宋" w:hAnsi="仿宋" w:eastAsia="仿宋" w:cs="仿宋"/>
                <w:sz w:val="24"/>
                <w:lang w:val="en-US" w:eastAsia="zh-CN"/>
              </w:rPr>
              <w:t>能源托管</w:t>
            </w:r>
            <w:r>
              <w:rPr>
                <w:rFonts w:hint="eastAsia" w:ascii="仿宋" w:hAnsi="仿宋" w:eastAsia="仿宋" w:cs="仿宋"/>
                <w:sz w:val="24"/>
                <w:lang w:val="en-US" w:eastAsia="zh-Hans"/>
              </w:rPr>
              <w:t>服务合同期结束</w:t>
            </w:r>
            <w:r>
              <w:rPr>
                <w:rFonts w:hint="eastAsia" w:ascii="仿宋" w:hAnsi="仿宋" w:eastAsia="仿宋" w:cs="仿宋"/>
                <w:sz w:val="24"/>
                <w:lang w:val="en-US" w:eastAsia="zh-CN"/>
              </w:rPr>
              <w:t>，期限为10</w:t>
            </w:r>
            <w:r>
              <w:rPr>
                <w:rFonts w:hint="eastAsia" w:ascii="仿宋" w:hAnsi="仿宋" w:eastAsia="仿宋" w:cs="仿宋"/>
                <w:sz w:val="24"/>
                <w:lang w:val="en-US" w:eastAsia="zh-Hans"/>
              </w:rPr>
              <w:t>年。</w:t>
            </w:r>
          </w:p>
          <w:p w14:paraId="02DFD9A0">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CN"/>
              </w:rPr>
              <w:t>2、保修期：在合同期满后，新一任委托单位接手之前，中标供应商需负责实施范围的免费维修，不超过一年。</w:t>
            </w:r>
          </w:p>
        </w:tc>
      </w:tr>
      <w:tr w14:paraId="07416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65" w:type="dxa"/>
            <w:vAlign w:val="center"/>
          </w:tcPr>
          <w:p w14:paraId="43C2CCED">
            <w:pPr>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8532" w:type="dxa"/>
            <w:vAlign w:val="center"/>
          </w:tcPr>
          <w:p w14:paraId="71CF2CD6">
            <w:pPr>
              <w:spacing w:line="360" w:lineRule="auto"/>
              <w:jc w:val="left"/>
              <w:rPr>
                <w:rFonts w:hint="eastAsia" w:ascii="仿宋" w:hAnsi="仿宋" w:eastAsia="仿宋" w:cs="仿宋"/>
                <w:sz w:val="24"/>
                <w:lang w:val="zh-CN" w:eastAsia="zh-Hans"/>
              </w:rPr>
            </w:pPr>
            <w:r>
              <w:rPr>
                <w:rFonts w:hint="eastAsia" w:ascii="仿宋" w:hAnsi="仿宋" w:eastAsia="仿宋" w:cs="仿宋"/>
                <w:sz w:val="24"/>
                <w:lang w:val="zh-CN" w:eastAsia="zh-Hans"/>
              </w:rPr>
              <w:t>付款方法和条件：</w:t>
            </w:r>
          </w:p>
          <w:p w14:paraId="20584983">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1、在合同生效以及具备实施条件后7个工作日内，采购人向中标人支付年中标价的20%作为项目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w:t>
            </w:r>
          </w:p>
          <w:p w14:paraId="7C51A70E">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CN"/>
              </w:rPr>
              <w:t>2、第一至第九年度</w:t>
            </w:r>
            <w:r>
              <w:rPr>
                <w:rFonts w:hint="eastAsia" w:ascii="仿宋" w:hAnsi="仿宋" w:eastAsia="仿宋" w:cs="仿宋"/>
                <w:sz w:val="24"/>
                <w:lang w:val="en-US" w:eastAsia="zh-Hans"/>
              </w:rPr>
              <w:t>能源托管费用每</w:t>
            </w:r>
            <w:r>
              <w:rPr>
                <w:rFonts w:hint="eastAsia" w:ascii="仿宋" w:hAnsi="仿宋" w:eastAsia="仿宋" w:cs="仿宋"/>
                <w:sz w:val="24"/>
                <w:lang w:val="en-US" w:eastAsia="zh-CN"/>
              </w:rPr>
              <w:t>季度</w:t>
            </w:r>
            <w:r>
              <w:rPr>
                <w:rFonts w:hint="eastAsia" w:ascii="仿宋" w:hAnsi="仿宋" w:eastAsia="仿宋" w:cs="仿宋"/>
                <w:sz w:val="24"/>
                <w:lang w:val="en-US" w:eastAsia="zh-Hans"/>
              </w:rPr>
              <w:t>支付一次，每次支付的金额为该周期年能源托管费用的1/</w:t>
            </w:r>
            <w:r>
              <w:rPr>
                <w:rFonts w:hint="eastAsia" w:ascii="仿宋" w:hAnsi="仿宋" w:eastAsia="仿宋" w:cs="仿宋"/>
                <w:sz w:val="24"/>
                <w:lang w:val="en-US" w:eastAsia="zh-CN"/>
              </w:rPr>
              <w:t>4</w:t>
            </w:r>
            <w:r>
              <w:rPr>
                <w:rFonts w:hint="eastAsia" w:ascii="仿宋" w:hAnsi="仿宋" w:eastAsia="仿宋" w:cs="仿宋"/>
                <w:sz w:val="24"/>
                <w:lang w:val="en-US" w:eastAsia="zh-Hans"/>
              </w:rPr>
              <w:t>，次</w:t>
            </w:r>
            <w:r>
              <w:rPr>
                <w:rFonts w:hint="eastAsia" w:ascii="仿宋" w:hAnsi="仿宋" w:eastAsia="仿宋" w:cs="仿宋"/>
                <w:sz w:val="24"/>
                <w:lang w:val="en-US" w:eastAsia="zh-CN"/>
              </w:rPr>
              <w:t>季第一个月</w:t>
            </w:r>
            <w:r>
              <w:rPr>
                <w:rFonts w:hint="eastAsia" w:ascii="仿宋" w:hAnsi="仿宋" w:eastAsia="仿宋" w:cs="仿宋"/>
                <w:sz w:val="24"/>
                <w:lang w:val="en-US" w:eastAsia="zh-Hans"/>
              </w:rPr>
              <w:t>支付上</w:t>
            </w:r>
            <w:r>
              <w:rPr>
                <w:rFonts w:hint="eastAsia" w:ascii="仿宋" w:hAnsi="仿宋" w:eastAsia="仿宋" w:cs="仿宋"/>
                <w:sz w:val="24"/>
                <w:lang w:val="en-US" w:eastAsia="zh-CN"/>
              </w:rPr>
              <w:t>季</w:t>
            </w:r>
            <w:r>
              <w:rPr>
                <w:rFonts w:hint="eastAsia" w:ascii="仿宋" w:hAnsi="仿宋" w:eastAsia="仿宋" w:cs="仿宋"/>
                <w:sz w:val="24"/>
                <w:lang w:val="en-US" w:eastAsia="zh-Hans"/>
              </w:rPr>
              <w:t>费用（如有预付款，预付款抵扣采购人实际支付金额），每年</w:t>
            </w:r>
            <w:r>
              <w:rPr>
                <w:rFonts w:hint="eastAsia" w:ascii="仿宋" w:hAnsi="仿宋" w:eastAsia="仿宋" w:cs="仿宋"/>
                <w:sz w:val="24"/>
                <w:lang w:val="en-US" w:eastAsia="zh-CN"/>
              </w:rPr>
              <w:t>根据考核结果</w:t>
            </w:r>
            <w:r>
              <w:rPr>
                <w:rFonts w:hint="eastAsia" w:ascii="仿宋" w:hAnsi="仿宋" w:eastAsia="仿宋" w:cs="仿宋"/>
                <w:sz w:val="24"/>
                <w:lang w:val="en-US" w:eastAsia="zh-Hans"/>
              </w:rPr>
              <w:t>进行年度结算。支付前，乙方向甲方开具上个</w:t>
            </w:r>
            <w:r>
              <w:rPr>
                <w:rFonts w:hint="eastAsia" w:ascii="仿宋" w:hAnsi="仿宋" w:eastAsia="仿宋" w:cs="仿宋"/>
                <w:sz w:val="24"/>
                <w:lang w:val="en-US" w:eastAsia="zh-CN"/>
              </w:rPr>
              <w:t>季度</w:t>
            </w:r>
            <w:r>
              <w:rPr>
                <w:rFonts w:hint="eastAsia" w:ascii="仿宋" w:hAnsi="仿宋" w:eastAsia="仿宋" w:cs="仿宋"/>
                <w:sz w:val="24"/>
                <w:lang w:val="en-US" w:eastAsia="zh-Hans"/>
              </w:rPr>
              <w:t>的</w:t>
            </w:r>
            <w:r>
              <w:rPr>
                <w:rFonts w:hint="eastAsia" w:ascii="仿宋" w:hAnsi="仿宋" w:eastAsia="仿宋" w:cs="仿宋"/>
                <w:sz w:val="24"/>
                <w:lang w:val="en-US" w:eastAsia="zh-CN"/>
              </w:rPr>
              <w:t>托管</w:t>
            </w:r>
            <w:r>
              <w:rPr>
                <w:rFonts w:hint="eastAsia" w:ascii="仿宋" w:hAnsi="仿宋" w:eastAsia="仿宋" w:cs="仿宋"/>
                <w:sz w:val="24"/>
                <w:lang w:val="en-US" w:eastAsia="zh-Hans"/>
              </w:rPr>
              <w:t>服务</w:t>
            </w:r>
            <w:r>
              <w:rPr>
                <w:rFonts w:hint="eastAsia" w:ascii="仿宋" w:hAnsi="仿宋" w:eastAsia="仿宋" w:cs="仿宋"/>
                <w:sz w:val="24"/>
                <w:lang w:val="en-US" w:eastAsia="zh-CN"/>
              </w:rPr>
              <w:t>费</w:t>
            </w:r>
            <w:r>
              <w:rPr>
                <w:rFonts w:hint="eastAsia" w:ascii="仿宋" w:hAnsi="仿宋" w:eastAsia="仿宋" w:cs="仿宋"/>
                <w:sz w:val="24"/>
                <w:lang w:val="en-US" w:eastAsia="zh-Hans"/>
              </w:rPr>
              <w:t>发票，否则甲方有权延期付款且不承担任何违约责任。</w:t>
            </w:r>
          </w:p>
          <w:p w14:paraId="07276104">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3、第十年度</w:t>
            </w:r>
            <w:r>
              <w:rPr>
                <w:rFonts w:hint="eastAsia" w:ascii="仿宋" w:hAnsi="仿宋" w:eastAsia="仿宋" w:cs="仿宋"/>
                <w:sz w:val="24"/>
                <w:lang w:val="en-US" w:eastAsia="zh-Hans"/>
              </w:rPr>
              <w:t>能源托管费</w:t>
            </w:r>
            <w:r>
              <w:rPr>
                <w:rFonts w:hint="eastAsia" w:ascii="仿宋" w:hAnsi="仿宋" w:eastAsia="仿宋" w:cs="仿宋"/>
                <w:sz w:val="24"/>
                <w:lang w:val="en-US" w:eastAsia="zh-CN"/>
              </w:rPr>
              <w:t>在托管</w:t>
            </w:r>
            <w:r>
              <w:rPr>
                <w:rFonts w:hint="eastAsia" w:ascii="仿宋" w:hAnsi="仿宋" w:eastAsia="仿宋" w:cs="仿宋"/>
                <w:sz w:val="24"/>
                <w:lang w:val="en-US" w:eastAsia="zh-Hans"/>
              </w:rPr>
              <w:t>服务期</w:t>
            </w:r>
            <w:r>
              <w:rPr>
                <w:rFonts w:hint="eastAsia" w:ascii="仿宋" w:hAnsi="仿宋" w:eastAsia="仿宋" w:cs="仿宋"/>
                <w:sz w:val="24"/>
                <w:lang w:val="en-US" w:eastAsia="zh-CN"/>
              </w:rPr>
              <w:t>满后，</w:t>
            </w:r>
            <w:r>
              <w:rPr>
                <w:rFonts w:hint="eastAsia" w:ascii="仿宋" w:hAnsi="仿宋" w:eastAsia="仿宋" w:cs="仿宋"/>
                <w:sz w:val="24"/>
                <w:lang w:val="en-US" w:eastAsia="zh-Hans"/>
              </w:rPr>
              <w:t>中标供应商</w:t>
            </w:r>
            <w:r>
              <w:rPr>
                <w:rFonts w:hint="eastAsia" w:ascii="仿宋" w:hAnsi="仿宋" w:eastAsia="仿宋" w:cs="仿宋"/>
                <w:sz w:val="24"/>
                <w:lang w:val="en-US" w:eastAsia="zh-CN"/>
              </w:rPr>
              <w:t>移交完所有设备及档案资料并经业主考核确认后30日内一次性付清。</w:t>
            </w:r>
          </w:p>
        </w:tc>
      </w:tr>
      <w:tr w14:paraId="0F3CA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266351C8">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▲4</w:t>
            </w:r>
          </w:p>
        </w:tc>
        <w:tc>
          <w:tcPr>
            <w:tcW w:w="8532" w:type="dxa"/>
            <w:vAlign w:val="center"/>
          </w:tcPr>
          <w:p w14:paraId="29824AF0">
            <w:pPr>
              <w:spacing w:line="360" w:lineRule="auto"/>
              <w:jc w:val="left"/>
              <w:rPr>
                <w:rFonts w:hint="eastAsia" w:ascii="仿宋" w:hAnsi="仿宋" w:eastAsia="仿宋" w:cs="仿宋"/>
                <w:sz w:val="24"/>
                <w:lang w:val="zh-CN" w:eastAsia="zh-Hans"/>
              </w:rPr>
            </w:pPr>
            <w:r>
              <w:rPr>
                <w:rFonts w:hint="eastAsia" w:ascii="仿宋" w:hAnsi="仿宋" w:eastAsia="仿宋" w:cs="仿宋"/>
                <w:sz w:val="24"/>
                <w:lang w:val="zh-CN" w:eastAsia="zh-Hans"/>
              </w:rPr>
              <w:t>服务质量要求：符合国家规范、规程和地方法规及“采购需求”等规定。</w:t>
            </w:r>
          </w:p>
        </w:tc>
      </w:tr>
      <w:tr w14:paraId="55A59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428BBC4E">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5</w:t>
            </w:r>
          </w:p>
        </w:tc>
        <w:tc>
          <w:tcPr>
            <w:tcW w:w="8532" w:type="dxa"/>
            <w:vAlign w:val="center"/>
          </w:tcPr>
          <w:p w14:paraId="23E76C2F">
            <w:pPr>
              <w:spacing w:line="360" w:lineRule="auto"/>
              <w:jc w:val="left"/>
              <w:rPr>
                <w:rFonts w:hint="eastAsia" w:ascii="仿宋" w:hAnsi="仿宋" w:eastAsia="仿宋" w:cs="仿宋"/>
                <w:sz w:val="24"/>
                <w:lang w:val="zh-CN" w:eastAsia="zh-Hans"/>
              </w:rPr>
            </w:pPr>
            <w:bookmarkStart w:id="32" w:name="_Toc213"/>
            <w:bookmarkStart w:id="33" w:name="_Toc514908197"/>
            <w:r>
              <w:rPr>
                <w:rFonts w:hint="eastAsia" w:ascii="仿宋" w:hAnsi="仿宋" w:eastAsia="仿宋" w:cs="仿宋"/>
                <w:sz w:val="24"/>
                <w:lang w:val="zh-CN" w:eastAsia="zh-Hans"/>
              </w:rPr>
              <w:t>履约保证金金额：</w:t>
            </w:r>
            <w:bookmarkEnd w:id="32"/>
          </w:p>
          <w:p w14:paraId="4569EFBF">
            <w:pPr>
              <w:spacing w:line="360" w:lineRule="auto"/>
              <w:ind w:firstLine="420"/>
              <w:jc w:val="left"/>
              <w:rPr>
                <w:rFonts w:hint="eastAsia" w:ascii="仿宋" w:hAnsi="仿宋" w:eastAsia="仿宋" w:cs="仿宋"/>
                <w:sz w:val="24"/>
                <w:lang w:val="zh-CN" w:eastAsia="zh-Hans"/>
              </w:rPr>
            </w:pPr>
            <w:r>
              <w:rPr>
                <w:rFonts w:hint="eastAsia" w:ascii="仿宋" w:hAnsi="仿宋" w:eastAsia="仿宋" w:cs="仿宋"/>
                <w:sz w:val="24"/>
                <w:lang w:val="zh-CN" w:eastAsia="zh-Hans"/>
              </w:rPr>
              <w:t>1、履约保证金金额：合同金额的1%。</w:t>
            </w:r>
          </w:p>
          <w:p w14:paraId="423D12DD">
            <w:pPr>
              <w:spacing w:line="360" w:lineRule="auto"/>
              <w:ind w:firstLine="420"/>
              <w:jc w:val="left"/>
              <w:rPr>
                <w:rFonts w:hint="eastAsia" w:ascii="仿宋" w:hAnsi="仿宋" w:eastAsia="仿宋" w:cs="仿宋"/>
                <w:sz w:val="24"/>
                <w:lang w:val="zh-CN" w:eastAsia="zh-Hans"/>
              </w:rPr>
            </w:pPr>
            <w:r>
              <w:rPr>
                <w:rFonts w:hint="eastAsia" w:ascii="仿宋" w:hAnsi="仿宋" w:eastAsia="仿宋" w:cs="仿宋"/>
                <w:sz w:val="24"/>
                <w:lang w:val="zh-CN" w:eastAsia="zh-Hans"/>
              </w:rPr>
              <w:t>2、履约保证金形式：银行汇票（电汇）、现金、支票（仅限于使用舟山市区范围内的银行开具的支票）、银行或保险机构出具的保函或保险保单；保函或保险保单形式提交至采购人，应满足以下几个条件：①为无条件保函：即在中标供应商没有实施合同或者未履行合同义务时，采购人不需要出具任何证明和理由，只要中标供应商违约，就可对保函进行收兑；②履约保证金有效期：自合同签订生效之日起10年。如果供应商出具的履约保证金有效期少于10年，供应商应在期满前6个月内延长履约保证金有效期，否则采购人有权延期支付合同价款。</w:t>
            </w:r>
          </w:p>
          <w:p w14:paraId="6F45EE18">
            <w:pPr>
              <w:spacing w:line="360" w:lineRule="auto"/>
              <w:ind w:firstLine="420"/>
              <w:jc w:val="left"/>
              <w:rPr>
                <w:rFonts w:hint="eastAsia" w:ascii="仿宋" w:hAnsi="仿宋" w:eastAsia="仿宋" w:cs="仿宋"/>
                <w:sz w:val="24"/>
                <w:lang w:val="zh-CN" w:eastAsia="zh-Hans"/>
              </w:rPr>
            </w:pPr>
            <w:bookmarkStart w:id="34" w:name="_Toc848"/>
            <w:r>
              <w:rPr>
                <w:rFonts w:hint="eastAsia" w:ascii="仿宋" w:hAnsi="仿宋" w:eastAsia="仿宋" w:cs="仿宋"/>
                <w:sz w:val="24"/>
                <w:lang w:val="zh-CN" w:eastAsia="zh-Hans"/>
              </w:rPr>
              <w:t>3、提交时间：合同签订后7个工作日内。</w:t>
            </w:r>
          </w:p>
          <w:p w14:paraId="1665F928">
            <w:pPr>
              <w:spacing w:line="360" w:lineRule="auto"/>
              <w:ind w:firstLine="420"/>
              <w:jc w:val="left"/>
              <w:rPr>
                <w:rFonts w:hint="eastAsia" w:ascii="仿宋" w:hAnsi="仿宋" w:eastAsia="仿宋" w:cs="仿宋"/>
                <w:sz w:val="24"/>
                <w:lang w:val="zh-CN" w:eastAsia="zh-Hans"/>
              </w:rPr>
            </w:pPr>
            <w:r>
              <w:rPr>
                <w:rFonts w:hint="eastAsia" w:ascii="仿宋" w:hAnsi="仿宋" w:eastAsia="仿宋" w:cs="仿宋"/>
                <w:sz w:val="24"/>
                <w:lang w:val="zh-CN" w:eastAsia="zh-Hans"/>
              </w:rPr>
              <w:t>4、退还时间：合同期满后7个工作日内。</w:t>
            </w:r>
            <w:bookmarkEnd w:id="33"/>
            <w:bookmarkEnd w:id="34"/>
          </w:p>
        </w:tc>
      </w:tr>
      <w:tr w14:paraId="45E95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128C24DB">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6</w:t>
            </w:r>
          </w:p>
        </w:tc>
        <w:tc>
          <w:tcPr>
            <w:tcW w:w="8532" w:type="dxa"/>
            <w:vAlign w:val="center"/>
          </w:tcPr>
          <w:p w14:paraId="3E5C4482">
            <w:pPr>
              <w:spacing w:line="360" w:lineRule="auto"/>
              <w:jc w:val="left"/>
              <w:rPr>
                <w:rFonts w:hint="eastAsia" w:ascii="仿宋" w:hAnsi="仿宋" w:eastAsia="仿宋" w:cs="仿宋"/>
                <w:sz w:val="24"/>
                <w:lang w:val="zh-CN" w:eastAsia="zh-Hans"/>
              </w:rPr>
            </w:pPr>
            <w:r>
              <w:rPr>
                <w:rFonts w:hint="eastAsia" w:ascii="仿宋" w:hAnsi="仿宋" w:eastAsia="仿宋" w:cs="仿宋"/>
                <w:sz w:val="24"/>
                <w:lang w:val="zh-CN" w:eastAsia="zh-Hans"/>
              </w:rPr>
              <w:t>保险：供应商除必须为参与本项目服务的工作人员交纳必须的养老保险外，还应提供第三者责任保险和员工人身意外保险的投保，如在合同履约期间发生工伤、疾病乃至死亡的一切责任及费用由供应商全部负责；中标供应商应严格遵守国家有关的法律、法规及行业标准。</w:t>
            </w:r>
          </w:p>
        </w:tc>
      </w:tr>
      <w:tr w14:paraId="481D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454136DE">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7</w:t>
            </w:r>
          </w:p>
        </w:tc>
        <w:tc>
          <w:tcPr>
            <w:tcW w:w="8532" w:type="dxa"/>
            <w:vAlign w:val="center"/>
          </w:tcPr>
          <w:p w14:paraId="3ABB5EE5">
            <w:pPr>
              <w:spacing w:line="360" w:lineRule="auto"/>
              <w:jc w:val="left"/>
              <w:rPr>
                <w:rFonts w:hint="eastAsia" w:ascii="仿宋" w:hAnsi="仿宋" w:eastAsia="仿宋" w:cs="仿宋"/>
                <w:sz w:val="24"/>
                <w:lang w:val="zh-CN" w:eastAsia="zh-Hans"/>
              </w:rPr>
            </w:pPr>
            <w:r>
              <w:rPr>
                <w:rFonts w:hint="eastAsia" w:ascii="仿宋" w:hAnsi="仿宋" w:eastAsia="仿宋" w:cs="仿宋"/>
                <w:sz w:val="24"/>
                <w:lang w:val="zh-CN" w:eastAsia="zh-Hans"/>
              </w:rPr>
              <w:t>特别约定：本项目采购人为舟山市定海区公路与运输管理中心，招标完成后由舟山市定海区公路与运输管理中心与中标供应商签订合同，并履行相关权利、义务。</w:t>
            </w:r>
          </w:p>
        </w:tc>
      </w:tr>
      <w:tr w14:paraId="671C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665" w:type="dxa"/>
            <w:vAlign w:val="center"/>
          </w:tcPr>
          <w:p w14:paraId="33EA1110">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8</w:t>
            </w:r>
          </w:p>
        </w:tc>
        <w:tc>
          <w:tcPr>
            <w:tcW w:w="8532" w:type="dxa"/>
            <w:vAlign w:val="center"/>
          </w:tcPr>
          <w:p w14:paraId="12283DB8">
            <w:pPr>
              <w:spacing w:line="360" w:lineRule="auto"/>
              <w:jc w:val="left"/>
              <w:rPr>
                <w:rFonts w:hint="eastAsia" w:ascii="仿宋" w:hAnsi="仿宋" w:eastAsia="仿宋" w:cs="仿宋"/>
                <w:sz w:val="24"/>
                <w:lang w:val="zh-CN" w:eastAsia="zh-Hans"/>
              </w:rPr>
            </w:pPr>
            <w:r>
              <w:rPr>
                <w:rFonts w:hint="eastAsia" w:ascii="仿宋" w:hAnsi="仿宋" w:eastAsia="仿宋" w:cs="仿宋"/>
                <w:sz w:val="24"/>
                <w:lang w:val="zh-CN" w:eastAsia="zh-Hans"/>
              </w:rPr>
              <w:t>如果供应商未能按照其投标方案中承诺的改造时间完成改造任务的，除非该等延误是由于不可抗力或者是采购人造成，则乙方应当按照每日10000元向采购人支付违约金。</w:t>
            </w:r>
          </w:p>
        </w:tc>
      </w:tr>
      <w:tr w14:paraId="343A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6739E95D">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9</w:t>
            </w:r>
          </w:p>
        </w:tc>
        <w:tc>
          <w:tcPr>
            <w:tcW w:w="8532" w:type="dxa"/>
            <w:vAlign w:val="center"/>
          </w:tcPr>
          <w:p w14:paraId="6E0A86BE">
            <w:pPr>
              <w:spacing w:line="360" w:lineRule="auto"/>
              <w:ind w:firstLine="420"/>
              <w:jc w:val="left"/>
              <w:rPr>
                <w:rFonts w:hint="eastAsia" w:ascii="仿宋" w:hAnsi="仿宋" w:eastAsia="仿宋" w:cs="仿宋"/>
                <w:sz w:val="24"/>
                <w:lang w:val="zh-CN" w:eastAsia="zh-Hans"/>
              </w:rPr>
            </w:pPr>
            <w:r>
              <w:rPr>
                <w:rFonts w:hint="eastAsia" w:ascii="仿宋" w:hAnsi="仿宋" w:eastAsia="仿宋" w:cs="仿宋"/>
                <w:sz w:val="24"/>
                <w:lang w:val="zh-CN" w:eastAsia="zh-Hans"/>
              </w:rPr>
              <w:t>授予合同：按照招标文件的规定、中标供应商的投标响应及中标通知书确定的金额签订合同。</w:t>
            </w:r>
          </w:p>
        </w:tc>
      </w:tr>
      <w:tr w14:paraId="12A71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7E486F55">
            <w:pPr>
              <w:spacing w:line="360" w:lineRule="auto"/>
              <w:jc w:val="left"/>
              <w:rPr>
                <w:rFonts w:hint="eastAsia" w:ascii="仿宋" w:hAnsi="仿宋" w:eastAsia="仿宋" w:cs="仿宋"/>
                <w:sz w:val="24"/>
                <w:lang w:val="en-US" w:eastAsia="zh-Hans"/>
              </w:rPr>
            </w:pPr>
            <w:r>
              <w:rPr>
                <w:rFonts w:hint="eastAsia" w:ascii="仿宋" w:hAnsi="仿宋" w:eastAsia="仿宋" w:cs="仿宋"/>
                <w:sz w:val="24"/>
                <w:lang w:val="en-US" w:eastAsia="zh-Hans"/>
              </w:rPr>
              <w:t>10</w:t>
            </w:r>
          </w:p>
        </w:tc>
        <w:tc>
          <w:tcPr>
            <w:tcW w:w="8532" w:type="dxa"/>
            <w:vAlign w:val="center"/>
          </w:tcPr>
          <w:p w14:paraId="124F16A5">
            <w:pPr>
              <w:spacing w:line="360" w:lineRule="auto"/>
              <w:ind w:firstLine="420"/>
              <w:jc w:val="left"/>
              <w:rPr>
                <w:rFonts w:hint="eastAsia" w:ascii="仿宋" w:hAnsi="仿宋" w:eastAsia="仿宋" w:cs="仿宋"/>
                <w:sz w:val="24"/>
                <w:lang w:val="zh-CN" w:eastAsia="zh-Hans"/>
              </w:rPr>
            </w:pPr>
            <w:r>
              <w:rPr>
                <w:rFonts w:hint="eastAsia" w:ascii="仿宋" w:hAnsi="仿宋" w:eastAsia="仿宋" w:cs="仿宋"/>
                <w:sz w:val="24"/>
                <w:lang w:val="zh-CN" w:eastAsia="zh-Hans"/>
              </w:rPr>
              <w:t>合同签订时间：中标通知书发出之日起30天内签订合同</w:t>
            </w:r>
          </w:p>
        </w:tc>
      </w:tr>
    </w:tbl>
    <w:p w14:paraId="66321B2D">
      <w:pPr>
        <w:spacing w:line="360" w:lineRule="auto"/>
        <w:ind w:firstLine="420"/>
        <w:jc w:val="left"/>
        <w:rPr>
          <w:rFonts w:hint="eastAsia" w:ascii="仿宋" w:hAnsi="仿宋" w:eastAsia="仿宋" w:cs="仿宋"/>
          <w:sz w:val="24"/>
          <w:lang w:val="en-US" w:eastAsia="zh-Hans"/>
        </w:rPr>
      </w:pPr>
    </w:p>
    <w:p w14:paraId="12B8F368">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九、投标报价要求</w:t>
      </w:r>
      <w:bookmarkEnd w:id="30"/>
      <w:bookmarkEnd w:id="31"/>
    </w:p>
    <w:p w14:paraId="61D3C0E1">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1、投标报价（托管费用）应包含本项目实施所需的全部产品</w:t>
      </w:r>
      <w:r>
        <w:rPr>
          <w:rFonts w:hint="eastAsia" w:ascii="仿宋" w:hAnsi="仿宋" w:eastAsia="仿宋" w:cs="仿宋"/>
          <w:sz w:val="24"/>
          <w:lang w:val="en-US" w:eastAsia="zh-CN"/>
        </w:rPr>
        <w:t>和</w:t>
      </w:r>
      <w:r>
        <w:rPr>
          <w:rFonts w:hint="eastAsia" w:ascii="仿宋" w:hAnsi="仿宋" w:eastAsia="仿宋" w:cs="仿宋"/>
          <w:sz w:val="24"/>
          <w:lang w:val="en-US" w:eastAsia="zh-Hans"/>
        </w:rPr>
        <w:t>服务，不得缺漏，是履行合同的最终价格，包括：电费、货款、标准附件、备品备件、专用工具、包装、运输、装卸、保险、税金、货到就位以及安装、调试、技术服务、管理服务、运维服务、企业应缴税金、应急、物价因素等完成本项目所需的一切本身和不可或缺的所有工作开支、政策性文件规定及合同包含的所有风险、责任等各项全部费用。2、供应商在报价时应充分考虑在合同执行期间，最低工资标准、社保缴费基数比例上调等政策因素变动情况。在合同执行期间，所有人员必须依法交纳各类社会保障资金，服务期内由于用工政策、电价、税率等因素变动，费用不做调整。</w:t>
      </w:r>
    </w:p>
    <w:p w14:paraId="14B0118F">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3、供应商应参照国家的相应标准，结合自身综合实力、市场行情、本项目具体特点和技术要求，对项目自行报价。</w:t>
      </w:r>
    </w:p>
    <w:p w14:paraId="0C951B93">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4、供应商应按招标文件要求认真填写“开标一览表”</w:t>
      </w:r>
      <w:r>
        <w:rPr>
          <w:rFonts w:hint="eastAsia" w:ascii="仿宋" w:hAnsi="仿宋" w:eastAsia="仿宋" w:cs="仿宋"/>
          <w:sz w:val="24"/>
          <w:lang w:val="en-US" w:eastAsia="zh-CN"/>
        </w:rPr>
        <w:t>，如投标单位认为需要报价明细表，可格式自拟</w:t>
      </w:r>
      <w:r>
        <w:rPr>
          <w:rFonts w:hint="eastAsia" w:ascii="仿宋" w:hAnsi="仿宋" w:eastAsia="仿宋" w:cs="仿宋"/>
          <w:sz w:val="24"/>
          <w:lang w:val="en-US" w:eastAsia="zh-Hans"/>
        </w:rPr>
        <w:t>。</w:t>
      </w:r>
    </w:p>
    <w:p w14:paraId="4E321256">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5、投标供应商承诺在服务期内，招标范围内合同总价不变，并按招标人要求及时提供服务所需人数，无条件接受招标人安排。</w:t>
      </w:r>
    </w:p>
    <w:p w14:paraId="2E4152FC">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6、舟山北向疏港公路小展岭隧道</w:t>
      </w:r>
      <w:r>
        <w:rPr>
          <w:rFonts w:hint="eastAsia" w:ascii="仿宋" w:hAnsi="仿宋" w:eastAsia="仿宋" w:cs="仿宋"/>
          <w:sz w:val="24"/>
          <w:lang w:val="en-US" w:eastAsia="zh-CN"/>
        </w:rPr>
        <w:t>（左洞、右洞）</w:t>
      </w:r>
      <w:r>
        <w:rPr>
          <w:rFonts w:hint="eastAsia" w:ascii="仿宋" w:hAnsi="仿宋" w:eastAsia="仿宋" w:cs="仿宋"/>
          <w:sz w:val="24"/>
          <w:lang w:val="en-US" w:eastAsia="zh-Hans"/>
        </w:rPr>
        <w:t>、摩鼻岭隧道</w:t>
      </w:r>
      <w:r>
        <w:rPr>
          <w:rFonts w:hint="eastAsia" w:ascii="仿宋" w:hAnsi="仿宋" w:eastAsia="仿宋" w:cs="仿宋"/>
          <w:sz w:val="24"/>
          <w:lang w:val="en-US" w:eastAsia="zh-CN"/>
        </w:rPr>
        <w:t>（左洞、右洞）</w:t>
      </w:r>
      <w:r>
        <w:rPr>
          <w:rFonts w:hint="eastAsia" w:ascii="仿宋" w:hAnsi="仿宋" w:eastAsia="仿宋" w:cs="仿宋"/>
          <w:sz w:val="24"/>
          <w:lang w:val="en-US" w:eastAsia="zh-Hans"/>
        </w:rPr>
        <w:t>的照明设施由于该2026年6月21日前无法移交，故中标供应商在该区域照明设施移交前无需进行相关的运维工作，但需按项目要求在合同生效后履行交纳相应能耗费用的义务，并在移交后对相关照明设施按项目招标要求进行节能技术改造。</w:t>
      </w:r>
    </w:p>
    <w:p w14:paraId="7F28820B">
      <w:pPr>
        <w:spacing w:line="360" w:lineRule="auto"/>
        <w:ind w:firstLine="420"/>
        <w:jc w:val="left"/>
        <w:rPr>
          <w:rFonts w:hint="eastAsia" w:ascii="仿宋" w:hAnsi="仿宋" w:eastAsia="仿宋" w:cs="仿宋"/>
          <w:sz w:val="24"/>
          <w:lang w:val="en-US" w:eastAsia="zh-CN"/>
        </w:rPr>
      </w:pPr>
      <w:r>
        <w:rPr>
          <w:rFonts w:hint="eastAsia" w:ascii="仿宋" w:hAnsi="仿宋" w:eastAsia="仿宋" w:cs="仿宋"/>
          <w:sz w:val="24"/>
          <w:lang w:val="en-US" w:eastAsia="zh-CN"/>
        </w:rPr>
        <w:t>7、▲本项目采购预算为人民币     元整，如投标人报价超过最高限价，其投标文件作无效标处理。中标供应商应根据国家、省市的有关法律、法规，按照采购文件、投标文件和服务委托合同对本服务实施统一管理、综合服务、自主经营、自负盈亏。</w:t>
      </w:r>
    </w:p>
    <w:p w14:paraId="113081AE">
      <w:pPr>
        <w:spacing w:line="360" w:lineRule="auto"/>
        <w:ind w:firstLine="420"/>
        <w:jc w:val="left"/>
        <w:rPr>
          <w:rFonts w:hint="eastAsia" w:ascii="仿宋" w:hAnsi="仿宋" w:eastAsia="仿宋" w:cs="仿宋"/>
          <w:sz w:val="24"/>
          <w:lang w:val="en-US" w:eastAsia="zh-Hans"/>
        </w:rPr>
      </w:pPr>
      <w:r>
        <w:rPr>
          <w:rFonts w:hint="eastAsia" w:ascii="仿宋" w:hAnsi="仿宋" w:eastAsia="仿宋" w:cs="仿宋"/>
          <w:sz w:val="24"/>
          <w:lang w:val="en-US" w:eastAsia="zh-Hans"/>
        </w:rPr>
        <w:t>8、新增/减少照明设施维护费用计算。由于城区建设不断扩展，新建道路及新移交路段不断增加，如新增用能设施一并交中标人托管，费用按招标文件或合同约定的相关方式结算。</w:t>
      </w:r>
    </w:p>
    <w:p w14:paraId="6AE2CA6A">
      <w:pPr>
        <w:keepNext/>
        <w:keepLines/>
        <w:widowControl w:val="0"/>
        <w:tabs>
          <w:tab w:val="left" w:pos="567"/>
        </w:tabs>
        <w:spacing w:before="120" w:after="120" w:line="416" w:lineRule="auto"/>
        <w:jc w:val="both"/>
        <w:outlineLvl w:val="2"/>
        <w:rPr>
          <w:rFonts w:hint="eastAsia" w:ascii="Times New Roman" w:hAnsi="Times New Roman" w:eastAsia="宋体" w:cs="Times New Roman"/>
          <w:b/>
          <w:bCs/>
          <w:kern w:val="0"/>
          <w:sz w:val="32"/>
          <w:szCs w:val="32"/>
          <w:lang w:val="en-US" w:eastAsia="zh-CN" w:bidi="ar-SA"/>
        </w:rPr>
      </w:pPr>
      <w:r>
        <w:rPr>
          <w:rFonts w:hint="eastAsia" w:ascii="Times New Roman" w:hAnsi="Times New Roman" w:eastAsia="宋体" w:cs="Times New Roman"/>
          <w:b/>
          <w:bCs/>
          <w:kern w:val="0"/>
          <w:sz w:val="32"/>
          <w:szCs w:val="32"/>
          <w:lang w:val="en-US" w:eastAsia="zh-CN" w:bidi="ar-SA"/>
        </w:rPr>
        <w:t xml:space="preserve">附件1. </w:t>
      </w:r>
    </w:p>
    <w:p w14:paraId="6832A308">
      <w:pPr>
        <w:keepNext/>
        <w:keepLines/>
        <w:widowControl w:val="0"/>
        <w:tabs>
          <w:tab w:val="left" w:pos="567"/>
        </w:tabs>
        <w:spacing w:before="120" w:after="120" w:line="416" w:lineRule="auto"/>
        <w:ind w:left="420" w:firstLine="2249" w:firstLineChars="700"/>
        <w:jc w:val="both"/>
        <w:outlineLvl w:val="2"/>
        <w:rPr>
          <w:rFonts w:ascii="Times New Roman" w:hAnsi="Times New Roman" w:eastAsia="宋体" w:cs="Times New Roman"/>
          <w:b/>
          <w:bCs/>
          <w:kern w:val="0"/>
          <w:sz w:val="32"/>
          <w:szCs w:val="32"/>
          <w:lang w:val="en-US" w:eastAsia="zh-CN" w:bidi="ar-SA"/>
        </w:rPr>
      </w:pPr>
      <w:r>
        <w:rPr>
          <w:rFonts w:hint="eastAsia" w:ascii="Times New Roman" w:hAnsi="Times New Roman" w:eastAsia="宋体" w:cs="Times New Roman"/>
          <w:b/>
          <w:bCs/>
          <w:kern w:val="0"/>
          <w:sz w:val="32"/>
          <w:szCs w:val="32"/>
          <w:lang w:val="en-US" w:eastAsia="zh-CN" w:bidi="ar-SA"/>
        </w:rPr>
        <w:t>定海区现状灯具统计表</w:t>
      </w:r>
    </w:p>
    <w:tbl>
      <w:tblPr>
        <w:tblStyle w:val="15"/>
        <w:tblW w:w="4829" w:type="pct"/>
        <w:tblInd w:w="124" w:type="dxa"/>
        <w:tblLayout w:type="autofit"/>
        <w:tblCellMar>
          <w:top w:w="0" w:type="dxa"/>
          <w:left w:w="108" w:type="dxa"/>
          <w:bottom w:w="0" w:type="dxa"/>
          <w:right w:w="108" w:type="dxa"/>
        </w:tblCellMar>
      </w:tblPr>
      <w:tblGrid>
        <w:gridCol w:w="799"/>
        <w:gridCol w:w="2081"/>
        <w:gridCol w:w="1199"/>
        <w:gridCol w:w="1111"/>
        <w:gridCol w:w="1024"/>
        <w:gridCol w:w="2536"/>
      </w:tblGrid>
      <w:tr w14:paraId="3B3F3302">
        <w:tblPrEx>
          <w:tblCellMar>
            <w:top w:w="0" w:type="dxa"/>
            <w:left w:w="108" w:type="dxa"/>
            <w:bottom w:w="0" w:type="dxa"/>
            <w:right w:w="108" w:type="dxa"/>
          </w:tblCellMar>
        </w:tblPrEx>
        <w:trPr>
          <w:trHeight w:val="850" w:hRule="atLeast"/>
        </w:trPr>
        <w:tc>
          <w:tcPr>
            <w:tcW w:w="5000" w:type="pct"/>
            <w:gridSpan w:val="6"/>
            <w:tcBorders>
              <w:top w:val="single" w:color="000000" w:sz="8" w:space="0"/>
              <w:left w:val="single" w:color="000000" w:sz="8" w:space="0"/>
              <w:bottom w:val="single" w:color="000000" w:sz="8" w:space="0"/>
              <w:right w:val="single" w:color="000000" w:sz="4" w:space="0"/>
            </w:tcBorders>
            <w:vAlign w:val="center"/>
          </w:tcPr>
          <w:p w14:paraId="3AAC1BF8">
            <w:pPr>
              <w:jc w:val="center"/>
              <w:rPr>
                <w:rFonts w:ascii="Times New Roman" w:hAnsi="Times New Roman" w:eastAsia="宋体" w:cs="Times New Roman"/>
              </w:rPr>
            </w:pPr>
            <w:r>
              <w:rPr>
                <w:rFonts w:hint="eastAsia" w:ascii="Times New Roman" w:hAnsi="Times New Roman" w:eastAsia="宋体" w:cs="Times New Roman"/>
              </w:rPr>
              <w:t>路灯灯具设备清单</w:t>
            </w:r>
          </w:p>
        </w:tc>
      </w:tr>
      <w:tr w14:paraId="3BD8A4C7">
        <w:tblPrEx>
          <w:tblCellMar>
            <w:top w:w="0" w:type="dxa"/>
            <w:left w:w="108" w:type="dxa"/>
            <w:bottom w:w="0" w:type="dxa"/>
            <w:right w:w="108" w:type="dxa"/>
          </w:tblCellMar>
        </w:tblPrEx>
        <w:trPr>
          <w:trHeight w:val="850" w:hRule="atLeast"/>
        </w:trPr>
        <w:tc>
          <w:tcPr>
            <w:tcW w:w="457" w:type="pct"/>
            <w:tcBorders>
              <w:top w:val="nil"/>
              <w:left w:val="single" w:color="000000" w:sz="8" w:space="0"/>
              <w:bottom w:val="single" w:color="000000" w:sz="8" w:space="0"/>
              <w:right w:val="single" w:color="000000" w:sz="4" w:space="0"/>
            </w:tcBorders>
            <w:noWrap/>
            <w:vAlign w:val="center"/>
          </w:tcPr>
          <w:p w14:paraId="4ADC2260">
            <w:pPr>
              <w:jc w:val="center"/>
              <w:rPr>
                <w:rFonts w:ascii="Times New Roman" w:hAnsi="Times New Roman" w:eastAsia="宋体" w:cs="Times New Roman"/>
              </w:rPr>
            </w:pPr>
            <w:r>
              <w:rPr>
                <w:rFonts w:hint="eastAsia" w:ascii="Times New Roman" w:hAnsi="Times New Roman" w:eastAsia="宋体" w:cs="Times New Roman"/>
              </w:rPr>
              <w:t>序号</w:t>
            </w:r>
          </w:p>
        </w:tc>
        <w:tc>
          <w:tcPr>
            <w:tcW w:w="1189" w:type="pct"/>
            <w:tcBorders>
              <w:top w:val="nil"/>
              <w:left w:val="single" w:color="000000" w:sz="4" w:space="0"/>
              <w:bottom w:val="single" w:color="000000" w:sz="8" w:space="0"/>
              <w:right w:val="single" w:color="000000" w:sz="4" w:space="0"/>
            </w:tcBorders>
            <w:noWrap/>
            <w:vAlign w:val="center"/>
          </w:tcPr>
          <w:p w14:paraId="71F85413">
            <w:pPr>
              <w:jc w:val="center"/>
              <w:rPr>
                <w:rFonts w:ascii="Times New Roman" w:hAnsi="Times New Roman" w:eastAsia="宋体" w:cs="Times New Roman"/>
              </w:rPr>
            </w:pPr>
            <w:r>
              <w:rPr>
                <w:rFonts w:hint="eastAsia" w:ascii="Times New Roman" w:hAnsi="Times New Roman" w:eastAsia="宋体" w:cs="Times New Roman"/>
              </w:rPr>
              <w:t>线路名称</w:t>
            </w:r>
          </w:p>
        </w:tc>
        <w:tc>
          <w:tcPr>
            <w:tcW w:w="685" w:type="pct"/>
            <w:tcBorders>
              <w:top w:val="nil"/>
              <w:left w:val="single" w:color="000000" w:sz="4" w:space="0"/>
              <w:bottom w:val="single" w:color="000000" w:sz="8" w:space="0"/>
              <w:right w:val="single" w:color="000000" w:sz="4" w:space="0"/>
            </w:tcBorders>
            <w:vAlign w:val="center"/>
          </w:tcPr>
          <w:p w14:paraId="4F2E6A53">
            <w:pPr>
              <w:jc w:val="center"/>
              <w:rPr>
                <w:rFonts w:ascii="Times New Roman" w:hAnsi="Times New Roman" w:eastAsia="宋体" w:cs="Times New Roman"/>
              </w:rPr>
            </w:pPr>
            <w:r>
              <w:rPr>
                <w:rFonts w:hint="eastAsia" w:ascii="Times New Roman" w:hAnsi="Times New Roman" w:eastAsia="宋体" w:cs="Times New Roman"/>
              </w:rPr>
              <w:t>灯具种类</w:t>
            </w:r>
          </w:p>
        </w:tc>
        <w:tc>
          <w:tcPr>
            <w:tcW w:w="635" w:type="pct"/>
            <w:tcBorders>
              <w:top w:val="nil"/>
              <w:left w:val="single" w:color="000000" w:sz="4" w:space="0"/>
              <w:bottom w:val="single" w:color="000000" w:sz="8" w:space="0"/>
              <w:right w:val="single" w:color="000000" w:sz="4" w:space="0"/>
            </w:tcBorders>
            <w:vAlign w:val="center"/>
          </w:tcPr>
          <w:p w14:paraId="57E50371">
            <w:pPr>
              <w:jc w:val="center"/>
              <w:rPr>
                <w:rFonts w:hint="eastAsia" w:ascii="Times New Roman" w:hAnsi="Times New Roman" w:eastAsia="宋体" w:cs="Times New Roman"/>
              </w:rPr>
            </w:pPr>
            <w:r>
              <w:rPr>
                <w:rFonts w:hint="eastAsia" w:ascii="Times New Roman" w:hAnsi="Times New Roman" w:eastAsia="宋体" w:cs="Times New Roman"/>
              </w:rPr>
              <w:t>功率</w:t>
            </w:r>
          </w:p>
          <w:p w14:paraId="27C9D156">
            <w:pPr>
              <w:jc w:val="center"/>
              <w:rPr>
                <w:rFonts w:ascii="Times New Roman" w:hAnsi="Times New Roman" w:eastAsia="宋体" w:cs="Times New Roman"/>
              </w:rPr>
            </w:pPr>
            <w:r>
              <w:rPr>
                <w:rFonts w:hint="eastAsia" w:ascii="Times New Roman" w:hAnsi="Times New Roman" w:eastAsia="宋体" w:cs="Times New Roman"/>
              </w:rPr>
              <w:t>(瓦)</w:t>
            </w:r>
          </w:p>
        </w:tc>
        <w:tc>
          <w:tcPr>
            <w:tcW w:w="585" w:type="pct"/>
            <w:tcBorders>
              <w:top w:val="nil"/>
              <w:left w:val="single" w:color="000000" w:sz="4" w:space="0"/>
              <w:bottom w:val="single" w:color="000000" w:sz="8" w:space="0"/>
              <w:right w:val="single" w:color="000000" w:sz="4" w:space="0"/>
            </w:tcBorders>
            <w:vAlign w:val="center"/>
          </w:tcPr>
          <w:p w14:paraId="12AA4E90">
            <w:pPr>
              <w:jc w:val="center"/>
              <w:rPr>
                <w:rFonts w:hint="eastAsia" w:ascii="Times New Roman" w:hAnsi="Times New Roman" w:eastAsia="宋体" w:cs="Times New Roman"/>
              </w:rPr>
            </w:pPr>
            <w:r>
              <w:rPr>
                <w:rFonts w:hint="eastAsia" w:ascii="Times New Roman" w:hAnsi="Times New Roman" w:eastAsia="宋体" w:cs="Times New Roman"/>
              </w:rPr>
              <w:t>数量</w:t>
            </w:r>
          </w:p>
          <w:p w14:paraId="4E3431F9">
            <w:pPr>
              <w:jc w:val="center"/>
              <w:rPr>
                <w:rFonts w:ascii="Times New Roman" w:hAnsi="Times New Roman" w:eastAsia="宋体" w:cs="Times New Roman"/>
              </w:rPr>
            </w:pPr>
            <w:r>
              <w:rPr>
                <w:rFonts w:hint="eastAsia" w:ascii="Times New Roman" w:hAnsi="Times New Roman" w:eastAsia="宋体" w:cs="Times New Roman"/>
              </w:rPr>
              <w:t>（盏）</w:t>
            </w:r>
          </w:p>
        </w:tc>
        <w:tc>
          <w:tcPr>
            <w:tcW w:w="1446" w:type="pct"/>
            <w:tcBorders>
              <w:top w:val="nil"/>
              <w:left w:val="single" w:color="000000" w:sz="4" w:space="0"/>
              <w:bottom w:val="single" w:color="000000" w:sz="8" w:space="0"/>
              <w:right w:val="single" w:color="000000" w:sz="8" w:space="0"/>
            </w:tcBorders>
            <w:vAlign w:val="center"/>
          </w:tcPr>
          <w:p w14:paraId="4196CA50">
            <w:pPr>
              <w:jc w:val="center"/>
              <w:rPr>
                <w:rFonts w:ascii="Times New Roman" w:hAnsi="Times New Roman" w:eastAsia="宋体" w:cs="Times New Roman"/>
              </w:rPr>
            </w:pPr>
            <w:r>
              <w:rPr>
                <w:rFonts w:hint="eastAsia" w:ascii="Times New Roman" w:hAnsi="Times New Roman" w:eastAsia="宋体" w:cs="Times New Roman"/>
              </w:rPr>
              <w:t>备注</w:t>
            </w:r>
          </w:p>
        </w:tc>
      </w:tr>
      <w:tr w14:paraId="1B6A141E">
        <w:tblPrEx>
          <w:tblCellMar>
            <w:top w:w="0" w:type="dxa"/>
            <w:left w:w="108" w:type="dxa"/>
            <w:bottom w:w="0" w:type="dxa"/>
            <w:right w:w="108" w:type="dxa"/>
          </w:tblCellMar>
        </w:tblPrEx>
        <w:trPr>
          <w:trHeight w:val="850" w:hRule="atLeast"/>
        </w:trPr>
        <w:tc>
          <w:tcPr>
            <w:tcW w:w="457" w:type="pct"/>
            <w:tcBorders>
              <w:top w:val="nil"/>
              <w:left w:val="single" w:color="000000" w:sz="8" w:space="0"/>
              <w:bottom w:val="single" w:color="000000" w:sz="4" w:space="0"/>
              <w:right w:val="single" w:color="000000" w:sz="4" w:space="0"/>
            </w:tcBorders>
            <w:vAlign w:val="center"/>
          </w:tcPr>
          <w:p w14:paraId="71277B30">
            <w:pPr>
              <w:jc w:val="center"/>
              <w:rPr>
                <w:rFonts w:ascii="Times New Roman" w:hAnsi="Times New Roman" w:eastAsia="宋体" w:cs="Times New Roman"/>
              </w:rPr>
            </w:pPr>
            <w:r>
              <w:rPr>
                <w:rFonts w:hint="eastAsia" w:ascii="Times New Roman" w:hAnsi="Times New Roman" w:eastAsia="宋体" w:cs="Times New Roman"/>
              </w:rPr>
              <w:t>1</w:t>
            </w:r>
          </w:p>
        </w:tc>
        <w:tc>
          <w:tcPr>
            <w:tcW w:w="1189" w:type="pct"/>
            <w:tcBorders>
              <w:top w:val="nil"/>
              <w:left w:val="single" w:color="000000" w:sz="4" w:space="0"/>
              <w:bottom w:val="single" w:color="000000" w:sz="4" w:space="0"/>
              <w:right w:val="single" w:color="000000" w:sz="4" w:space="0"/>
            </w:tcBorders>
            <w:vAlign w:val="center"/>
          </w:tcPr>
          <w:p w14:paraId="02088BE7">
            <w:pPr>
              <w:spacing w:line="240" w:lineRule="auto"/>
              <w:jc w:val="center"/>
              <w:rPr>
                <w:rFonts w:ascii="Times New Roman" w:hAnsi="Times New Roman" w:eastAsia="宋体" w:cs="Times New Roman"/>
              </w:rPr>
            </w:pPr>
            <w:r>
              <w:rPr>
                <w:rFonts w:hint="eastAsia" w:ascii="Times New Roman" w:hAnsi="Times New Roman" w:eastAsia="宋体" w:cs="Times New Roman"/>
              </w:rPr>
              <w:t>定马线</w:t>
            </w:r>
          </w:p>
        </w:tc>
        <w:tc>
          <w:tcPr>
            <w:tcW w:w="685" w:type="pct"/>
            <w:tcBorders>
              <w:top w:val="nil"/>
              <w:left w:val="single" w:color="000000" w:sz="4" w:space="0"/>
              <w:bottom w:val="single" w:color="000000" w:sz="4" w:space="0"/>
              <w:right w:val="single" w:color="000000" w:sz="4" w:space="0"/>
            </w:tcBorders>
            <w:vAlign w:val="center"/>
          </w:tcPr>
          <w:p w14:paraId="0B6761DF">
            <w:pPr>
              <w:spacing w:line="240" w:lineRule="auto"/>
              <w:jc w:val="center"/>
              <w:rPr>
                <w:rFonts w:ascii="Times New Roman" w:hAnsi="Times New Roman" w:eastAsia="宋体" w:cs="Times New Roman"/>
              </w:rPr>
            </w:pPr>
            <w:r>
              <w:rPr>
                <w:rFonts w:hint="eastAsia" w:ascii="Times New Roman" w:hAnsi="Times New Roman" w:eastAsia="宋体" w:cs="Times New Roman"/>
              </w:rPr>
              <w:t>LED路灯</w:t>
            </w:r>
          </w:p>
        </w:tc>
        <w:tc>
          <w:tcPr>
            <w:tcW w:w="635" w:type="pct"/>
            <w:tcBorders>
              <w:top w:val="nil"/>
              <w:left w:val="single" w:color="000000" w:sz="4" w:space="0"/>
              <w:bottom w:val="single" w:color="000000" w:sz="4" w:space="0"/>
              <w:right w:val="single" w:color="000000" w:sz="4" w:space="0"/>
            </w:tcBorders>
            <w:vAlign w:val="center"/>
          </w:tcPr>
          <w:p w14:paraId="7BD51F8F">
            <w:pPr>
              <w:spacing w:line="240" w:lineRule="auto"/>
              <w:jc w:val="center"/>
              <w:rPr>
                <w:rFonts w:ascii="Times New Roman" w:hAnsi="Times New Roman" w:eastAsia="宋体" w:cs="Times New Roman"/>
              </w:rPr>
            </w:pPr>
            <w:r>
              <w:rPr>
                <w:rFonts w:hint="eastAsia" w:ascii="Times New Roman" w:hAnsi="Times New Roman" w:eastAsia="宋体" w:cs="Times New Roman"/>
              </w:rPr>
              <w:t>100/150</w:t>
            </w:r>
          </w:p>
        </w:tc>
        <w:tc>
          <w:tcPr>
            <w:tcW w:w="585" w:type="pct"/>
            <w:tcBorders>
              <w:top w:val="nil"/>
              <w:left w:val="single" w:color="000000" w:sz="4" w:space="0"/>
              <w:bottom w:val="single" w:color="000000" w:sz="4" w:space="0"/>
              <w:right w:val="single" w:color="000000" w:sz="4" w:space="0"/>
            </w:tcBorders>
            <w:noWrap/>
            <w:vAlign w:val="center"/>
          </w:tcPr>
          <w:p w14:paraId="2D659943">
            <w:pPr>
              <w:spacing w:line="240" w:lineRule="auto"/>
              <w:jc w:val="center"/>
              <w:rPr>
                <w:rFonts w:ascii="Times New Roman" w:hAnsi="Times New Roman" w:eastAsia="宋体" w:cs="Times New Roman"/>
              </w:rPr>
            </w:pPr>
            <w:r>
              <w:rPr>
                <w:rFonts w:hint="eastAsia" w:ascii="Times New Roman" w:hAnsi="Times New Roman" w:eastAsia="宋体" w:cs="Times New Roman"/>
              </w:rPr>
              <w:t>336</w:t>
            </w:r>
          </w:p>
        </w:tc>
        <w:tc>
          <w:tcPr>
            <w:tcW w:w="1446" w:type="pct"/>
            <w:tcBorders>
              <w:top w:val="nil"/>
              <w:left w:val="single" w:color="000000" w:sz="4" w:space="0"/>
              <w:bottom w:val="single" w:color="000000" w:sz="4" w:space="0"/>
              <w:right w:val="single" w:color="000000" w:sz="8" w:space="0"/>
            </w:tcBorders>
            <w:noWrap/>
            <w:vAlign w:val="center"/>
          </w:tcPr>
          <w:p w14:paraId="1E344986">
            <w:pPr>
              <w:spacing w:line="240" w:lineRule="auto"/>
              <w:rPr>
                <w:rFonts w:ascii="Times New Roman" w:hAnsi="Times New Roman" w:eastAsia="宋体" w:cs="Times New Roman"/>
              </w:rPr>
            </w:pPr>
          </w:p>
        </w:tc>
      </w:tr>
      <w:tr w14:paraId="0577AEE0">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19D337BA">
            <w:pPr>
              <w:jc w:val="center"/>
              <w:rPr>
                <w:rFonts w:ascii="Times New Roman" w:hAnsi="Times New Roman" w:eastAsia="宋体" w:cs="Times New Roman"/>
              </w:rPr>
            </w:pPr>
            <w:r>
              <w:rPr>
                <w:rFonts w:hint="eastAsia" w:ascii="Times New Roman" w:hAnsi="Times New Roman" w:eastAsia="宋体" w:cs="Times New Roman"/>
              </w:rPr>
              <w:t>2</w:t>
            </w:r>
          </w:p>
        </w:tc>
        <w:tc>
          <w:tcPr>
            <w:tcW w:w="1189" w:type="pct"/>
            <w:tcBorders>
              <w:top w:val="single" w:color="000000" w:sz="4" w:space="0"/>
              <w:left w:val="single" w:color="000000" w:sz="4" w:space="0"/>
              <w:bottom w:val="single" w:color="000000" w:sz="4" w:space="0"/>
              <w:right w:val="single" w:color="000000" w:sz="4" w:space="0"/>
            </w:tcBorders>
            <w:vAlign w:val="center"/>
          </w:tcPr>
          <w:p w14:paraId="7E3503C3">
            <w:pPr>
              <w:spacing w:line="240" w:lineRule="auto"/>
              <w:jc w:val="center"/>
              <w:rPr>
                <w:rFonts w:ascii="Times New Roman" w:hAnsi="Times New Roman" w:eastAsia="宋体" w:cs="Times New Roman"/>
              </w:rPr>
            </w:pPr>
            <w:r>
              <w:rPr>
                <w:rFonts w:hint="eastAsia" w:ascii="Times New Roman" w:hAnsi="Times New Roman" w:eastAsia="宋体" w:cs="Times New Roman"/>
              </w:rPr>
              <w:t>定马线</w:t>
            </w:r>
          </w:p>
        </w:tc>
        <w:tc>
          <w:tcPr>
            <w:tcW w:w="685" w:type="pct"/>
            <w:tcBorders>
              <w:top w:val="single" w:color="000000" w:sz="4" w:space="0"/>
              <w:left w:val="single" w:color="000000" w:sz="4" w:space="0"/>
              <w:bottom w:val="single" w:color="000000" w:sz="4" w:space="0"/>
              <w:right w:val="single" w:color="000000" w:sz="4" w:space="0"/>
            </w:tcBorders>
            <w:vAlign w:val="center"/>
          </w:tcPr>
          <w:p w14:paraId="3FAF9580">
            <w:pPr>
              <w:spacing w:line="240" w:lineRule="auto"/>
              <w:jc w:val="center"/>
              <w:rPr>
                <w:rFonts w:ascii="Times New Roman" w:hAnsi="Times New Roman" w:eastAsia="宋体" w:cs="Times New Roman"/>
              </w:rPr>
            </w:pPr>
            <w:r>
              <w:rPr>
                <w:rFonts w:hint="eastAsia" w:ascii="Times New Roman" w:hAnsi="Times New Roman" w:eastAsia="宋体" w:cs="Times New Roman"/>
              </w:rPr>
              <w:t>LED高杆灯</w:t>
            </w:r>
          </w:p>
        </w:tc>
        <w:tc>
          <w:tcPr>
            <w:tcW w:w="635" w:type="pct"/>
            <w:tcBorders>
              <w:top w:val="single" w:color="000000" w:sz="4" w:space="0"/>
              <w:left w:val="single" w:color="000000" w:sz="4" w:space="0"/>
              <w:bottom w:val="single" w:color="000000" w:sz="4" w:space="0"/>
              <w:right w:val="single" w:color="000000" w:sz="4" w:space="0"/>
            </w:tcBorders>
            <w:vAlign w:val="center"/>
          </w:tcPr>
          <w:p w14:paraId="3F0E86CA">
            <w:pPr>
              <w:spacing w:line="240" w:lineRule="auto"/>
              <w:jc w:val="center"/>
              <w:rPr>
                <w:rFonts w:ascii="Times New Roman" w:hAnsi="Times New Roman" w:eastAsia="宋体" w:cs="Times New Roman"/>
              </w:rPr>
            </w:pPr>
            <w:r>
              <w:rPr>
                <w:rFonts w:hint="eastAsia" w:ascii="Times New Roman" w:hAnsi="Times New Roman" w:eastAsia="宋体" w:cs="Times New Roman"/>
              </w:rPr>
              <w:t>200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73C7B420">
            <w:pPr>
              <w:spacing w:line="240" w:lineRule="auto"/>
              <w:jc w:val="center"/>
              <w:rPr>
                <w:rFonts w:ascii="Times New Roman" w:hAnsi="Times New Roman" w:eastAsia="宋体" w:cs="Times New Roman"/>
              </w:rPr>
            </w:pPr>
            <w:r>
              <w:rPr>
                <w:rFonts w:hint="eastAsia" w:ascii="Times New Roman" w:hAnsi="Times New Roman" w:eastAsia="宋体" w:cs="Times New Roman"/>
              </w:rPr>
              <w:t>12</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0567F807">
            <w:pPr>
              <w:spacing w:line="240" w:lineRule="auto"/>
              <w:rPr>
                <w:rFonts w:ascii="Times New Roman" w:hAnsi="Times New Roman" w:eastAsia="宋体" w:cs="Times New Roman"/>
              </w:rPr>
            </w:pPr>
            <w:r>
              <w:rPr>
                <w:rFonts w:hint="eastAsia" w:ascii="Times New Roman" w:hAnsi="Times New Roman" w:eastAsia="宋体" w:cs="Times New Roman"/>
              </w:rPr>
              <w:t>3杆高杆灯</w:t>
            </w:r>
          </w:p>
        </w:tc>
      </w:tr>
      <w:tr w14:paraId="31D87155">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6ABF75AC">
            <w:pPr>
              <w:jc w:val="center"/>
              <w:rPr>
                <w:rFonts w:ascii="Times New Roman" w:hAnsi="Times New Roman" w:eastAsia="宋体" w:cs="Times New Roman"/>
              </w:rPr>
            </w:pPr>
            <w:r>
              <w:rPr>
                <w:rFonts w:hint="eastAsia" w:ascii="Times New Roman" w:hAnsi="Times New Roman" w:eastAsia="宋体" w:cs="Times New Roman"/>
              </w:rPr>
              <w:t>3</w:t>
            </w:r>
          </w:p>
        </w:tc>
        <w:tc>
          <w:tcPr>
            <w:tcW w:w="1189" w:type="pct"/>
            <w:tcBorders>
              <w:top w:val="single" w:color="000000" w:sz="4" w:space="0"/>
              <w:left w:val="single" w:color="000000" w:sz="4" w:space="0"/>
              <w:bottom w:val="single" w:color="000000" w:sz="4" w:space="0"/>
              <w:right w:val="single" w:color="000000" w:sz="4" w:space="0"/>
            </w:tcBorders>
            <w:vAlign w:val="center"/>
          </w:tcPr>
          <w:p w14:paraId="5D9AC45A">
            <w:pPr>
              <w:spacing w:line="240" w:lineRule="auto"/>
              <w:jc w:val="center"/>
              <w:rPr>
                <w:rFonts w:ascii="Times New Roman" w:hAnsi="Times New Roman" w:eastAsia="宋体" w:cs="Times New Roman"/>
              </w:rPr>
            </w:pPr>
            <w:r>
              <w:rPr>
                <w:rFonts w:hint="eastAsia" w:ascii="Times New Roman" w:hAnsi="Times New Roman" w:eastAsia="宋体" w:cs="Times New Roman"/>
              </w:rPr>
              <w:t>（定海段）鸭东线G329</w:t>
            </w:r>
          </w:p>
        </w:tc>
        <w:tc>
          <w:tcPr>
            <w:tcW w:w="685" w:type="pct"/>
            <w:tcBorders>
              <w:top w:val="single" w:color="000000" w:sz="4" w:space="0"/>
              <w:left w:val="single" w:color="000000" w:sz="4" w:space="0"/>
              <w:bottom w:val="single" w:color="000000" w:sz="4" w:space="0"/>
              <w:right w:val="single" w:color="000000" w:sz="4" w:space="0"/>
            </w:tcBorders>
            <w:vAlign w:val="center"/>
          </w:tcPr>
          <w:p w14:paraId="4C7C8E80">
            <w:pPr>
              <w:spacing w:line="240" w:lineRule="auto"/>
              <w:jc w:val="center"/>
              <w:rPr>
                <w:rFonts w:ascii="Times New Roman" w:hAnsi="Times New Roman" w:eastAsia="宋体" w:cs="Times New Roman"/>
              </w:rPr>
            </w:pPr>
            <w:r>
              <w:rPr>
                <w:rFonts w:hint="eastAsia" w:ascii="Times New Roman" w:hAnsi="Times New Roman" w:eastAsia="宋体" w:cs="Times New Roman"/>
              </w:rPr>
              <w:t>LED路灯</w:t>
            </w:r>
          </w:p>
        </w:tc>
        <w:tc>
          <w:tcPr>
            <w:tcW w:w="635" w:type="pct"/>
            <w:tcBorders>
              <w:top w:val="single" w:color="000000" w:sz="4" w:space="0"/>
              <w:left w:val="single" w:color="000000" w:sz="4" w:space="0"/>
              <w:bottom w:val="single" w:color="000000" w:sz="4" w:space="0"/>
              <w:right w:val="single" w:color="000000" w:sz="4" w:space="0"/>
            </w:tcBorders>
            <w:vAlign w:val="center"/>
          </w:tcPr>
          <w:p w14:paraId="7A603CBE">
            <w:pPr>
              <w:spacing w:line="240" w:lineRule="auto"/>
              <w:jc w:val="center"/>
              <w:rPr>
                <w:rFonts w:ascii="Times New Roman" w:hAnsi="Times New Roman" w:eastAsia="宋体" w:cs="Times New Roman"/>
              </w:rPr>
            </w:pPr>
            <w:r>
              <w:rPr>
                <w:rFonts w:hint="eastAsia" w:ascii="Times New Roman" w:hAnsi="Times New Roman" w:eastAsia="宋体" w:cs="Times New Roman"/>
              </w:rPr>
              <w:t>100/150</w:t>
            </w:r>
          </w:p>
        </w:tc>
        <w:tc>
          <w:tcPr>
            <w:tcW w:w="585" w:type="pct"/>
            <w:tcBorders>
              <w:top w:val="single" w:color="000000" w:sz="4" w:space="0"/>
              <w:left w:val="single" w:color="000000" w:sz="4" w:space="0"/>
              <w:bottom w:val="single" w:color="000000" w:sz="4" w:space="0"/>
              <w:right w:val="single" w:color="000000" w:sz="4" w:space="0"/>
            </w:tcBorders>
            <w:vAlign w:val="center"/>
          </w:tcPr>
          <w:p w14:paraId="5EE7635A">
            <w:pPr>
              <w:spacing w:line="240" w:lineRule="auto"/>
              <w:jc w:val="center"/>
              <w:rPr>
                <w:rFonts w:ascii="Times New Roman" w:hAnsi="Times New Roman" w:eastAsia="宋体" w:cs="Times New Roman"/>
              </w:rPr>
            </w:pPr>
            <w:r>
              <w:rPr>
                <w:rFonts w:hint="eastAsia" w:ascii="Times New Roman" w:hAnsi="Times New Roman" w:eastAsia="宋体" w:cs="Times New Roman"/>
              </w:rPr>
              <w:t>516</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171463C7">
            <w:pPr>
              <w:spacing w:line="240" w:lineRule="auto"/>
              <w:rPr>
                <w:rFonts w:ascii="Times New Roman" w:hAnsi="Times New Roman" w:eastAsia="宋体" w:cs="Times New Roman"/>
              </w:rPr>
            </w:pPr>
            <w:r>
              <w:rPr>
                <w:rFonts w:hint="eastAsia" w:ascii="Times New Roman" w:hAnsi="Times New Roman" w:eastAsia="宋体" w:cs="Times New Roman"/>
              </w:rPr>
              <w:t>244杆双叉，28杆单叉</w:t>
            </w:r>
          </w:p>
        </w:tc>
      </w:tr>
      <w:tr w14:paraId="2D05929E">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0C46355F">
            <w:pPr>
              <w:jc w:val="center"/>
              <w:rPr>
                <w:rFonts w:ascii="Times New Roman" w:hAnsi="Times New Roman" w:eastAsia="宋体" w:cs="Times New Roman"/>
              </w:rPr>
            </w:pPr>
            <w:r>
              <w:rPr>
                <w:rFonts w:hint="eastAsia" w:ascii="Times New Roman" w:hAnsi="Times New Roman" w:eastAsia="宋体" w:cs="Times New Roman"/>
              </w:rPr>
              <w:t>4</w:t>
            </w:r>
          </w:p>
        </w:tc>
        <w:tc>
          <w:tcPr>
            <w:tcW w:w="1189" w:type="pct"/>
            <w:tcBorders>
              <w:top w:val="single" w:color="000000" w:sz="4" w:space="0"/>
              <w:left w:val="single" w:color="000000" w:sz="4" w:space="0"/>
              <w:bottom w:val="single" w:color="000000" w:sz="4" w:space="0"/>
              <w:right w:val="single" w:color="000000" w:sz="4" w:space="0"/>
            </w:tcBorders>
            <w:vAlign w:val="center"/>
          </w:tcPr>
          <w:p w14:paraId="513B580F">
            <w:pPr>
              <w:spacing w:line="240" w:lineRule="auto"/>
              <w:jc w:val="center"/>
              <w:rPr>
                <w:rFonts w:ascii="Times New Roman" w:hAnsi="Times New Roman" w:eastAsia="宋体" w:cs="Times New Roman"/>
              </w:rPr>
            </w:pPr>
            <w:r>
              <w:rPr>
                <w:rFonts w:hint="eastAsia" w:ascii="Times New Roman" w:hAnsi="Times New Roman" w:eastAsia="宋体" w:cs="Times New Roman"/>
              </w:rPr>
              <w:t>（定海段）鸭东线G329</w:t>
            </w:r>
          </w:p>
        </w:tc>
        <w:tc>
          <w:tcPr>
            <w:tcW w:w="685" w:type="pct"/>
            <w:tcBorders>
              <w:top w:val="single" w:color="000000" w:sz="4" w:space="0"/>
              <w:left w:val="single" w:color="000000" w:sz="4" w:space="0"/>
              <w:bottom w:val="single" w:color="000000" w:sz="4" w:space="0"/>
              <w:right w:val="single" w:color="000000" w:sz="4" w:space="0"/>
            </w:tcBorders>
            <w:vAlign w:val="center"/>
          </w:tcPr>
          <w:p w14:paraId="473BC912">
            <w:pPr>
              <w:spacing w:line="240" w:lineRule="auto"/>
              <w:jc w:val="center"/>
              <w:rPr>
                <w:rFonts w:ascii="Times New Roman" w:hAnsi="Times New Roman" w:eastAsia="宋体" w:cs="Times New Roman"/>
              </w:rPr>
            </w:pPr>
            <w:r>
              <w:rPr>
                <w:rFonts w:hint="eastAsia" w:ascii="Times New Roman" w:hAnsi="Times New Roman" w:eastAsia="宋体" w:cs="Times New Roman"/>
              </w:rPr>
              <w:t>LED高杆灯</w:t>
            </w:r>
          </w:p>
        </w:tc>
        <w:tc>
          <w:tcPr>
            <w:tcW w:w="635" w:type="pct"/>
            <w:tcBorders>
              <w:top w:val="single" w:color="000000" w:sz="4" w:space="0"/>
              <w:left w:val="single" w:color="000000" w:sz="4" w:space="0"/>
              <w:bottom w:val="single" w:color="000000" w:sz="4" w:space="0"/>
              <w:right w:val="single" w:color="000000" w:sz="4" w:space="0"/>
            </w:tcBorders>
            <w:vAlign w:val="center"/>
          </w:tcPr>
          <w:p w14:paraId="1A2F52A0">
            <w:pPr>
              <w:spacing w:line="240" w:lineRule="auto"/>
              <w:jc w:val="center"/>
              <w:rPr>
                <w:rFonts w:ascii="Times New Roman" w:hAnsi="Times New Roman" w:eastAsia="宋体" w:cs="Times New Roman"/>
              </w:rPr>
            </w:pPr>
            <w:r>
              <w:rPr>
                <w:rFonts w:hint="eastAsia" w:ascii="Times New Roman" w:hAnsi="Times New Roman" w:eastAsia="宋体" w:cs="Times New Roman"/>
              </w:rPr>
              <w:t>200</w:t>
            </w:r>
          </w:p>
        </w:tc>
        <w:tc>
          <w:tcPr>
            <w:tcW w:w="585" w:type="pct"/>
            <w:tcBorders>
              <w:top w:val="single" w:color="000000" w:sz="4" w:space="0"/>
              <w:left w:val="single" w:color="000000" w:sz="4" w:space="0"/>
              <w:bottom w:val="single" w:color="000000" w:sz="4" w:space="0"/>
              <w:right w:val="single" w:color="000000" w:sz="4" w:space="0"/>
            </w:tcBorders>
            <w:vAlign w:val="center"/>
          </w:tcPr>
          <w:p w14:paraId="75EB1081">
            <w:pPr>
              <w:spacing w:line="240" w:lineRule="auto"/>
              <w:jc w:val="center"/>
              <w:rPr>
                <w:rFonts w:ascii="Times New Roman" w:hAnsi="Times New Roman" w:eastAsia="宋体" w:cs="Times New Roman"/>
              </w:rPr>
            </w:pPr>
            <w:r>
              <w:rPr>
                <w:rFonts w:hint="eastAsia" w:ascii="Times New Roman" w:hAnsi="Times New Roman" w:eastAsia="宋体" w:cs="Times New Roman"/>
              </w:rPr>
              <w:t>30</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3E64173F">
            <w:pPr>
              <w:spacing w:line="240" w:lineRule="auto"/>
              <w:rPr>
                <w:rFonts w:ascii="Times New Roman" w:hAnsi="Times New Roman" w:eastAsia="宋体" w:cs="Times New Roman"/>
              </w:rPr>
            </w:pPr>
            <w:r>
              <w:rPr>
                <w:rFonts w:hint="eastAsia" w:ascii="Times New Roman" w:hAnsi="Times New Roman" w:eastAsia="宋体" w:cs="Times New Roman"/>
              </w:rPr>
              <w:t>6杆高杆灯</w:t>
            </w:r>
          </w:p>
        </w:tc>
      </w:tr>
      <w:tr w14:paraId="4E419CB2">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094C5C39">
            <w:pPr>
              <w:jc w:val="center"/>
              <w:rPr>
                <w:rFonts w:ascii="Times New Roman" w:hAnsi="Times New Roman" w:eastAsia="宋体" w:cs="Times New Roman"/>
              </w:rPr>
            </w:pPr>
            <w:r>
              <w:rPr>
                <w:rFonts w:hint="eastAsia" w:ascii="Times New Roman" w:hAnsi="Times New Roman" w:eastAsia="宋体" w:cs="Times New Roman"/>
              </w:rPr>
              <w:t>5</w:t>
            </w:r>
          </w:p>
        </w:tc>
        <w:tc>
          <w:tcPr>
            <w:tcW w:w="1189" w:type="pct"/>
            <w:tcBorders>
              <w:top w:val="single" w:color="000000" w:sz="4" w:space="0"/>
              <w:left w:val="single" w:color="000000" w:sz="4" w:space="0"/>
              <w:bottom w:val="single" w:color="000000" w:sz="4" w:space="0"/>
              <w:right w:val="single" w:color="000000" w:sz="4" w:space="0"/>
            </w:tcBorders>
            <w:vAlign w:val="center"/>
          </w:tcPr>
          <w:p w14:paraId="6C425B56">
            <w:pPr>
              <w:spacing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rPr>
              <w:t>弄万线S</w:t>
            </w:r>
            <w:r>
              <w:rPr>
                <w:rFonts w:hint="eastAsia" w:ascii="Times New Roman" w:hAnsi="Times New Roman" w:eastAsia="宋体" w:cs="Times New Roman"/>
                <w:lang w:val="en-US" w:eastAsia="zh-CN"/>
              </w:rPr>
              <w:t>308</w:t>
            </w:r>
          </w:p>
        </w:tc>
        <w:tc>
          <w:tcPr>
            <w:tcW w:w="685" w:type="pct"/>
            <w:tcBorders>
              <w:top w:val="single" w:color="000000" w:sz="4" w:space="0"/>
              <w:left w:val="single" w:color="000000" w:sz="4" w:space="0"/>
              <w:bottom w:val="single" w:color="000000" w:sz="4" w:space="0"/>
              <w:right w:val="single" w:color="000000" w:sz="4" w:space="0"/>
            </w:tcBorders>
            <w:vAlign w:val="center"/>
          </w:tcPr>
          <w:p w14:paraId="7F540446">
            <w:pPr>
              <w:spacing w:line="240" w:lineRule="auto"/>
              <w:jc w:val="center"/>
              <w:rPr>
                <w:rFonts w:ascii="Times New Roman" w:hAnsi="Times New Roman" w:eastAsia="宋体" w:cs="Times New Roman"/>
              </w:rPr>
            </w:pPr>
            <w:r>
              <w:rPr>
                <w:rFonts w:hint="eastAsia" w:ascii="Times New Roman" w:hAnsi="Times New Roman" w:eastAsia="宋体" w:cs="Times New Roman"/>
              </w:rPr>
              <w:t>LED路灯</w:t>
            </w:r>
          </w:p>
        </w:tc>
        <w:tc>
          <w:tcPr>
            <w:tcW w:w="635" w:type="pct"/>
            <w:tcBorders>
              <w:top w:val="single" w:color="000000" w:sz="4" w:space="0"/>
              <w:left w:val="single" w:color="000000" w:sz="4" w:space="0"/>
              <w:bottom w:val="single" w:color="000000" w:sz="4" w:space="0"/>
              <w:right w:val="single" w:color="000000" w:sz="4" w:space="0"/>
            </w:tcBorders>
            <w:vAlign w:val="center"/>
          </w:tcPr>
          <w:p w14:paraId="615E47C7">
            <w:pPr>
              <w:spacing w:line="240" w:lineRule="auto"/>
              <w:jc w:val="center"/>
              <w:rPr>
                <w:rFonts w:ascii="Times New Roman" w:hAnsi="Times New Roman" w:eastAsia="宋体" w:cs="Times New Roman"/>
              </w:rPr>
            </w:pPr>
            <w:r>
              <w:rPr>
                <w:rFonts w:hint="eastAsia" w:ascii="Times New Roman" w:hAnsi="Times New Roman" w:eastAsia="宋体" w:cs="Times New Roman"/>
              </w:rPr>
              <w:t>100/150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23E782D">
            <w:pPr>
              <w:spacing w:line="240" w:lineRule="auto"/>
              <w:jc w:val="center"/>
              <w:rPr>
                <w:rFonts w:ascii="Times New Roman" w:hAnsi="Times New Roman" w:eastAsia="宋体" w:cs="Times New Roman"/>
              </w:rPr>
            </w:pPr>
            <w:r>
              <w:rPr>
                <w:rFonts w:hint="eastAsia" w:ascii="Times New Roman" w:hAnsi="Times New Roman" w:eastAsia="宋体" w:cs="Times New Roman"/>
              </w:rPr>
              <w:t>148</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3F6E2829">
            <w:pPr>
              <w:spacing w:line="240" w:lineRule="auto"/>
              <w:rPr>
                <w:rFonts w:ascii="Times New Roman" w:hAnsi="Times New Roman" w:eastAsia="宋体" w:cs="Times New Roman"/>
              </w:rPr>
            </w:pPr>
          </w:p>
        </w:tc>
      </w:tr>
      <w:tr w14:paraId="39C07415">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5F93DDF4">
            <w:pPr>
              <w:jc w:val="center"/>
              <w:rPr>
                <w:rFonts w:ascii="Times New Roman" w:hAnsi="Times New Roman" w:eastAsia="宋体" w:cs="Times New Roman"/>
              </w:rPr>
            </w:pPr>
            <w:r>
              <w:rPr>
                <w:rFonts w:hint="eastAsia" w:ascii="Times New Roman" w:hAnsi="Times New Roman" w:eastAsia="宋体" w:cs="Times New Roman"/>
              </w:rPr>
              <w:t>6</w:t>
            </w:r>
          </w:p>
        </w:tc>
        <w:tc>
          <w:tcPr>
            <w:tcW w:w="1189" w:type="pct"/>
            <w:tcBorders>
              <w:top w:val="single" w:color="000000" w:sz="4" w:space="0"/>
              <w:left w:val="single" w:color="000000" w:sz="4" w:space="0"/>
              <w:bottom w:val="single" w:color="000000" w:sz="4" w:space="0"/>
              <w:right w:val="single" w:color="000000" w:sz="4" w:space="0"/>
            </w:tcBorders>
            <w:vAlign w:val="center"/>
          </w:tcPr>
          <w:p w14:paraId="27EDF882">
            <w:pPr>
              <w:spacing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rPr>
              <w:t>（定海段）鸭东线S</w:t>
            </w:r>
            <w:r>
              <w:rPr>
                <w:rFonts w:hint="eastAsia" w:ascii="Times New Roman" w:hAnsi="Times New Roman" w:eastAsia="宋体" w:cs="Times New Roman"/>
                <w:lang w:val="en-US" w:eastAsia="zh-CN"/>
              </w:rPr>
              <w:t>308</w:t>
            </w:r>
          </w:p>
        </w:tc>
        <w:tc>
          <w:tcPr>
            <w:tcW w:w="685" w:type="pct"/>
            <w:tcBorders>
              <w:top w:val="single" w:color="000000" w:sz="4" w:space="0"/>
              <w:left w:val="single" w:color="000000" w:sz="4" w:space="0"/>
              <w:bottom w:val="single" w:color="000000" w:sz="4" w:space="0"/>
              <w:right w:val="single" w:color="000000" w:sz="4" w:space="0"/>
            </w:tcBorders>
            <w:vAlign w:val="center"/>
          </w:tcPr>
          <w:p w14:paraId="44536C2D">
            <w:pPr>
              <w:spacing w:line="240" w:lineRule="auto"/>
              <w:jc w:val="center"/>
              <w:rPr>
                <w:rFonts w:ascii="Times New Roman" w:hAnsi="Times New Roman" w:eastAsia="宋体" w:cs="Times New Roman"/>
              </w:rPr>
            </w:pPr>
            <w:r>
              <w:rPr>
                <w:rFonts w:hint="eastAsia" w:ascii="Times New Roman" w:hAnsi="Times New Roman" w:eastAsia="宋体" w:cs="Times New Roman"/>
              </w:rPr>
              <w:t>钠</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1CFB071A">
            <w:pPr>
              <w:spacing w:line="240" w:lineRule="auto"/>
              <w:jc w:val="center"/>
              <w:rPr>
                <w:rFonts w:ascii="Times New Roman" w:hAnsi="Times New Roman" w:eastAsia="宋体" w:cs="Times New Roman"/>
              </w:rPr>
            </w:pPr>
            <w:r>
              <w:rPr>
                <w:rFonts w:hint="eastAsia" w:ascii="Times New Roman" w:hAnsi="Times New Roman" w:eastAsia="宋体" w:cs="Times New Roman"/>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32C843BC">
            <w:pPr>
              <w:spacing w:line="240" w:lineRule="auto"/>
              <w:jc w:val="center"/>
              <w:rPr>
                <w:rFonts w:ascii="Times New Roman" w:hAnsi="Times New Roman" w:eastAsia="宋体" w:cs="Times New Roman"/>
              </w:rPr>
            </w:pPr>
            <w:r>
              <w:rPr>
                <w:rFonts w:hint="eastAsia" w:ascii="Times New Roman" w:hAnsi="Times New Roman" w:eastAsia="宋体" w:cs="Times New Roman"/>
              </w:rPr>
              <w:t>1860</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43AC58ED">
            <w:pPr>
              <w:spacing w:line="240" w:lineRule="auto"/>
              <w:rPr>
                <w:rFonts w:ascii="Times New Roman" w:hAnsi="Times New Roman" w:eastAsia="宋体" w:cs="Times New Roman"/>
              </w:rPr>
            </w:pPr>
          </w:p>
        </w:tc>
      </w:tr>
      <w:tr w14:paraId="2E56D04C">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75B0FE07">
            <w:pPr>
              <w:jc w:val="center"/>
              <w:rPr>
                <w:rFonts w:ascii="Times New Roman" w:hAnsi="Times New Roman" w:eastAsia="宋体" w:cs="Times New Roman"/>
              </w:rPr>
            </w:pPr>
            <w:r>
              <w:rPr>
                <w:rFonts w:hint="eastAsia" w:ascii="Times New Roman" w:hAnsi="Times New Roman" w:eastAsia="宋体" w:cs="Times New Roman"/>
              </w:rPr>
              <w:t>7</w:t>
            </w:r>
          </w:p>
        </w:tc>
        <w:tc>
          <w:tcPr>
            <w:tcW w:w="1189" w:type="pct"/>
            <w:tcBorders>
              <w:top w:val="single" w:color="000000" w:sz="4" w:space="0"/>
              <w:left w:val="single" w:color="000000" w:sz="4" w:space="0"/>
              <w:bottom w:val="single" w:color="000000" w:sz="4" w:space="0"/>
              <w:right w:val="single" w:color="000000" w:sz="4" w:space="0"/>
            </w:tcBorders>
            <w:vAlign w:val="center"/>
          </w:tcPr>
          <w:p w14:paraId="39FF8FEC">
            <w:pPr>
              <w:spacing w:line="240" w:lineRule="auto"/>
              <w:jc w:val="center"/>
              <w:rPr>
                <w:rFonts w:ascii="Times New Roman" w:hAnsi="Times New Roman" w:eastAsia="宋体" w:cs="Times New Roman"/>
              </w:rPr>
            </w:pPr>
            <w:r>
              <w:rPr>
                <w:rFonts w:hint="eastAsia" w:ascii="Times New Roman" w:hAnsi="Times New Roman" w:eastAsia="宋体" w:cs="Times New Roman"/>
              </w:rPr>
              <w:t>（定海段）G526国道</w:t>
            </w:r>
          </w:p>
        </w:tc>
        <w:tc>
          <w:tcPr>
            <w:tcW w:w="685" w:type="pct"/>
            <w:tcBorders>
              <w:top w:val="single" w:color="000000" w:sz="4" w:space="0"/>
              <w:left w:val="single" w:color="000000" w:sz="4" w:space="0"/>
              <w:bottom w:val="single" w:color="000000" w:sz="4" w:space="0"/>
              <w:right w:val="single" w:color="000000" w:sz="4" w:space="0"/>
            </w:tcBorders>
            <w:vAlign w:val="center"/>
          </w:tcPr>
          <w:p w14:paraId="20042461">
            <w:pPr>
              <w:spacing w:line="240" w:lineRule="auto"/>
              <w:jc w:val="center"/>
              <w:rPr>
                <w:rFonts w:ascii="Times New Roman" w:hAnsi="Times New Roman" w:eastAsia="宋体" w:cs="Times New Roman"/>
              </w:rPr>
            </w:pPr>
            <w:r>
              <w:rPr>
                <w:rFonts w:hint="eastAsia" w:ascii="Times New Roman" w:hAnsi="Times New Roman" w:eastAsia="宋体" w:cs="Times New Roman"/>
              </w:rPr>
              <w:t>钠</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55E4CD58">
            <w:pPr>
              <w:spacing w:line="240" w:lineRule="auto"/>
              <w:jc w:val="center"/>
              <w:rPr>
                <w:rFonts w:ascii="Times New Roman" w:hAnsi="Times New Roman" w:eastAsia="宋体" w:cs="Times New Roman"/>
              </w:rPr>
            </w:pPr>
            <w:r>
              <w:rPr>
                <w:rFonts w:hint="eastAsia" w:ascii="Times New Roman" w:hAnsi="Times New Roman" w:eastAsia="宋体" w:cs="Times New Roman"/>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85955A2">
            <w:pPr>
              <w:spacing w:line="240" w:lineRule="auto"/>
              <w:jc w:val="center"/>
              <w:rPr>
                <w:rFonts w:ascii="Times New Roman" w:hAnsi="Times New Roman" w:eastAsia="宋体" w:cs="Times New Roman"/>
              </w:rPr>
            </w:pPr>
            <w:r>
              <w:rPr>
                <w:rFonts w:hint="eastAsia" w:ascii="Times New Roman" w:hAnsi="Times New Roman" w:eastAsia="宋体" w:cs="Times New Roman"/>
              </w:rPr>
              <w:t>369</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1119D081">
            <w:pPr>
              <w:spacing w:line="240" w:lineRule="auto"/>
              <w:rPr>
                <w:rFonts w:ascii="Times New Roman" w:hAnsi="Times New Roman" w:eastAsia="宋体" w:cs="Times New Roman"/>
              </w:rPr>
            </w:pPr>
          </w:p>
        </w:tc>
      </w:tr>
      <w:tr w14:paraId="2B450FAB">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36C60785">
            <w:pPr>
              <w:jc w:val="center"/>
              <w:rPr>
                <w:rFonts w:ascii="Times New Roman" w:hAnsi="Times New Roman" w:eastAsia="宋体" w:cs="Times New Roman"/>
              </w:rPr>
            </w:pPr>
            <w:r>
              <w:rPr>
                <w:rFonts w:hint="eastAsia" w:ascii="Times New Roman" w:hAnsi="Times New Roman" w:eastAsia="宋体" w:cs="Times New Roman"/>
              </w:rPr>
              <w:t>8</w:t>
            </w:r>
          </w:p>
        </w:tc>
        <w:tc>
          <w:tcPr>
            <w:tcW w:w="1189" w:type="pct"/>
            <w:tcBorders>
              <w:top w:val="single" w:color="000000" w:sz="4" w:space="0"/>
              <w:left w:val="single" w:color="000000" w:sz="4" w:space="0"/>
              <w:bottom w:val="single" w:color="000000" w:sz="4" w:space="0"/>
              <w:right w:val="single" w:color="000000" w:sz="4" w:space="0"/>
            </w:tcBorders>
            <w:vAlign w:val="center"/>
          </w:tcPr>
          <w:p w14:paraId="209FD781">
            <w:pPr>
              <w:spacing w:line="240" w:lineRule="auto"/>
              <w:jc w:val="center"/>
              <w:rPr>
                <w:rFonts w:ascii="Times New Roman" w:hAnsi="Times New Roman" w:eastAsia="宋体" w:cs="Times New Roman"/>
              </w:rPr>
            </w:pPr>
            <w:r>
              <w:rPr>
                <w:rFonts w:hint="eastAsia" w:ascii="Times New Roman" w:hAnsi="Times New Roman" w:eastAsia="宋体" w:cs="Times New Roman"/>
              </w:rPr>
              <w:t>临北线定海段</w:t>
            </w:r>
          </w:p>
        </w:tc>
        <w:tc>
          <w:tcPr>
            <w:tcW w:w="685" w:type="pct"/>
            <w:tcBorders>
              <w:top w:val="single" w:color="000000" w:sz="4" w:space="0"/>
              <w:left w:val="single" w:color="000000" w:sz="4" w:space="0"/>
              <w:bottom w:val="single" w:color="000000" w:sz="4" w:space="0"/>
              <w:right w:val="single" w:color="000000" w:sz="4" w:space="0"/>
            </w:tcBorders>
            <w:vAlign w:val="center"/>
          </w:tcPr>
          <w:p w14:paraId="5E1605E4">
            <w:pPr>
              <w:spacing w:line="240" w:lineRule="auto"/>
              <w:jc w:val="center"/>
              <w:rPr>
                <w:rFonts w:ascii="Times New Roman" w:hAnsi="Times New Roman" w:eastAsia="宋体" w:cs="Times New Roman"/>
              </w:rPr>
            </w:pPr>
            <w:r>
              <w:rPr>
                <w:rFonts w:hint="eastAsia" w:ascii="Times New Roman" w:hAnsi="Times New Roman" w:eastAsia="宋体" w:cs="Times New Roman"/>
              </w:rPr>
              <w:t>钠</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3F64B0E4">
            <w:pPr>
              <w:spacing w:line="240" w:lineRule="auto"/>
              <w:jc w:val="center"/>
              <w:rPr>
                <w:rFonts w:ascii="Times New Roman" w:hAnsi="Times New Roman" w:eastAsia="宋体" w:cs="Times New Roman"/>
              </w:rPr>
            </w:pPr>
            <w:r>
              <w:rPr>
                <w:rFonts w:hint="eastAsia" w:ascii="Times New Roman" w:hAnsi="Times New Roman" w:eastAsia="宋体" w:cs="Times New Roman"/>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2A844800">
            <w:pPr>
              <w:spacing w:line="240" w:lineRule="auto"/>
              <w:jc w:val="center"/>
              <w:rPr>
                <w:rFonts w:ascii="Times New Roman" w:hAnsi="Times New Roman" w:eastAsia="宋体" w:cs="Times New Roman"/>
              </w:rPr>
            </w:pPr>
            <w:r>
              <w:rPr>
                <w:rFonts w:hint="eastAsia" w:ascii="Times New Roman" w:hAnsi="Times New Roman" w:eastAsia="宋体" w:cs="Times New Roman"/>
              </w:rPr>
              <w:t>77</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24691106">
            <w:pPr>
              <w:spacing w:line="240" w:lineRule="auto"/>
              <w:rPr>
                <w:rFonts w:ascii="Times New Roman" w:hAnsi="Times New Roman" w:eastAsia="宋体" w:cs="Times New Roman"/>
              </w:rPr>
            </w:pPr>
          </w:p>
        </w:tc>
      </w:tr>
      <w:tr w14:paraId="7D5D9BDF">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3A633355">
            <w:pPr>
              <w:jc w:val="center"/>
              <w:rPr>
                <w:rFonts w:ascii="Times New Roman" w:hAnsi="Times New Roman" w:eastAsia="宋体" w:cs="Times New Roman"/>
              </w:rPr>
            </w:pPr>
            <w:r>
              <w:rPr>
                <w:rFonts w:hint="eastAsia" w:ascii="Times New Roman" w:hAnsi="Times New Roman" w:eastAsia="宋体" w:cs="Times New Roman"/>
              </w:rPr>
              <w:t>9</w:t>
            </w:r>
          </w:p>
        </w:tc>
        <w:tc>
          <w:tcPr>
            <w:tcW w:w="1189" w:type="pct"/>
            <w:tcBorders>
              <w:top w:val="single" w:color="000000" w:sz="4" w:space="0"/>
              <w:left w:val="single" w:color="000000" w:sz="4" w:space="0"/>
              <w:bottom w:val="single" w:color="000000" w:sz="4" w:space="0"/>
              <w:right w:val="single" w:color="000000" w:sz="4" w:space="0"/>
            </w:tcBorders>
            <w:vAlign w:val="center"/>
          </w:tcPr>
          <w:p w14:paraId="00FCACAD">
            <w:pPr>
              <w:spacing w:line="240" w:lineRule="auto"/>
              <w:jc w:val="center"/>
              <w:rPr>
                <w:rFonts w:ascii="Times New Roman" w:hAnsi="Times New Roman" w:eastAsia="宋体" w:cs="Times New Roman"/>
              </w:rPr>
            </w:pPr>
            <w:r>
              <w:rPr>
                <w:rFonts w:hint="eastAsia" w:ascii="Times New Roman" w:hAnsi="Times New Roman" w:eastAsia="宋体" w:cs="Times New Roman"/>
              </w:rPr>
              <w:t>（定海段）G329、G526、S308</w:t>
            </w:r>
          </w:p>
        </w:tc>
        <w:tc>
          <w:tcPr>
            <w:tcW w:w="685" w:type="pct"/>
            <w:tcBorders>
              <w:top w:val="single" w:color="000000" w:sz="4" w:space="0"/>
              <w:left w:val="single" w:color="000000" w:sz="4" w:space="0"/>
              <w:bottom w:val="single" w:color="000000" w:sz="4" w:space="0"/>
              <w:right w:val="single" w:color="000000" w:sz="4" w:space="0"/>
            </w:tcBorders>
            <w:vAlign w:val="center"/>
          </w:tcPr>
          <w:p w14:paraId="1DD9F7E2">
            <w:pPr>
              <w:spacing w:line="240" w:lineRule="auto"/>
              <w:jc w:val="center"/>
              <w:rPr>
                <w:rFonts w:ascii="Times New Roman" w:hAnsi="Times New Roman" w:eastAsia="宋体" w:cs="Times New Roman"/>
              </w:rPr>
            </w:pPr>
            <w:r>
              <w:rPr>
                <w:rFonts w:hint="eastAsia" w:ascii="Times New Roman" w:hAnsi="Times New Roman" w:eastAsia="宋体" w:cs="Times New Roman"/>
              </w:rPr>
              <w:t>钠</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2C11C004">
            <w:pPr>
              <w:spacing w:line="240" w:lineRule="auto"/>
              <w:jc w:val="center"/>
              <w:rPr>
                <w:rFonts w:ascii="Times New Roman" w:hAnsi="Times New Roman" w:eastAsia="宋体" w:cs="Times New Roman"/>
              </w:rPr>
            </w:pPr>
            <w:r>
              <w:rPr>
                <w:rFonts w:hint="eastAsia" w:ascii="Times New Roman" w:hAnsi="Times New Roman" w:eastAsia="宋体" w:cs="Times New Roman"/>
              </w:rPr>
              <w:t>400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48F5DFBF">
            <w:pPr>
              <w:spacing w:line="240" w:lineRule="auto"/>
              <w:jc w:val="center"/>
              <w:rPr>
                <w:rFonts w:ascii="Times New Roman" w:hAnsi="Times New Roman" w:eastAsia="宋体" w:cs="Times New Roman"/>
              </w:rPr>
            </w:pPr>
            <w:r>
              <w:rPr>
                <w:rFonts w:hint="eastAsia" w:ascii="Times New Roman" w:hAnsi="Times New Roman" w:eastAsia="宋体" w:cs="Times New Roman"/>
              </w:rPr>
              <w:t>54</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13C00920">
            <w:pPr>
              <w:spacing w:line="240" w:lineRule="auto"/>
              <w:rPr>
                <w:rFonts w:ascii="Times New Roman" w:hAnsi="Times New Roman" w:eastAsia="宋体" w:cs="Times New Roman"/>
              </w:rPr>
            </w:pPr>
          </w:p>
        </w:tc>
      </w:tr>
      <w:tr w14:paraId="401460A5">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8" w:space="0"/>
              <w:right w:val="single" w:color="000000" w:sz="4" w:space="0"/>
            </w:tcBorders>
            <w:vAlign w:val="center"/>
          </w:tcPr>
          <w:p w14:paraId="639D00F2">
            <w:pPr>
              <w:rPr>
                <w:rFonts w:ascii="Times New Roman" w:hAnsi="Times New Roman" w:eastAsia="宋体" w:cs="Times New Roman"/>
              </w:rPr>
            </w:pPr>
            <w:r>
              <w:rPr>
                <w:rFonts w:hint="eastAsia" w:ascii="Times New Roman" w:hAnsi="Times New Roman" w:eastAsia="宋体" w:cs="Times New Roman"/>
              </w:rPr>
              <w:t>合计</w:t>
            </w:r>
          </w:p>
        </w:tc>
        <w:tc>
          <w:tcPr>
            <w:tcW w:w="1189" w:type="pct"/>
            <w:tcBorders>
              <w:top w:val="single" w:color="000000" w:sz="4" w:space="0"/>
              <w:left w:val="single" w:color="000000" w:sz="4" w:space="0"/>
              <w:bottom w:val="single" w:color="000000" w:sz="8" w:space="0"/>
              <w:right w:val="single" w:color="000000" w:sz="4" w:space="0"/>
            </w:tcBorders>
            <w:vAlign w:val="center"/>
          </w:tcPr>
          <w:p w14:paraId="5DC538F4">
            <w:pPr>
              <w:rPr>
                <w:rFonts w:ascii="Times New Roman" w:hAnsi="Times New Roman" w:eastAsia="宋体" w:cs="Times New Roman"/>
              </w:rPr>
            </w:pPr>
          </w:p>
        </w:tc>
        <w:tc>
          <w:tcPr>
            <w:tcW w:w="685" w:type="pct"/>
            <w:tcBorders>
              <w:top w:val="single" w:color="000000" w:sz="4" w:space="0"/>
              <w:left w:val="single" w:color="000000" w:sz="4" w:space="0"/>
              <w:bottom w:val="single" w:color="000000" w:sz="8" w:space="0"/>
              <w:right w:val="single" w:color="000000" w:sz="4" w:space="0"/>
            </w:tcBorders>
            <w:vAlign w:val="center"/>
          </w:tcPr>
          <w:p w14:paraId="713C43B1">
            <w:pPr>
              <w:rPr>
                <w:rFonts w:ascii="Times New Roman" w:hAnsi="Times New Roman" w:eastAsia="宋体" w:cs="Times New Roman"/>
              </w:rPr>
            </w:pPr>
          </w:p>
        </w:tc>
        <w:tc>
          <w:tcPr>
            <w:tcW w:w="635" w:type="pct"/>
            <w:tcBorders>
              <w:top w:val="single" w:color="000000" w:sz="4" w:space="0"/>
              <w:left w:val="single" w:color="000000" w:sz="4" w:space="0"/>
              <w:bottom w:val="single" w:color="000000" w:sz="8" w:space="0"/>
              <w:right w:val="single" w:color="000000" w:sz="4" w:space="0"/>
            </w:tcBorders>
            <w:vAlign w:val="center"/>
          </w:tcPr>
          <w:p w14:paraId="457A2EE6">
            <w:pPr>
              <w:rPr>
                <w:rFonts w:ascii="Times New Roman" w:hAnsi="Times New Roman" w:eastAsia="宋体" w:cs="Times New Roman"/>
              </w:rPr>
            </w:pPr>
          </w:p>
        </w:tc>
        <w:tc>
          <w:tcPr>
            <w:tcW w:w="585" w:type="pct"/>
            <w:tcBorders>
              <w:top w:val="single" w:color="000000" w:sz="4" w:space="0"/>
              <w:left w:val="single" w:color="000000" w:sz="4" w:space="0"/>
              <w:bottom w:val="single" w:color="000000" w:sz="8" w:space="0"/>
              <w:right w:val="single" w:color="000000" w:sz="4" w:space="0"/>
            </w:tcBorders>
            <w:noWrap/>
            <w:vAlign w:val="center"/>
          </w:tcPr>
          <w:p w14:paraId="008036D7">
            <w:pPr>
              <w:rPr>
                <w:rFonts w:ascii="Times New Roman" w:hAnsi="Times New Roman" w:eastAsia="宋体" w:cs="Times New Roman"/>
              </w:rPr>
            </w:pPr>
            <w:r>
              <w:rPr>
                <w:rFonts w:hint="eastAsia" w:ascii="Times New Roman" w:hAnsi="Times New Roman" w:eastAsia="宋体" w:cs="Times New Roman"/>
              </w:rPr>
              <w:t>3402</w:t>
            </w:r>
          </w:p>
        </w:tc>
        <w:tc>
          <w:tcPr>
            <w:tcW w:w="1446" w:type="pct"/>
            <w:tcBorders>
              <w:top w:val="single" w:color="000000" w:sz="4" w:space="0"/>
              <w:left w:val="single" w:color="000000" w:sz="4" w:space="0"/>
              <w:bottom w:val="single" w:color="000000" w:sz="8" w:space="0"/>
              <w:right w:val="single" w:color="000000" w:sz="8" w:space="0"/>
            </w:tcBorders>
            <w:noWrap/>
            <w:vAlign w:val="center"/>
          </w:tcPr>
          <w:p w14:paraId="78416A55">
            <w:pPr>
              <w:rPr>
                <w:rFonts w:ascii="Times New Roman" w:hAnsi="Times New Roman" w:eastAsia="宋体" w:cs="Times New Roman"/>
              </w:rPr>
            </w:pPr>
          </w:p>
        </w:tc>
      </w:tr>
    </w:tbl>
    <w:p w14:paraId="59193F4B">
      <w:pPr>
        <w:rPr>
          <w:rFonts w:ascii="Times New Roman" w:hAnsi="Times New Roman" w:eastAsia="宋体" w:cs="Times New Roman"/>
        </w:rPr>
      </w:pPr>
    </w:p>
    <w:tbl>
      <w:tblPr>
        <w:tblStyle w:val="15"/>
        <w:tblW w:w="49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
        <w:gridCol w:w="636"/>
        <w:gridCol w:w="2599"/>
        <w:gridCol w:w="2456"/>
        <w:gridCol w:w="793"/>
        <w:gridCol w:w="1095"/>
        <w:gridCol w:w="1200"/>
      </w:tblGrid>
      <w:tr w14:paraId="61B1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594" w:hRule="atLeast"/>
        </w:trPr>
        <w:tc>
          <w:tcPr>
            <w:tcW w:w="493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BB0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隧道灯具设备清单</w:t>
            </w:r>
          </w:p>
        </w:tc>
      </w:tr>
      <w:tr w14:paraId="6319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02D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FF8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线路名称</w:t>
            </w:r>
          </w:p>
        </w:tc>
        <w:tc>
          <w:tcPr>
            <w:tcW w:w="31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8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隧道信息</w:t>
            </w:r>
          </w:p>
        </w:tc>
      </w:tr>
      <w:tr w14:paraId="0DC6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2E56">
            <w:pPr>
              <w:jc w:val="both"/>
              <w:rPr>
                <w:rFonts w:hint="eastAsia" w:ascii="宋体" w:hAnsi="宋体" w:eastAsia="宋体" w:cs="宋体"/>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591C">
            <w:pPr>
              <w:jc w:val="both"/>
              <w:rPr>
                <w:rFonts w:hint="eastAsia" w:ascii="宋体" w:hAnsi="宋体" w:eastAsia="宋体" w:cs="宋体"/>
                <w:i w:val="0"/>
                <w:iCs w:val="0"/>
                <w:color w:val="000000"/>
                <w:sz w:val="21"/>
                <w:szCs w:val="21"/>
                <w:u w:val="none"/>
              </w:rPr>
            </w:pP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F6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隧道名称</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BA3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方向</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F9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D8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灯具种类</w:t>
            </w:r>
          </w:p>
        </w:tc>
      </w:tr>
      <w:tr w14:paraId="4A55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8EB9">
            <w:pPr>
              <w:jc w:val="both"/>
              <w:rPr>
                <w:rFonts w:hint="eastAsia" w:ascii="宋体" w:hAnsi="宋体" w:eastAsia="宋体" w:cs="宋体"/>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870B">
            <w:pPr>
              <w:jc w:val="both"/>
              <w:rPr>
                <w:rFonts w:hint="eastAsia" w:ascii="宋体" w:hAnsi="宋体" w:eastAsia="宋体" w:cs="宋体"/>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4652">
            <w:pPr>
              <w:jc w:val="both"/>
              <w:rPr>
                <w:rFonts w:hint="eastAsia" w:ascii="宋体" w:hAnsi="宋体" w:eastAsia="宋体" w:cs="宋体"/>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81F3">
            <w:pPr>
              <w:jc w:val="both"/>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667AC">
            <w:pPr>
              <w:jc w:val="center"/>
              <w:rPr>
                <w:rFonts w:hint="eastAsia" w:ascii="宋体" w:hAnsi="宋体" w:eastAsia="宋体" w:cs="宋体"/>
                <w:i w:val="0"/>
                <w:iCs w:val="0"/>
                <w:color w:val="000000"/>
                <w:sz w:val="21"/>
                <w:szCs w:val="21"/>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ADB97">
            <w:pPr>
              <w:jc w:val="center"/>
              <w:rPr>
                <w:rFonts w:hint="eastAsia" w:ascii="宋体" w:hAnsi="宋体" w:eastAsia="宋体" w:cs="宋体"/>
                <w:i w:val="0"/>
                <w:iCs w:val="0"/>
                <w:color w:val="000000"/>
                <w:sz w:val="21"/>
                <w:szCs w:val="21"/>
                <w:u w:val="none"/>
              </w:rPr>
            </w:pPr>
          </w:p>
        </w:tc>
      </w:tr>
      <w:tr w14:paraId="1C05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9" w:type="pct"/>
          <w:trHeight w:val="387"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3E0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D32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color w:val="000000"/>
                <w:sz w:val="22"/>
                <w:szCs w:val="22"/>
                <w:u w:val="none"/>
                <w:lang w:val="en-US" w:eastAsia="zh-CN" w:bidi="ar"/>
              </w:rPr>
              <w:t>G329</w:t>
            </w:r>
            <w:r>
              <w:rPr>
                <w:rFonts w:hint="default" w:ascii="Tahoma" w:hAnsi="Tahoma" w:eastAsia="Tahoma" w:cs="Tahoma"/>
                <w:color w:val="000000"/>
                <w:sz w:val="22"/>
                <w:szCs w:val="22"/>
                <w:u w:val="none"/>
                <w:lang w:val="en-US" w:eastAsia="zh-CN" w:bidi="ar"/>
              </w:rPr>
              <w:t>（定海段）</w:t>
            </w: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98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老塘山隧道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C1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0A7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15F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0AD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96EE">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89BF">
            <w:pPr>
              <w:jc w:val="both"/>
              <w:rPr>
                <w:rFonts w:hint="default" w:ascii="Times New Roman" w:hAnsi="Times New Roman" w:eastAsia="宋体" w:cs="Times New Roman"/>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07CE">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4E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A60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430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285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69" w:type="pct"/>
          <w:trHeight w:val="387"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816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1A3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color w:val="000000"/>
                <w:sz w:val="22"/>
                <w:szCs w:val="22"/>
                <w:u w:val="none"/>
                <w:lang w:val="en-US" w:eastAsia="zh-CN" w:bidi="ar"/>
              </w:rPr>
              <w:t>G526</w:t>
            </w:r>
            <w:r>
              <w:rPr>
                <w:rFonts w:hint="default" w:ascii="Tahoma" w:hAnsi="Tahoma" w:eastAsia="Tahoma" w:cs="Tahoma"/>
                <w:color w:val="000000"/>
                <w:sz w:val="22"/>
                <w:szCs w:val="22"/>
                <w:u w:val="none"/>
                <w:lang w:val="en-US" w:eastAsia="zh-CN" w:bidi="ar"/>
              </w:rPr>
              <w:t>（定海段）</w:t>
            </w: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26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黄高岭隧道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91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B1E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2C1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5808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836A">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3663">
            <w:pPr>
              <w:jc w:val="both"/>
              <w:rPr>
                <w:rFonts w:hint="default" w:ascii="Times New Roman" w:hAnsi="Times New Roman" w:eastAsia="宋体" w:cs="Times New Roman"/>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F112">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7D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66E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9EC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3887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15E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45CA">
            <w:pPr>
              <w:jc w:val="both"/>
              <w:rPr>
                <w:rFonts w:hint="default" w:ascii="Times New Roman" w:hAnsi="Times New Roman" w:eastAsia="宋体" w:cs="Times New Roman"/>
                <w:i w:val="0"/>
                <w:iCs w:val="0"/>
                <w:color w:val="000000"/>
                <w:sz w:val="21"/>
                <w:szCs w:val="21"/>
                <w:u w:val="none"/>
              </w:rPr>
            </w:pP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06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红星隧道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FD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F11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F23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7544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3BA1">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1796">
            <w:pPr>
              <w:jc w:val="both"/>
              <w:rPr>
                <w:rFonts w:hint="default" w:ascii="Times New Roman" w:hAnsi="Times New Roman" w:eastAsia="宋体" w:cs="Times New Roman"/>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C9B6">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B1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0B9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F7B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2FA6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1E7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DC0A">
            <w:pPr>
              <w:jc w:val="both"/>
              <w:rPr>
                <w:rFonts w:hint="default" w:ascii="Times New Roman" w:hAnsi="Times New Roman" w:eastAsia="宋体" w:cs="Times New Roman"/>
                <w:i w:val="0"/>
                <w:iCs w:val="0"/>
                <w:color w:val="000000"/>
                <w:sz w:val="21"/>
                <w:szCs w:val="21"/>
                <w:u w:val="none"/>
              </w:rPr>
            </w:pP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DE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大湾岗隧道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9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818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A47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62B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6957">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3F70">
            <w:pPr>
              <w:jc w:val="both"/>
              <w:rPr>
                <w:rFonts w:hint="default" w:ascii="Times New Roman" w:hAnsi="Times New Roman" w:eastAsia="宋体" w:cs="Times New Roman"/>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042B">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CF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8BE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880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5C3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9CF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9B95">
            <w:pPr>
              <w:jc w:val="both"/>
              <w:rPr>
                <w:rFonts w:hint="default" w:ascii="Times New Roman" w:hAnsi="Times New Roman" w:eastAsia="宋体" w:cs="Times New Roman"/>
                <w:i w:val="0"/>
                <w:iCs w:val="0"/>
                <w:color w:val="000000"/>
                <w:sz w:val="21"/>
                <w:szCs w:val="21"/>
                <w:u w:val="none"/>
              </w:rPr>
            </w:pP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9D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平石岭隧道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E57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DE9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F37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8A5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67D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color w:val="000000"/>
                <w:sz w:val="22"/>
                <w:szCs w:val="22"/>
                <w:u w:val="none"/>
                <w:lang w:val="en-US" w:eastAsia="zh-CN" w:bidi="ar"/>
              </w:rPr>
              <w:t>S308</w:t>
            </w:r>
            <w:r>
              <w:rPr>
                <w:rFonts w:hint="default" w:ascii="Tahoma" w:hAnsi="Tahoma" w:eastAsia="Tahoma" w:cs="Tahoma"/>
                <w:color w:val="000000"/>
                <w:sz w:val="22"/>
                <w:szCs w:val="22"/>
                <w:u w:val="none"/>
                <w:lang w:val="en-US" w:eastAsia="zh-CN" w:bidi="ar"/>
              </w:rPr>
              <w:t>（定海段）</w:t>
            </w: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BC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茶岭隧道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4E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82D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794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BC3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9" w:type="pct"/>
          <w:trHeight w:val="387"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ECB8">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99A2">
            <w:pPr>
              <w:jc w:val="left"/>
              <w:rPr>
                <w:rFonts w:hint="default" w:ascii="Times New Roman" w:hAnsi="Times New Roman" w:eastAsia="宋体" w:cs="Times New Roman"/>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6E41">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82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1B0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0D3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E1B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C04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5B10">
            <w:pPr>
              <w:jc w:val="left"/>
              <w:rPr>
                <w:rFonts w:hint="default" w:ascii="Times New Roman" w:hAnsi="Times New Roman" w:eastAsia="宋体" w:cs="Times New Roman"/>
                <w:i w:val="0"/>
                <w:iCs w:val="0"/>
                <w:color w:val="000000"/>
                <w:sz w:val="21"/>
                <w:szCs w:val="21"/>
                <w:u w:val="none"/>
              </w:rPr>
            </w:pP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0B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小展隧道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4D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CE5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926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4ED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9172">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500B">
            <w:pPr>
              <w:jc w:val="left"/>
              <w:rPr>
                <w:rFonts w:hint="default" w:ascii="Times New Roman" w:hAnsi="Times New Roman" w:eastAsia="宋体" w:cs="Times New Roman"/>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D7AB">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55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8D2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87C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76F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138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3075">
            <w:pPr>
              <w:jc w:val="left"/>
              <w:rPr>
                <w:rFonts w:hint="default" w:ascii="Times New Roman" w:hAnsi="Times New Roman" w:eastAsia="宋体" w:cs="Times New Roman"/>
                <w:i w:val="0"/>
                <w:iCs w:val="0"/>
                <w:color w:val="000000"/>
                <w:sz w:val="21"/>
                <w:szCs w:val="21"/>
                <w:u w:val="none"/>
              </w:rPr>
            </w:pP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89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摩鼻岭隧道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F4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BF4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AB9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B52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5A78">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FEE5">
            <w:pPr>
              <w:jc w:val="left"/>
              <w:rPr>
                <w:rFonts w:hint="default" w:ascii="Times New Roman" w:hAnsi="Times New Roman" w:eastAsia="宋体" w:cs="Times New Roman"/>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F4C0">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5C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20C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30C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D3E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8AF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1BAB">
            <w:pPr>
              <w:jc w:val="left"/>
              <w:rPr>
                <w:rFonts w:hint="default" w:ascii="Times New Roman" w:hAnsi="Times New Roman" w:eastAsia="宋体" w:cs="Times New Roman"/>
                <w:i w:val="0"/>
                <w:iCs w:val="0"/>
                <w:color w:val="000000"/>
                <w:sz w:val="21"/>
                <w:szCs w:val="21"/>
                <w:u w:val="none"/>
              </w:rPr>
            </w:pP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3F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柯梅岭隧道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70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B0E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B53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785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2E85">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3705">
            <w:pPr>
              <w:jc w:val="left"/>
              <w:rPr>
                <w:rFonts w:hint="default" w:ascii="Times New Roman" w:hAnsi="Times New Roman" w:eastAsia="宋体" w:cs="Times New Roman"/>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905B">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8C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DB0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FEA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BC1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CBF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172B">
            <w:pPr>
              <w:jc w:val="left"/>
              <w:rPr>
                <w:rFonts w:hint="default" w:ascii="Times New Roman" w:hAnsi="Times New Roman" w:eastAsia="宋体" w:cs="Times New Roman"/>
                <w:i w:val="0"/>
                <w:iCs w:val="0"/>
                <w:color w:val="000000"/>
                <w:sz w:val="21"/>
                <w:szCs w:val="21"/>
                <w:u w:val="none"/>
              </w:rPr>
            </w:pP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EA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东皋岭隧道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9E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1B3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58B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9D9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8BF8">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4B4D">
            <w:pPr>
              <w:jc w:val="left"/>
              <w:rPr>
                <w:rFonts w:hint="default" w:ascii="Times New Roman" w:hAnsi="Times New Roman" w:eastAsia="宋体" w:cs="Times New Roman"/>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002C">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A6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E2C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E6D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B60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E18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2405">
            <w:pPr>
              <w:jc w:val="left"/>
              <w:rPr>
                <w:rFonts w:hint="default" w:ascii="Times New Roman" w:hAnsi="Times New Roman" w:eastAsia="宋体" w:cs="Times New Roman"/>
                <w:i w:val="0"/>
                <w:iCs w:val="0"/>
                <w:color w:val="000000"/>
                <w:sz w:val="21"/>
                <w:szCs w:val="21"/>
                <w:u w:val="none"/>
              </w:rPr>
            </w:pP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D0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BFD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DD5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35B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164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5F7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color w:val="000000"/>
                <w:sz w:val="22"/>
                <w:szCs w:val="22"/>
                <w:u w:val="none"/>
                <w:lang w:val="en-US" w:eastAsia="zh-CN" w:bidi="ar"/>
              </w:rPr>
              <w:t>S201</w:t>
            </w:r>
            <w:r>
              <w:rPr>
                <w:rFonts w:hint="default" w:ascii="Tahoma" w:hAnsi="Tahoma" w:eastAsia="Tahoma" w:cs="Tahoma"/>
                <w:color w:val="000000"/>
                <w:sz w:val="22"/>
                <w:szCs w:val="22"/>
                <w:u w:val="none"/>
                <w:lang w:val="en-US" w:eastAsia="zh-CN" w:bidi="ar"/>
              </w:rPr>
              <w:t>（定海段）</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1C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太平岗隧道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D29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D7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3D83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235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BB7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东河线</w:t>
            </w: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90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方岭隧道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37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5A1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F8E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AC8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BD6E">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11D3">
            <w:pPr>
              <w:jc w:val="both"/>
              <w:rPr>
                <w:rFonts w:hint="eastAsia" w:ascii="宋体" w:hAnsi="宋体" w:eastAsia="宋体" w:cs="宋体"/>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352B">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68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9E2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8D7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D7C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FB7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D52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定南线</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E1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6E9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BE4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C67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36B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AC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双小线</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46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小龙山隧道一号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883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E1F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9B2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2E8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26F8">
            <w:pPr>
              <w:jc w:val="both"/>
              <w:rPr>
                <w:rFonts w:hint="eastAsia" w:ascii="宋体" w:hAnsi="宋体" w:eastAsia="宋体" w:cs="宋体"/>
                <w:i w:val="0"/>
                <w:iCs w:val="0"/>
                <w:color w:val="000000"/>
                <w:sz w:val="21"/>
                <w:szCs w:val="21"/>
                <w:u w:val="none"/>
              </w:rPr>
            </w:pP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F3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小龙山隧道二号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AF5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AED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AC5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D5D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D88C">
            <w:pPr>
              <w:jc w:val="both"/>
              <w:rPr>
                <w:rFonts w:hint="eastAsia" w:ascii="宋体" w:hAnsi="宋体" w:eastAsia="宋体" w:cs="宋体"/>
                <w:i w:val="0"/>
                <w:iCs w:val="0"/>
                <w:color w:val="000000"/>
                <w:sz w:val="21"/>
                <w:szCs w:val="21"/>
                <w:u w:val="none"/>
              </w:rPr>
            </w:pP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FA4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BC4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563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EA6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E2D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F15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雅惠线</w:t>
            </w: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EF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老虎山隧道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03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128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949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42A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5440">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F5F7">
            <w:pPr>
              <w:jc w:val="both"/>
              <w:rPr>
                <w:rFonts w:hint="eastAsia" w:ascii="宋体" w:hAnsi="宋体" w:eastAsia="宋体" w:cs="宋体"/>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A6D1">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6B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2F1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017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D66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82F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0F4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临北线</w:t>
            </w: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46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尖峰岗隧道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CA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A61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108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2BE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A86E">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9C23">
            <w:pPr>
              <w:jc w:val="both"/>
              <w:rPr>
                <w:rFonts w:hint="eastAsia" w:ascii="宋体" w:hAnsi="宋体" w:eastAsia="宋体" w:cs="宋体"/>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E893">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63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B7C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999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E14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107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FC8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小岑线</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2A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小沙岭隧道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CE0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8E4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EA8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465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5768">
            <w:pPr>
              <w:jc w:val="both"/>
              <w:rPr>
                <w:rFonts w:hint="eastAsia" w:ascii="宋体" w:hAnsi="宋体" w:eastAsia="宋体" w:cs="宋体"/>
                <w:i w:val="0"/>
                <w:iCs w:val="0"/>
                <w:color w:val="000000"/>
                <w:sz w:val="21"/>
                <w:szCs w:val="21"/>
                <w:u w:val="none"/>
              </w:rPr>
            </w:pP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E8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大山岗隧道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A36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8D8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2E0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8CE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D7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干马线</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E1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羊山隧道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10F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DCE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914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2CF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E806">
            <w:pPr>
              <w:jc w:val="both"/>
              <w:rPr>
                <w:rFonts w:hint="eastAsia" w:ascii="宋体" w:hAnsi="宋体" w:eastAsia="宋体" w:cs="宋体"/>
                <w:i w:val="0"/>
                <w:iCs w:val="0"/>
                <w:color w:val="000000"/>
                <w:sz w:val="21"/>
                <w:szCs w:val="21"/>
                <w:u w:val="none"/>
              </w:rPr>
            </w:pP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E6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东夹岙隧道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B11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292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FB6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819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44F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马黄线</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01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高场墩隧道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227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817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CAA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ABF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4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22B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定马线</w:t>
            </w:r>
          </w:p>
        </w:tc>
        <w:tc>
          <w:tcPr>
            <w:tcW w:w="1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43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叉河岭隧道</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5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343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9DA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F6A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86E6">
            <w:pPr>
              <w:jc w:val="left"/>
              <w:rPr>
                <w:rFonts w:hint="default" w:ascii="Times New Roman" w:hAnsi="Times New Roman" w:eastAsia="宋体" w:cs="Times New Roman"/>
                <w:i w:val="0"/>
                <w:iCs w:val="0"/>
                <w:color w:val="000000"/>
                <w:sz w:val="21"/>
                <w:szCs w:val="21"/>
                <w:u w:val="none"/>
              </w:rPr>
            </w:pPr>
          </w:p>
        </w:tc>
        <w:tc>
          <w:tcPr>
            <w:tcW w:w="14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B8C9">
            <w:pPr>
              <w:jc w:val="both"/>
              <w:rPr>
                <w:rFonts w:hint="eastAsia" w:ascii="宋体" w:hAnsi="宋体" w:eastAsia="宋体" w:cs="宋体"/>
                <w:i w:val="0"/>
                <w:iCs w:val="0"/>
                <w:color w:val="000000"/>
                <w:sz w:val="21"/>
                <w:szCs w:val="21"/>
                <w:u w:val="none"/>
              </w:rPr>
            </w:pPr>
          </w:p>
        </w:tc>
        <w:tc>
          <w:tcPr>
            <w:tcW w:w="1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C766">
            <w:pPr>
              <w:jc w:val="left"/>
              <w:rPr>
                <w:rFonts w:hint="eastAsia" w:ascii="宋体" w:hAnsi="宋体" w:eastAsia="宋体" w:cs="宋体"/>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1E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6A0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66F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645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3C8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CF3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外屋线</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D3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屋基园隧道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F32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EB2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D47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AF3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54B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皋金线</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9C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98E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4CA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25AF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EEF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3BD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门大线</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49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龙潭坑隧道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0FC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6CF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7CA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2A09">
            <w:pPr>
              <w:jc w:val="both"/>
              <w:rPr>
                <w:rFonts w:hint="default" w:ascii="Times New Roman" w:hAnsi="Times New Roman" w:eastAsia="宋体" w:cs="Times New Roman"/>
                <w:i w:val="0"/>
                <w:iCs w:val="0"/>
                <w:color w:val="000000"/>
                <w:sz w:val="21"/>
                <w:szCs w:val="21"/>
                <w:u w:val="none"/>
              </w:rPr>
            </w:pPr>
          </w:p>
        </w:tc>
        <w:tc>
          <w:tcPr>
            <w:tcW w:w="33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2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F63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11268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F4B9">
            <w:pPr>
              <w:rPr>
                <w:rFonts w:hint="eastAsia" w:ascii="宋体" w:hAnsi="宋体" w:eastAsia="宋体" w:cs="宋体"/>
                <w:i w:val="0"/>
                <w:iCs w:val="0"/>
                <w:color w:val="000000"/>
                <w:sz w:val="22"/>
                <w:szCs w:val="22"/>
                <w:u w:val="none"/>
              </w:rPr>
            </w:pPr>
          </w:p>
        </w:tc>
      </w:tr>
    </w:tbl>
    <w:p w14:paraId="5A802E7C">
      <w:pPr>
        <w:keepNext/>
        <w:keepLines/>
        <w:widowControl w:val="0"/>
        <w:tabs>
          <w:tab w:val="left" w:pos="567"/>
        </w:tabs>
        <w:spacing w:before="120" w:after="120" w:line="416" w:lineRule="auto"/>
        <w:jc w:val="left"/>
        <w:outlineLvl w:val="2"/>
        <w:rPr>
          <w:rFonts w:hint="eastAsia" w:ascii="Times New Roman" w:hAnsi="Times New Roman" w:eastAsia="宋体" w:cs="Times New Roman"/>
          <w:b/>
          <w:bCs/>
          <w:kern w:val="0"/>
          <w:sz w:val="32"/>
          <w:szCs w:val="32"/>
          <w:lang w:val="en-US" w:eastAsia="zh-CN" w:bidi="ar-SA"/>
        </w:rPr>
      </w:pPr>
      <w:r>
        <w:rPr>
          <w:rFonts w:hint="eastAsia" w:ascii="Times New Roman" w:hAnsi="Times New Roman" w:eastAsia="宋体" w:cs="Times New Roman"/>
          <w:b/>
          <w:bCs/>
          <w:kern w:val="0"/>
          <w:sz w:val="32"/>
          <w:szCs w:val="32"/>
          <w:lang w:val="en-US" w:eastAsia="zh-CN" w:bidi="ar-SA"/>
        </w:rPr>
        <w:t>附件2</w:t>
      </w:r>
    </w:p>
    <w:p w14:paraId="747AA205">
      <w:pPr>
        <w:widowControl w:val="0"/>
        <w:tabs>
          <w:tab w:val="left" w:pos="540"/>
        </w:tabs>
        <w:adjustRightInd w:val="0"/>
        <w:snapToGrid w:val="0"/>
        <w:spacing w:before="156" w:beforeLines="50" w:after="156" w:afterLines="50" w:line="480" w:lineRule="exact"/>
        <w:ind w:left="420" w:firstLine="482" w:firstLineChars="150"/>
        <w:jc w:val="center"/>
        <w:rPr>
          <w:rFonts w:ascii="宋体" w:hAnsi="Courier New" w:eastAsia="宋体" w:cs="Times New Roman"/>
          <w:kern w:val="0"/>
          <w:sz w:val="36"/>
          <w:szCs w:val="36"/>
          <w:lang w:val="en-US" w:eastAsia="zh-CN" w:bidi="ar-SA"/>
        </w:rPr>
      </w:pPr>
      <w:r>
        <w:rPr>
          <w:rFonts w:hint="eastAsia" w:ascii="宋体" w:hAnsi="宋体" w:eastAsia="宋体" w:cs="宋体"/>
          <w:b/>
          <w:bCs/>
          <w:kern w:val="0"/>
          <w:sz w:val="32"/>
          <w:szCs w:val="32"/>
          <w:lang w:val="en-US" w:eastAsia="zh-CN" w:bidi="ar-SA"/>
        </w:rPr>
        <w:t>能源托管考核办法</w:t>
      </w:r>
    </w:p>
    <w:tbl>
      <w:tblPr>
        <w:tblStyle w:val="15"/>
        <w:tblW w:w="8838" w:type="dxa"/>
        <w:jc w:val="center"/>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650"/>
        <w:gridCol w:w="577"/>
        <w:gridCol w:w="1056"/>
        <w:gridCol w:w="3493"/>
        <w:gridCol w:w="2431"/>
        <w:gridCol w:w="631"/>
      </w:tblGrid>
      <w:tr w14:paraId="1754F3C3">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24" w:hRule="atLeast"/>
          <w:jc w:val="center"/>
        </w:trPr>
        <w:tc>
          <w:tcPr>
            <w:tcW w:w="650" w:type="dxa"/>
            <w:tcBorders>
              <w:top w:val="single" w:color="000000" w:sz="8" w:space="0"/>
              <w:left w:val="single" w:color="000000" w:sz="8" w:space="0"/>
              <w:bottom w:val="single" w:color="000000" w:sz="8" w:space="0"/>
              <w:right w:val="single" w:color="000000" w:sz="8" w:space="0"/>
            </w:tcBorders>
            <w:tcMar>
              <w:top w:w="57" w:type="dxa"/>
              <w:left w:w="57" w:type="dxa"/>
              <w:bottom w:w="57" w:type="dxa"/>
              <w:right w:w="57" w:type="dxa"/>
            </w:tcMar>
            <w:vAlign w:val="center"/>
          </w:tcPr>
          <w:p w14:paraId="2D1D686F">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577"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313AAAA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类别</w:t>
            </w:r>
          </w:p>
        </w:tc>
        <w:tc>
          <w:tcPr>
            <w:tcW w:w="1056"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3D7C3ADA">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 目</w:t>
            </w:r>
          </w:p>
        </w:tc>
        <w:tc>
          <w:tcPr>
            <w:tcW w:w="3493"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7A141F26">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  核  标  准</w:t>
            </w:r>
          </w:p>
        </w:tc>
        <w:tc>
          <w:tcPr>
            <w:tcW w:w="2431"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7E36D14E">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  作  细  则</w:t>
            </w:r>
          </w:p>
        </w:tc>
        <w:tc>
          <w:tcPr>
            <w:tcW w:w="631"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2571D20E">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w:t>
            </w:r>
          </w:p>
        </w:tc>
      </w:tr>
      <w:tr w14:paraId="1517801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2545" w:hRule="atLeast"/>
          <w:jc w:val="center"/>
        </w:trPr>
        <w:tc>
          <w:tcPr>
            <w:tcW w:w="650"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B9D978F">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bCs/>
                <w:sz w:val="21"/>
                <w:szCs w:val="21"/>
                <w:lang w:val="en-US" w:eastAsia="zh-CN" w:bidi="ar-SA"/>
              </w:rPr>
              <w:t>1</w:t>
            </w:r>
          </w:p>
        </w:tc>
        <w:tc>
          <w:tcPr>
            <w:tcW w:w="577" w:type="dxa"/>
            <w:vMerge w:val="restart"/>
            <w:tcBorders>
              <w:bottom w:val="single" w:color="808080" w:sz="8" w:space="0"/>
              <w:right w:val="single" w:color="808080" w:sz="8" w:space="0"/>
            </w:tcBorders>
            <w:tcMar>
              <w:top w:w="57" w:type="dxa"/>
              <w:left w:w="57" w:type="dxa"/>
              <w:bottom w:w="57" w:type="dxa"/>
              <w:right w:w="57" w:type="dxa"/>
            </w:tcMar>
            <w:vAlign w:val="center"/>
          </w:tcPr>
          <w:p w14:paraId="736BE289">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能</w:t>
            </w:r>
          </w:p>
          <w:p w14:paraId="169027A1">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源</w:t>
            </w:r>
          </w:p>
          <w:p w14:paraId="22DC15E8">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管</w:t>
            </w:r>
          </w:p>
          <w:p w14:paraId="2719222E">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理</w:t>
            </w:r>
          </w:p>
          <w:p w14:paraId="61F7B2C5">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单</w:t>
            </w:r>
          </w:p>
          <w:p w14:paraId="21783074">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位</w:t>
            </w:r>
          </w:p>
          <w:p w14:paraId="467B601D">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内</w:t>
            </w:r>
          </w:p>
          <w:p w14:paraId="0E78C6FF">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部</w:t>
            </w:r>
          </w:p>
          <w:p w14:paraId="7E6B6147">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管</w:t>
            </w:r>
          </w:p>
          <w:p w14:paraId="276684ED">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理</w:t>
            </w:r>
          </w:p>
          <w:p w14:paraId="70C4AF14">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要</w:t>
            </w:r>
          </w:p>
          <w:p w14:paraId="25C0A03C">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求</w:t>
            </w:r>
          </w:p>
        </w:tc>
        <w:tc>
          <w:tcPr>
            <w:tcW w:w="1056" w:type="dxa"/>
            <w:vMerge w:val="restart"/>
            <w:tcBorders>
              <w:bottom w:val="single" w:color="808080" w:sz="8" w:space="0"/>
              <w:right w:val="single" w:color="808080" w:sz="8" w:space="0"/>
            </w:tcBorders>
            <w:tcMar>
              <w:top w:w="57" w:type="dxa"/>
              <w:left w:w="57" w:type="dxa"/>
              <w:bottom w:w="57" w:type="dxa"/>
              <w:right w:w="57" w:type="dxa"/>
            </w:tcMar>
            <w:vAlign w:val="center"/>
          </w:tcPr>
          <w:p w14:paraId="0C91664E">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1DB29473">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w:t>
            </w:r>
            <w:bookmarkStart w:id="35" w:name="_Hlk176371189"/>
            <w:r>
              <w:rPr>
                <w:rFonts w:hint="eastAsia" w:ascii="宋体" w:hAnsi="宋体" w:eastAsia="宋体" w:cs="宋体"/>
                <w:b/>
                <w:sz w:val="21"/>
                <w:szCs w:val="21"/>
                <w:lang w:val="en-US" w:eastAsia="zh-CN" w:bidi="ar-SA"/>
              </w:rPr>
              <w:t>实行24小时人员值班制，如需响应1小时到位，发现人员缺岗的，扣除2000元/次·人，班组人员全部不在岗的，扣除10000元/次。检查人员定位</w:t>
            </w:r>
            <w:bookmarkEnd w:id="35"/>
            <w:r>
              <w:rPr>
                <w:rFonts w:hint="eastAsia" w:ascii="宋体" w:hAnsi="宋体" w:eastAsia="宋体" w:cs="宋体"/>
                <w:b/>
                <w:sz w:val="21"/>
                <w:szCs w:val="21"/>
                <w:lang w:val="en-US" w:eastAsia="zh-CN" w:bidi="ar-SA"/>
              </w:rPr>
              <w:t>。</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12945F4A">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p w14:paraId="4C07A3D8">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发现人员缺岗的，扣除2000元/次·人，班组人员全部不在岗的，扣除10000元/次。</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5AC16BA4">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311B3E3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632" w:hRule="atLeast"/>
          <w:jc w:val="center"/>
        </w:trPr>
        <w:tc>
          <w:tcPr>
            <w:tcW w:w="650" w:type="dxa"/>
            <w:vMerge w:val="continue"/>
            <w:tcBorders>
              <w:left w:val="single" w:color="808080" w:sz="8" w:space="0"/>
              <w:bottom w:val="single" w:color="808080" w:sz="8" w:space="0"/>
              <w:right w:val="single" w:color="808080" w:sz="8" w:space="0"/>
            </w:tcBorders>
            <w:vAlign w:val="center"/>
          </w:tcPr>
          <w:p w14:paraId="2C3F143C">
            <w:pPr>
              <w:spacing w:line="320" w:lineRule="exact"/>
              <w:rPr>
                <w:rFonts w:ascii="宋体" w:hAnsi="宋体" w:eastAsia="宋体" w:cs="宋体"/>
                <w:b/>
                <w:sz w:val="21"/>
                <w:szCs w:val="21"/>
                <w:lang w:val="en-US" w:eastAsia="zh-CN" w:bidi="ar-SA"/>
              </w:rPr>
            </w:pPr>
          </w:p>
        </w:tc>
        <w:tc>
          <w:tcPr>
            <w:tcW w:w="577" w:type="dxa"/>
            <w:vMerge w:val="continue"/>
            <w:tcBorders>
              <w:bottom w:val="single" w:color="808080" w:sz="8" w:space="0"/>
              <w:right w:val="single" w:color="808080" w:sz="8" w:space="0"/>
            </w:tcBorders>
            <w:vAlign w:val="center"/>
          </w:tcPr>
          <w:p w14:paraId="4506E5C4">
            <w:pPr>
              <w:spacing w:line="320" w:lineRule="exact"/>
              <w:rPr>
                <w:rFonts w:ascii="宋体" w:hAnsi="宋体" w:eastAsia="宋体" w:cs="宋体"/>
                <w:b/>
                <w:sz w:val="21"/>
                <w:szCs w:val="21"/>
                <w:lang w:val="en-US" w:eastAsia="zh-CN" w:bidi="ar-SA"/>
              </w:rPr>
            </w:pPr>
          </w:p>
        </w:tc>
        <w:tc>
          <w:tcPr>
            <w:tcW w:w="1056" w:type="dxa"/>
            <w:vMerge w:val="continue"/>
            <w:tcBorders>
              <w:bottom w:val="single" w:color="808080" w:sz="8" w:space="0"/>
              <w:right w:val="single" w:color="808080" w:sz="8" w:space="0"/>
            </w:tcBorders>
            <w:vAlign w:val="center"/>
          </w:tcPr>
          <w:p w14:paraId="17D89AEF">
            <w:pPr>
              <w:spacing w:line="320" w:lineRule="exact"/>
              <w:rPr>
                <w:rFonts w:ascii="宋体" w:hAnsi="宋体" w:eastAsia="宋体" w:cs="宋体"/>
                <w:b/>
                <w:sz w:val="21"/>
                <w:szCs w:val="21"/>
                <w:lang w:val="en-US" w:eastAsia="zh-CN" w:bidi="ar-SA"/>
              </w:rPr>
            </w:pP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3EDAAAD">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2、应配备用于路灯维修养护工程的施工机械设备，如高空、抢修作业车、防撞缓冲车、维修巡检车辆及相应的电工工具等。</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6D9CC547">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1、未储备上述设备的，每少一样扣10000元/次。</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7C39B557">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469256CD">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323" w:hRule="atLeast"/>
          <w:jc w:val="center"/>
        </w:trPr>
        <w:tc>
          <w:tcPr>
            <w:tcW w:w="650" w:type="dxa"/>
            <w:vMerge w:val="continue"/>
            <w:tcBorders>
              <w:left w:val="single" w:color="808080" w:sz="8" w:space="0"/>
              <w:bottom w:val="single" w:color="808080" w:sz="8" w:space="0"/>
              <w:right w:val="single" w:color="808080" w:sz="8" w:space="0"/>
            </w:tcBorders>
            <w:vAlign w:val="center"/>
          </w:tcPr>
          <w:p w14:paraId="5F9FD32E">
            <w:pPr>
              <w:spacing w:line="320" w:lineRule="exact"/>
              <w:rPr>
                <w:rFonts w:ascii="宋体" w:hAnsi="宋体" w:eastAsia="宋体" w:cs="宋体"/>
                <w:b/>
                <w:sz w:val="21"/>
                <w:szCs w:val="21"/>
                <w:lang w:val="en-US" w:eastAsia="zh-CN" w:bidi="ar-SA"/>
              </w:rPr>
            </w:pPr>
          </w:p>
        </w:tc>
        <w:tc>
          <w:tcPr>
            <w:tcW w:w="577" w:type="dxa"/>
            <w:vMerge w:val="continue"/>
            <w:tcBorders>
              <w:bottom w:val="single" w:color="808080" w:sz="8" w:space="0"/>
              <w:right w:val="single" w:color="808080" w:sz="8" w:space="0"/>
            </w:tcBorders>
            <w:vAlign w:val="center"/>
          </w:tcPr>
          <w:p w14:paraId="7ACCC4AD">
            <w:pPr>
              <w:spacing w:line="320" w:lineRule="exact"/>
              <w:rPr>
                <w:rFonts w:ascii="宋体" w:hAnsi="宋体" w:eastAsia="宋体" w:cs="宋体"/>
                <w:b/>
                <w:sz w:val="21"/>
                <w:szCs w:val="21"/>
                <w:lang w:val="en-US" w:eastAsia="zh-CN" w:bidi="ar-SA"/>
              </w:rPr>
            </w:pPr>
          </w:p>
        </w:tc>
        <w:tc>
          <w:tcPr>
            <w:tcW w:w="1056" w:type="dxa"/>
            <w:vMerge w:val="continue"/>
            <w:tcBorders>
              <w:bottom w:val="single" w:color="808080" w:sz="8" w:space="0"/>
              <w:right w:val="single" w:color="808080" w:sz="8" w:space="0"/>
            </w:tcBorders>
            <w:vAlign w:val="center"/>
          </w:tcPr>
          <w:p w14:paraId="3319BC8B">
            <w:pPr>
              <w:spacing w:line="320" w:lineRule="exact"/>
              <w:rPr>
                <w:rFonts w:ascii="宋体" w:hAnsi="宋体" w:eastAsia="宋体" w:cs="宋体"/>
                <w:b/>
                <w:sz w:val="21"/>
                <w:szCs w:val="21"/>
                <w:lang w:val="en-US" w:eastAsia="zh-CN" w:bidi="ar-SA"/>
              </w:rPr>
            </w:pP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5A806D29">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3、能源管理单位道路照明设施维护项目部工作人员实行岗位责任制，工作人员持证上岗且保持稳定，熟悉所管辖区域内道路照明设施供电、控制、线路等相关情况，作业时统一着装并配备必要的安全防护用品，能按操作规程进行维护作业。</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3A2FB51C">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1、未实行岗位责任制扣2000元/次</w:t>
            </w:r>
          </w:p>
          <w:p w14:paraId="02E4D490">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2、工作人员未持证上岗或人员不稳定扣2000元/次</w:t>
            </w:r>
          </w:p>
          <w:p w14:paraId="4591E2AE">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3、未统一着装并配备必要的安全防护用品扣2000元/次</w:t>
            </w:r>
          </w:p>
          <w:p w14:paraId="4F5DB5FA">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4、未按操作规程进行维护作业扣3000元/次</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24D71016">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3F02C144">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2683" w:hRule="atLeast"/>
          <w:jc w:val="center"/>
        </w:trPr>
        <w:tc>
          <w:tcPr>
            <w:tcW w:w="650"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3A46EBAE">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bCs/>
                <w:sz w:val="21"/>
                <w:szCs w:val="21"/>
                <w:lang w:val="en-US" w:eastAsia="zh-CN" w:bidi="ar-SA"/>
              </w:rPr>
              <w:t>2</w:t>
            </w:r>
          </w:p>
        </w:tc>
        <w:tc>
          <w:tcPr>
            <w:tcW w:w="577" w:type="dxa"/>
            <w:tcBorders>
              <w:bottom w:val="single" w:color="808080" w:sz="8" w:space="0"/>
              <w:right w:val="single" w:color="808080" w:sz="8" w:space="0"/>
            </w:tcBorders>
            <w:tcMar>
              <w:top w:w="57" w:type="dxa"/>
              <w:left w:w="57" w:type="dxa"/>
              <w:bottom w:w="57" w:type="dxa"/>
              <w:right w:w="57" w:type="dxa"/>
            </w:tcMar>
            <w:vAlign w:val="center"/>
          </w:tcPr>
          <w:p w14:paraId="76234980">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设</w:t>
            </w:r>
          </w:p>
          <w:p w14:paraId="1A535E8E">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施</w:t>
            </w:r>
          </w:p>
          <w:p w14:paraId="1E8A9FC6">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整</w:t>
            </w:r>
          </w:p>
          <w:p w14:paraId="40BE1659">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洁</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5D32E5C6">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2CA39972">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参照《市道路照明设施维护质量标准》</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1FDADE52">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1、铁丝、绳索等缠绕物未及时清除的，每处扣200元</w:t>
            </w:r>
          </w:p>
          <w:p w14:paraId="33237B54">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2、设置户外广告等悬挂物未及时发现或发现后未上报的，每杆扣200元</w:t>
            </w:r>
          </w:p>
          <w:p w14:paraId="61632535">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3、乱张贴、乱涂写未及时清除的，每杆扣200元</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1FA35999">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0A96C1A0">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519" w:hRule="atLeast"/>
          <w:jc w:val="center"/>
        </w:trPr>
        <w:tc>
          <w:tcPr>
            <w:tcW w:w="650"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183E7BB7">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bCs/>
                <w:sz w:val="21"/>
                <w:szCs w:val="21"/>
                <w:lang w:val="en-US" w:eastAsia="zh-CN" w:bidi="ar-SA"/>
              </w:rPr>
              <w:t>3</w:t>
            </w:r>
          </w:p>
        </w:tc>
        <w:tc>
          <w:tcPr>
            <w:tcW w:w="577" w:type="dxa"/>
            <w:tcBorders>
              <w:bottom w:val="single" w:color="808080" w:sz="8" w:space="0"/>
              <w:right w:val="single" w:color="808080" w:sz="8" w:space="0"/>
            </w:tcBorders>
            <w:tcMar>
              <w:top w:w="57" w:type="dxa"/>
              <w:left w:w="57" w:type="dxa"/>
              <w:bottom w:w="57" w:type="dxa"/>
              <w:right w:w="57" w:type="dxa"/>
            </w:tcMar>
            <w:vAlign w:val="center"/>
          </w:tcPr>
          <w:p w14:paraId="0DAFDDC5">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亮灯率</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1D04C239">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311BEE7F">
            <w:pPr>
              <w:spacing w:line="320" w:lineRule="exact"/>
              <w:ind w:firstLine="420"/>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亮灯率标准均为99％</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457D9834">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1、每低于1%，扣管护单位5000元，不足1%的按插入法计算；低于98%的，每低于0.1%，扣管护单位2000元。</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1A7E1A50">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31B8D8FC">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12" w:hRule="atLeast"/>
          <w:jc w:val="center"/>
        </w:trPr>
        <w:tc>
          <w:tcPr>
            <w:tcW w:w="650"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25F9330D">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4</w:t>
            </w:r>
          </w:p>
        </w:tc>
        <w:tc>
          <w:tcPr>
            <w:tcW w:w="577" w:type="dxa"/>
            <w:vMerge w:val="restart"/>
            <w:tcBorders>
              <w:bottom w:val="single" w:color="808080" w:sz="8" w:space="0"/>
              <w:right w:val="single" w:color="808080" w:sz="8" w:space="0"/>
            </w:tcBorders>
            <w:tcMar>
              <w:top w:w="57" w:type="dxa"/>
              <w:left w:w="57" w:type="dxa"/>
              <w:bottom w:w="57" w:type="dxa"/>
              <w:right w:w="57" w:type="dxa"/>
            </w:tcMar>
            <w:vAlign w:val="center"/>
          </w:tcPr>
          <w:p w14:paraId="29032026">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设施完好率≥ 99%</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5903DC15">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配电箱柜等</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3B431FF0">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参照《市道路照明设施维护质量标准》</w:t>
            </w:r>
          </w:p>
        </w:tc>
        <w:tc>
          <w:tcPr>
            <w:tcW w:w="2431" w:type="dxa"/>
            <w:vMerge w:val="restart"/>
            <w:tcBorders>
              <w:bottom w:val="single" w:color="808080" w:sz="8" w:space="0"/>
              <w:right w:val="single" w:color="808080" w:sz="8" w:space="0"/>
            </w:tcBorders>
            <w:tcMar>
              <w:top w:w="57" w:type="dxa"/>
              <w:left w:w="57" w:type="dxa"/>
              <w:bottom w:w="57" w:type="dxa"/>
              <w:right w:w="57" w:type="dxa"/>
            </w:tcMar>
            <w:vAlign w:val="bottom"/>
          </w:tcPr>
          <w:p w14:paraId="4CA0801B">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①设施内任一部件都必须完好运行，每月因设施故障导致熄灯的，均按照1%故障率计算，每个点每次计算一个1%，每月累计数为该月故障率。</w:t>
            </w:r>
          </w:p>
          <w:p w14:paraId="342049A8">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②每月抽查管护范围内路灯各项设施不少于管护总数的20%。</w:t>
            </w:r>
          </w:p>
          <w:p w14:paraId="57253F34">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③设施完好率每低于1%，扣管护单位5000元，不足1%的按插入法计算；低于98%的，每低于0.1%，扣管护单位2000元。</w:t>
            </w:r>
          </w:p>
          <w:p w14:paraId="18740D4D">
            <w:pPr>
              <w:spacing w:line="320" w:lineRule="exact"/>
              <w:ind w:firstLine="480"/>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p w14:paraId="33176D09">
            <w:pPr>
              <w:spacing w:line="320" w:lineRule="exact"/>
              <w:ind w:firstLine="420"/>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2C9DD9E3">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6EC2946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97" w:hRule="atLeast"/>
          <w:jc w:val="center"/>
        </w:trPr>
        <w:tc>
          <w:tcPr>
            <w:tcW w:w="650" w:type="dxa"/>
            <w:vMerge w:val="continue"/>
            <w:tcBorders>
              <w:left w:val="single" w:color="808080" w:sz="8" w:space="0"/>
              <w:bottom w:val="single" w:color="808080" w:sz="8" w:space="0"/>
              <w:right w:val="single" w:color="808080" w:sz="8" w:space="0"/>
            </w:tcBorders>
            <w:vAlign w:val="center"/>
          </w:tcPr>
          <w:p w14:paraId="65B5DFC4">
            <w:pPr>
              <w:spacing w:line="320" w:lineRule="exact"/>
              <w:rPr>
                <w:rFonts w:ascii="宋体" w:hAnsi="宋体" w:eastAsia="宋体" w:cs="宋体"/>
                <w:b/>
                <w:sz w:val="21"/>
                <w:szCs w:val="21"/>
                <w:lang w:val="en-US" w:eastAsia="zh-CN" w:bidi="ar-SA"/>
              </w:rPr>
            </w:pPr>
          </w:p>
        </w:tc>
        <w:tc>
          <w:tcPr>
            <w:tcW w:w="577" w:type="dxa"/>
            <w:vMerge w:val="continue"/>
            <w:tcBorders>
              <w:bottom w:val="single" w:color="808080" w:sz="8" w:space="0"/>
              <w:right w:val="single" w:color="808080" w:sz="8" w:space="0"/>
            </w:tcBorders>
            <w:vAlign w:val="center"/>
          </w:tcPr>
          <w:p w14:paraId="1C88DDCB">
            <w:pPr>
              <w:spacing w:line="320" w:lineRule="exact"/>
              <w:rPr>
                <w:rFonts w:ascii="宋体" w:hAnsi="宋体" w:eastAsia="宋体" w:cs="宋体"/>
                <w:b/>
                <w:sz w:val="21"/>
                <w:szCs w:val="21"/>
                <w:lang w:val="en-US" w:eastAsia="zh-CN" w:bidi="ar-SA"/>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1DEEB840">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架空线路</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28CA7A8">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参照《市道路照明设施维护质量标准》</w:t>
            </w:r>
          </w:p>
        </w:tc>
        <w:tc>
          <w:tcPr>
            <w:tcW w:w="2431" w:type="dxa"/>
            <w:vMerge w:val="continue"/>
            <w:tcBorders>
              <w:bottom w:val="single" w:color="808080" w:sz="8" w:space="0"/>
              <w:right w:val="single" w:color="808080" w:sz="8" w:space="0"/>
            </w:tcBorders>
            <w:vAlign w:val="center"/>
          </w:tcPr>
          <w:p w14:paraId="09C6518E">
            <w:pPr>
              <w:spacing w:line="320" w:lineRule="exact"/>
              <w:rPr>
                <w:rFonts w:ascii="宋体" w:hAnsi="宋体" w:eastAsia="宋体" w:cs="宋体"/>
                <w:b/>
                <w:sz w:val="21"/>
                <w:szCs w:val="21"/>
                <w:lang w:val="en-US" w:eastAsia="zh-CN" w:bidi="ar-SA"/>
              </w:rPr>
            </w:pP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4A3078DD">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7B79F4F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22" w:hRule="atLeast"/>
          <w:jc w:val="center"/>
        </w:trPr>
        <w:tc>
          <w:tcPr>
            <w:tcW w:w="650" w:type="dxa"/>
            <w:vMerge w:val="continue"/>
            <w:tcBorders>
              <w:left w:val="single" w:color="808080" w:sz="8" w:space="0"/>
              <w:bottom w:val="single" w:color="808080" w:sz="8" w:space="0"/>
              <w:right w:val="single" w:color="808080" w:sz="8" w:space="0"/>
            </w:tcBorders>
            <w:vAlign w:val="center"/>
          </w:tcPr>
          <w:p w14:paraId="674A10D5">
            <w:pPr>
              <w:spacing w:line="320" w:lineRule="exact"/>
              <w:rPr>
                <w:rFonts w:ascii="宋体" w:hAnsi="宋体" w:eastAsia="宋体" w:cs="宋体"/>
                <w:b/>
                <w:sz w:val="21"/>
                <w:szCs w:val="21"/>
                <w:lang w:val="en-US" w:eastAsia="zh-CN" w:bidi="ar-SA"/>
              </w:rPr>
            </w:pPr>
          </w:p>
        </w:tc>
        <w:tc>
          <w:tcPr>
            <w:tcW w:w="577" w:type="dxa"/>
            <w:vMerge w:val="continue"/>
            <w:tcBorders>
              <w:bottom w:val="single" w:color="808080" w:sz="8" w:space="0"/>
              <w:right w:val="single" w:color="808080" w:sz="8" w:space="0"/>
            </w:tcBorders>
            <w:vAlign w:val="center"/>
          </w:tcPr>
          <w:p w14:paraId="076CBE64">
            <w:pPr>
              <w:spacing w:line="320" w:lineRule="exact"/>
              <w:rPr>
                <w:rFonts w:ascii="宋体" w:hAnsi="宋体" w:eastAsia="宋体" w:cs="宋体"/>
                <w:b/>
                <w:sz w:val="21"/>
                <w:szCs w:val="21"/>
                <w:lang w:val="en-US" w:eastAsia="zh-CN" w:bidi="ar-SA"/>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090D019C">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电缆线路</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1EF95781">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参照《市道路照明设施维护质量标准》</w:t>
            </w:r>
          </w:p>
        </w:tc>
        <w:tc>
          <w:tcPr>
            <w:tcW w:w="2431" w:type="dxa"/>
            <w:vMerge w:val="continue"/>
            <w:tcBorders>
              <w:bottom w:val="single" w:color="808080" w:sz="8" w:space="0"/>
              <w:right w:val="single" w:color="808080" w:sz="8" w:space="0"/>
            </w:tcBorders>
            <w:vAlign w:val="center"/>
          </w:tcPr>
          <w:p w14:paraId="016B1ADA">
            <w:pPr>
              <w:spacing w:line="320" w:lineRule="exact"/>
              <w:rPr>
                <w:rFonts w:ascii="宋体" w:hAnsi="宋体" w:eastAsia="宋体" w:cs="宋体"/>
                <w:b/>
                <w:sz w:val="21"/>
                <w:szCs w:val="21"/>
                <w:lang w:val="en-US" w:eastAsia="zh-CN" w:bidi="ar-SA"/>
              </w:rPr>
            </w:pP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46FF91B3">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6F5FCD6A">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27" w:hRule="atLeast"/>
          <w:jc w:val="center"/>
        </w:trPr>
        <w:tc>
          <w:tcPr>
            <w:tcW w:w="650" w:type="dxa"/>
            <w:vMerge w:val="continue"/>
            <w:tcBorders>
              <w:left w:val="single" w:color="808080" w:sz="8" w:space="0"/>
              <w:bottom w:val="single" w:color="808080" w:sz="8" w:space="0"/>
              <w:right w:val="single" w:color="808080" w:sz="8" w:space="0"/>
            </w:tcBorders>
            <w:vAlign w:val="center"/>
          </w:tcPr>
          <w:p w14:paraId="4BEA236A">
            <w:pPr>
              <w:spacing w:line="320" w:lineRule="exact"/>
              <w:rPr>
                <w:rFonts w:ascii="宋体" w:hAnsi="宋体" w:eastAsia="宋体" w:cs="宋体"/>
                <w:b/>
                <w:sz w:val="21"/>
                <w:szCs w:val="21"/>
                <w:lang w:val="en-US" w:eastAsia="zh-CN" w:bidi="ar-SA"/>
              </w:rPr>
            </w:pPr>
          </w:p>
        </w:tc>
        <w:tc>
          <w:tcPr>
            <w:tcW w:w="577" w:type="dxa"/>
            <w:vMerge w:val="continue"/>
            <w:tcBorders>
              <w:bottom w:val="single" w:color="808080" w:sz="8" w:space="0"/>
              <w:right w:val="single" w:color="808080" w:sz="8" w:space="0"/>
            </w:tcBorders>
            <w:vAlign w:val="center"/>
          </w:tcPr>
          <w:p w14:paraId="022FBA8D">
            <w:pPr>
              <w:spacing w:line="320" w:lineRule="exact"/>
              <w:rPr>
                <w:rFonts w:ascii="宋体" w:hAnsi="宋体" w:eastAsia="宋体" w:cs="宋体"/>
                <w:b/>
                <w:sz w:val="21"/>
                <w:szCs w:val="21"/>
                <w:lang w:val="en-US" w:eastAsia="zh-CN" w:bidi="ar-SA"/>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26395148">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照明器具</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D9AA41B">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参照《市道路照明设施维护质量标准》</w:t>
            </w:r>
          </w:p>
        </w:tc>
        <w:tc>
          <w:tcPr>
            <w:tcW w:w="2431" w:type="dxa"/>
            <w:vMerge w:val="continue"/>
            <w:tcBorders>
              <w:bottom w:val="single" w:color="808080" w:sz="8" w:space="0"/>
              <w:right w:val="single" w:color="808080" w:sz="8" w:space="0"/>
            </w:tcBorders>
            <w:vAlign w:val="center"/>
          </w:tcPr>
          <w:p w14:paraId="32F43587">
            <w:pPr>
              <w:spacing w:line="320" w:lineRule="exact"/>
              <w:rPr>
                <w:rFonts w:ascii="宋体" w:hAnsi="宋体" w:eastAsia="宋体" w:cs="宋体"/>
                <w:b/>
                <w:sz w:val="21"/>
                <w:szCs w:val="21"/>
                <w:lang w:val="en-US" w:eastAsia="zh-CN" w:bidi="ar-SA"/>
              </w:rPr>
            </w:pP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28CF9C3C">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7F461FF4">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97" w:hRule="atLeast"/>
          <w:jc w:val="center"/>
        </w:trPr>
        <w:tc>
          <w:tcPr>
            <w:tcW w:w="650" w:type="dxa"/>
            <w:vMerge w:val="continue"/>
            <w:tcBorders>
              <w:left w:val="single" w:color="808080" w:sz="8" w:space="0"/>
              <w:bottom w:val="single" w:color="808080" w:sz="8" w:space="0"/>
              <w:right w:val="single" w:color="808080" w:sz="8" w:space="0"/>
            </w:tcBorders>
            <w:vAlign w:val="center"/>
          </w:tcPr>
          <w:p w14:paraId="5BEDCEA1">
            <w:pPr>
              <w:spacing w:line="320" w:lineRule="exact"/>
              <w:rPr>
                <w:rFonts w:ascii="宋体" w:hAnsi="宋体" w:eastAsia="宋体" w:cs="宋体"/>
                <w:b/>
                <w:sz w:val="21"/>
                <w:szCs w:val="21"/>
                <w:lang w:val="en-US" w:eastAsia="zh-CN" w:bidi="ar-SA"/>
              </w:rPr>
            </w:pPr>
          </w:p>
        </w:tc>
        <w:tc>
          <w:tcPr>
            <w:tcW w:w="577" w:type="dxa"/>
            <w:vMerge w:val="continue"/>
            <w:tcBorders>
              <w:bottom w:val="single" w:color="808080" w:sz="8" w:space="0"/>
              <w:right w:val="single" w:color="808080" w:sz="8" w:space="0"/>
            </w:tcBorders>
            <w:vAlign w:val="center"/>
          </w:tcPr>
          <w:p w14:paraId="463DDFCF">
            <w:pPr>
              <w:spacing w:line="320" w:lineRule="exact"/>
              <w:rPr>
                <w:rFonts w:ascii="宋体" w:hAnsi="宋体" w:eastAsia="宋体" w:cs="宋体"/>
                <w:b/>
                <w:sz w:val="21"/>
                <w:szCs w:val="21"/>
                <w:lang w:val="en-US" w:eastAsia="zh-CN" w:bidi="ar-SA"/>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5CBDE643">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高杆照明</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24013F59">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参照《市道路照明设施维护质量标准》</w:t>
            </w:r>
          </w:p>
        </w:tc>
        <w:tc>
          <w:tcPr>
            <w:tcW w:w="2431" w:type="dxa"/>
            <w:vMerge w:val="continue"/>
            <w:tcBorders>
              <w:bottom w:val="single" w:color="808080" w:sz="8" w:space="0"/>
              <w:right w:val="single" w:color="808080" w:sz="8" w:space="0"/>
            </w:tcBorders>
            <w:vAlign w:val="center"/>
          </w:tcPr>
          <w:p w14:paraId="6F1BC4F8">
            <w:pPr>
              <w:spacing w:line="320" w:lineRule="exact"/>
              <w:rPr>
                <w:rFonts w:ascii="宋体" w:hAnsi="宋体" w:eastAsia="宋体" w:cs="宋体"/>
                <w:b/>
                <w:sz w:val="21"/>
                <w:szCs w:val="21"/>
                <w:lang w:val="en-US" w:eastAsia="zh-CN" w:bidi="ar-SA"/>
              </w:rPr>
            </w:pP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02E24575">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0DDABA4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577" w:hRule="atLeast"/>
          <w:jc w:val="center"/>
        </w:trPr>
        <w:tc>
          <w:tcPr>
            <w:tcW w:w="650" w:type="dxa"/>
            <w:vMerge w:val="continue"/>
            <w:tcBorders>
              <w:left w:val="single" w:color="808080" w:sz="8" w:space="0"/>
              <w:bottom w:val="single" w:color="808080" w:sz="8" w:space="0"/>
              <w:right w:val="single" w:color="808080" w:sz="8" w:space="0"/>
            </w:tcBorders>
            <w:vAlign w:val="center"/>
          </w:tcPr>
          <w:p w14:paraId="3A605F7A">
            <w:pPr>
              <w:spacing w:line="320" w:lineRule="exact"/>
              <w:rPr>
                <w:rFonts w:ascii="宋体" w:hAnsi="宋体" w:eastAsia="宋体" w:cs="宋体"/>
                <w:b/>
                <w:sz w:val="21"/>
                <w:szCs w:val="21"/>
                <w:lang w:val="en-US" w:eastAsia="zh-CN" w:bidi="ar-SA"/>
              </w:rPr>
            </w:pPr>
          </w:p>
        </w:tc>
        <w:tc>
          <w:tcPr>
            <w:tcW w:w="577" w:type="dxa"/>
            <w:vMerge w:val="continue"/>
            <w:tcBorders>
              <w:bottom w:val="single" w:color="808080" w:sz="8" w:space="0"/>
              <w:right w:val="single" w:color="808080" w:sz="8" w:space="0"/>
            </w:tcBorders>
            <w:vAlign w:val="center"/>
          </w:tcPr>
          <w:p w14:paraId="00C911FD">
            <w:pPr>
              <w:spacing w:line="320" w:lineRule="exact"/>
              <w:rPr>
                <w:rFonts w:ascii="宋体" w:hAnsi="宋体" w:eastAsia="宋体" w:cs="宋体"/>
                <w:b/>
                <w:sz w:val="21"/>
                <w:szCs w:val="21"/>
                <w:lang w:val="en-US" w:eastAsia="zh-CN" w:bidi="ar-SA"/>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2F1BC390">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专用灯杆</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251AE9D7">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参照《市道路照明设施维护质量标准》</w:t>
            </w:r>
          </w:p>
        </w:tc>
        <w:tc>
          <w:tcPr>
            <w:tcW w:w="2431" w:type="dxa"/>
            <w:vMerge w:val="continue"/>
            <w:tcBorders>
              <w:bottom w:val="single" w:color="808080" w:sz="8" w:space="0"/>
              <w:right w:val="single" w:color="808080" w:sz="8" w:space="0"/>
            </w:tcBorders>
            <w:vAlign w:val="center"/>
          </w:tcPr>
          <w:p w14:paraId="68F9F186">
            <w:pPr>
              <w:spacing w:line="320" w:lineRule="exact"/>
              <w:rPr>
                <w:rFonts w:ascii="宋体" w:hAnsi="宋体" w:eastAsia="宋体" w:cs="宋体"/>
                <w:b/>
                <w:sz w:val="21"/>
                <w:szCs w:val="21"/>
                <w:lang w:val="en-US" w:eastAsia="zh-CN" w:bidi="ar-SA"/>
              </w:rPr>
            </w:pP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2CC7AD79">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4F342BED">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87" w:hRule="atLeast"/>
          <w:jc w:val="center"/>
        </w:trPr>
        <w:tc>
          <w:tcPr>
            <w:tcW w:w="650" w:type="dxa"/>
            <w:vMerge w:val="continue"/>
            <w:tcBorders>
              <w:left w:val="single" w:color="808080" w:sz="8" w:space="0"/>
              <w:bottom w:val="single" w:color="808080" w:sz="8" w:space="0"/>
              <w:right w:val="single" w:color="808080" w:sz="8" w:space="0"/>
            </w:tcBorders>
            <w:vAlign w:val="center"/>
          </w:tcPr>
          <w:p w14:paraId="2642002D">
            <w:pPr>
              <w:spacing w:line="320" w:lineRule="exact"/>
              <w:rPr>
                <w:rFonts w:ascii="宋体" w:hAnsi="宋体" w:eastAsia="宋体" w:cs="宋体"/>
                <w:b/>
                <w:sz w:val="21"/>
                <w:szCs w:val="21"/>
                <w:lang w:val="en-US" w:eastAsia="zh-CN" w:bidi="ar-SA"/>
              </w:rPr>
            </w:pPr>
          </w:p>
        </w:tc>
        <w:tc>
          <w:tcPr>
            <w:tcW w:w="577" w:type="dxa"/>
            <w:vMerge w:val="continue"/>
            <w:tcBorders>
              <w:bottom w:val="single" w:color="808080" w:sz="8" w:space="0"/>
              <w:right w:val="single" w:color="808080" w:sz="8" w:space="0"/>
            </w:tcBorders>
            <w:vAlign w:val="center"/>
          </w:tcPr>
          <w:p w14:paraId="70B357D2">
            <w:pPr>
              <w:spacing w:line="320" w:lineRule="exact"/>
              <w:rPr>
                <w:rFonts w:ascii="宋体" w:hAnsi="宋体" w:eastAsia="宋体" w:cs="宋体"/>
                <w:b/>
                <w:sz w:val="21"/>
                <w:szCs w:val="21"/>
                <w:lang w:val="en-US" w:eastAsia="zh-CN" w:bidi="ar-SA"/>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7E00F9B6">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三遥</w:t>
            </w:r>
            <w:r>
              <w:rPr>
                <w:rFonts w:hint="eastAsia" w:ascii="宋体" w:hAnsi="宋体" w:eastAsia="宋体" w:cs="宋体"/>
                <w:b/>
                <w:bCs/>
                <w:sz w:val="21"/>
                <w:szCs w:val="21"/>
                <w:lang w:val="en-US" w:eastAsia="zh-CN" w:bidi="ar-SA"/>
              </w:rPr>
              <w:t>集控</w:t>
            </w:r>
            <w:r>
              <w:rPr>
                <w:rFonts w:hint="eastAsia" w:ascii="宋体" w:hAnsi="宋体" w:eastAsia="宋体" w:cs="宋体"/>
                <w:b/>
                <w:sz w:val="21"/>
                <w:szCs w:val="21"/>
                <w:lang w:val="en-US" w:eastAsia="zh-CN" w:bidi="ar-SA"/>
              </w:rPr>
              <w:t>及时控器</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53A14ACE">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参照《市道路照明设施维护质量标准》</w:t>
            </w:r>
          </w:p>
        </w:tc>
        <w:tc>
          <w:tcPr>
            <w:tcW w:w="2431" w:type="dxa"/>
            <w:vMerge w:val="continue"/>
            <w:tcBorders>
              <w:bottom w:val="single" w:color="808080" w:sz="8" w:space="0"/>
              <w:right w:val="single" w:color="808080" w:sz="8" w:space="0"/>
            </w:tcBorders>
            <w:vAlign w:val="center"/>
          </w:tcPr>
          <w:p w14:paraId="06004D09">
            <w:pPr>
              <w:spacing w:line="320" w:lineRule="exact"/>
              <w:rPr>
                <w:rFonts w:ascii="宋体" w:hAnsi="宋体" w:eastAsia="宋体" w:cs="宋体"/>
                <w:b/>
                <w:sz w:val="21"/>
                <w:szCs w:val="21"/>
                <w:lang w:val="en-US" w:eastAsia="zh-CN" w:bidi="ar-SA"/>
              </w:rPr>
            </w:pP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76DF56C4">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316475FF">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82" w:hRule="atLeast"/>
          <w:jc w:val="center"/>
        </w:trPr>
        <w:tc>
          <w:tcPr>
            <w:tcW w:w="650" w:type="dxa"/>
            <w:vMerge w:val="continue"/>
            <w:tcBorders>
              <w:left w:val="single" w:color="808080" w:sz="8" w:space="0"/>
              <w:bottom w:val="single" w:color="808080" w:sz="8" w:space="0"/>
              <w:right w:val="single" w:color="808080" w:sz="8" w:space="0"/>
            </w:tcBorders>
            <w:vAlign w:val="center"/>
          </w:tcPr>
          <w:p w14:paraId="3A953B61">
            <w:pPr>
              <w:spacing w:line="320" w:lineRule="exact"/>
              <w:rPr>
                <w:rFonts w:ascii="宋体" w:hAnsi="宋体" w:eastAsia="宋体" w:cs="宋体"/>
                <w:b/>
                <w:sz w:val="21"/>
                <w:szCs w:val="21"/>
                <w:lang w:val="en-US" w:eastAsia="zh-CN" w:bidi="ar-SA"/>
              </w:rPr>
            </w:pPr>
          </w:p>
        </w:tc>
        <w:tc>
          <w:tcPr>
            <w:tcW w:w="577" w:type="dxa"/>
            <w:vMerge w:val="continue"/>
            <w:tcBorders>
              <w:bottom w:val="single" w:color="808080" w:sz="8" w:space="0"/>
              <w:right w:val="single" w:color="808080" w:sz="8" w:space="0"/>
            </w:tcBorders>
            <w:vAlign w:val="center"/>
          </w:tcPr>
          <w:p w14:paraId="5F2F1192">
            <w:pPr>
              <w:spacing w:line="320" w:lineRule="exact"/>
              <w:rPr>
                <w:rFonts w:ascii="宋体" w:hAnsi="宋体" w:eastAsia="宋体" w:cs="宋体"/>
                <w:b/>
                <w:sz w:val="21"/>
                <w:szCs w:val="21"/>
                <w:lang w:val="en-US" w:eastAsia="zh-CN" w:bidi="ar-SA"/>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05FE95BA">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安全保护</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C5D34BF">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参照《市道路照明设施维护质量标准》</w:t>
            </w:r>
          </w:p>
        </w:tc>
        <w:tc>
          <w:tcPr>
            <w:tcW w:w="2431" w:type="dxa"/>
            <w:vMerge w:val="continue"/>
            <w:tcBorders>
              <w:bottom w:val="single" w:color="808080" w:sz="8" w:space="0"/>
              <w:right w:val="single" w:color="808080" w:sz="8" w:space="0"/>
            </w:tcBorders>
            <w:vAlign w:val="center"/>
          </w:tcPr>
          <w:p w14:paraId="212F3501">
            <w:pPr>
              <w:spacing w:line="320" w:lineRule="exact"/>
              <w:rPr>
                <w:rFonts w:ascii="宋体" w:hAnsi="宋体" w:eastAsia="宋体" w:cs="宋体"/>
                <w:b/>
                <w:sz w:val="21"/>
                <w:szCs w:val="21"/>
                <w:lang w:val="en-US" w:eastAsia="zh-CN" w:bidi="ar-SA"/>
              </w:rPr>
            </w:pP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3D4E96E5">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7E2C09E5">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09" w:hRule="atLeast"/>
          <w:jc w:val="center"/>
        </w:trPr>
        <w:tc>
          <w:tcPr>
            <w:tcW w:w="650"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5E51BF4A">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bCs/>
                <w:sz w:val="21"/>
                <w:szCs w:val="21"/>
                <w:lang w:val="en-US" w:eastAsia="zh-CN" w:bidi="ar-SA"/>
              </w:rPr>
              <w:t>5</w:t>
            </w:r>
          </w:p>
        </w:tc>
        <w:tc>
          <w:tcPr>
            <w:tcW w:w="577" w:type="dxa"/>
            <w:vMerge w:val="restart"/>
            <w:tcBorders>
              <w:bottom w:val="single" w:color="808080" w:sz="8" w:space="0"/>
              <w:right w:val="single" w:color="808080" w:sz="8" w:space="0"/>
            </w:tcBorders>
            <w:tcMar>
              <w:top w:w="57" w:type="dxa"/>
              <w:left w:w="57" w:type="dxa"/>
              <w:bottom w:w="57" w:type="dxa"/>
              <w:right w:w="57" w:type="dxa"/>
            </w:tcMar>
            <w:vAlign w:val="center"/>
          </w:tcPr>
          <w:p w14:paraId="11BB7E5F">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运行</w:t>
            </w:r>
          </w:p>
          <w:p w14:paraId="25383A1A">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故障</w:t>
            </w:r>
          </w:p>
        </w:tc>
        <w:tc>
          <w:tcPr>
            <w:tcW w:w="1056" w:type="dxa"/>
            <w:vMerge w:val="restart"/>
            <w:tcBorders>
              <w:bottom w:val="single" w:color="808080" w:sz="8" w:space="0"/>
              <w:right w:val="single" w:color="808080" w:sz="8" w:space="0"/>
            </w:tcBorders>
            <w:tcMar>
              <w:top w:w="57" w:type="dxa"/>
              <w:left w:w="57" w:type="dxa"/>
              <w:bottom w:w="57" w:type="dxa"/>
              <w:right w:w="57" w:type="dxa"/>
            </w:tcMar>
            <w:vAlign w:val="center"/>
          </w:tcPr>
          <w:p w14:paraId="619AD058">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安全</w:t>
            </w:r>
          </w:p>
          <w:p w14:paraId="45D61842">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措施 </w:t>
            </w:r>
          </w:p>
        </w:tc>
        <w:tc>
          <w:tcPr>
            <w:tcW w:w="3493" w:type="dxa"/>
            <w:tcBorders>
              <w:bottom w:val="single" w:color="auto" w:sz="4" w:space="0"/>
              <w:right w:val="single" w:color="808080" w:sz="8" w:space="0"/>
            </w:tcBorders>
            <w:tcMar>
              <w:top w:w="57" w:type="dxa"/>
              <w:left w:w="57" w:type="dxa"/>
              <w:bottom w:w="57" w:type="dxa"/>
              <w:right w:w="57" w:type="dxa"/>
            </w:tcMar>
            <w:vAlign w:val="center"/>
          </w:tcPr>
          <w:p w14:paraId="14BE3008">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1、能源管理单位需要在开灯检修需封道时，应事先经相关部门批准。</w:t>
            </w:r>
          </w:p>
        </w:tc>
        <w:tc>
          <w:tcPr>
            <w:tcW w:w="2431" w:type="dxa"/>
            <w:tcBorders>
              <w:bottom w:val="single" w:color="auto" w:sz="4" w:space="0"/>
              <w:right w:val="single" w:color="808080" w:sz="8" w:space="0"/>
            </w:tcBorders>
            <w:tcMar>
              <w:top w:w="57" w:type="dxa"/>
              <w:left w:w="57" w:type="dxa"/>
              <w:bottom w:w="57" w:type="dxa"/>
              <w:right w:w="57" w:type="dxa"/>
            </w:tcMar>
            <w:vAlign w:val="bottom"/>
          </w:tcPr>
          <w:p w14:paraId="230154C4">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1、未获批准实施检修一次扣2000元</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0D60E77E">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47E83034">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98" w:hRule="atLeast"/>
          <w:jc w:val="center"/>
        </w:trPr>
        <w:tc>
          <w:tcPr>
            <w:tcW w:w="650" w:type="dxa"/>
            <w:vMerge w:val="continue"/>
            <w:tcBorders>
              <w:left w:val="single" w:color="808080" w:sz="8" w:space="0"/>
              <w:bottom w:val="single" w:color="808080" w:sz="8" w:space="0"/>
              <w:right w:val="single" w:color="808080" w:sz="8" w:space="0"/>
            </w:tcBorders>
            <w:vAlign w:val="center"/>
          </w:tcPr>
          <w:p w14:paraId="78B13538">
            <w:pPr>
              <w:spacing w:line="320" w:lineRule="exact"/>
              <w:rPr>
                <w:rFonts w:ascii="宋体" w:hAnsi="宋体" w:eastAsia="宋体" w:cs="宋体"/>
                <w:b/>
                <w:sz w:val="21"/>
                <w:szCs w:val="21"/>
                <w:lang w:val="en-US" w:eastAsia="zh-CN" w:bidi="ar-SA"/>
              </w:rPr>
            </w:pPr>
          </w:p>
        </w:tc>
        <w:tc>
          <w:tcPr>
            <w:tcW w:w="577" w:type="dxa"/>
            <w:vMerge w:val="continue"/>
            <w:tcBorders>
              <w:bottom w:val="single" w:color="808080" w:sz="8" w:space="0"/>
              <w:right w:val="single" w:color="808080" w:sz="8" w:space="0"/>
            </w:tcBorders>
            <w:vAlign w:val="center"/>
          </w:tcPr>
          <w:p w14:paraId="021FBEC2">
            <w:pPr>
              <w:spacing w:line="320" w:lineRule="exact"/>
              <w:rPr>
                <w:rFonts w:ascii="宋体" w:hAnsi="宋体" w:eastAsia="宋体" w:cs="宋体"/>
                <w:b/>
                <w:sz w:val="21"/>
                <w:szCs w:val="21"/>
                <w:lang w:val="en-US" w:eastAsia="zh-CN" w:bidi="ar-SA"/>
              </w:rPr>
            </w:pPr>
          </w:p>
        </w:tc>
        <w:tc>
          <w:tcPr>
            <w:tcW w:w="1056" w:type="dxa"/>
            <w:vMerge w:val="continue"/>
            <w:tcBorders>
              <w:bottom w:val="single" w:color="808080" w:sz="8" w:space="0"/>
              <w:right w:val="single" w:color="808080" w:sz="8" w:space="0"/>
            </w:tcBorders>
            <w:vAlign w:val="center"/>
          </w:tcPr>
          <w:p w14:paraId="176911FC">
            <w:pPr>
              <w:spacing w:line="320" w:lineRule="exact"/>
              <w:rPr>
                <w:rFonts w:ascii="宋体" w:hAnsi="宋体" w:eastAsia="宋体" w:cs="宋体"/>
                <w:b/>
                <w:sz w:val="21"/>
                <w:szCs w:val="21"/>
                <w:lang w:val="en-US" w:eastAsia="zh-CN" w:bidi="ar-SA"/>
              </w:rPr>
            </w:pPr>
          </w:p>
        </w:tc>
        <w:tc>
          <w:tcPr>
            <w:tcW w:w="3493"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546B1507">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2、没有因运行故障造成的成片或成线的灭灯。</w:t>
            </w:r>
          </w:p>
        </w:tc>
        <w:tc>
          <w:tcPr>
            <w:tcW w:w="2431" w:type="dxa"/>
            <w:tcBorders>
              <w:top w:val="single" w:color="auto" w:sz="4" w:space="0"/>
              <w:bottom w:val="single" w:color="808080" w:sz="8" w:space="0"/>
              <w:right w:val="single" w:color="808080" w:sz="8" w:space="0"/>
            </w:tcBorders>
            <w:vAlign w:val="center"/>
          </w:tcPr>
          <w:p w14:paraId="794E3024">
            <w:pPr>
              <w:spacing w:line="320" w:lineRule="exac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1、运行故障每次扣20000元</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106ECA89">
            <w:pPr>
              <w:spacing w:line="320" w:lineRule="exact"/>
              <w:ind w:firstLine="88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6DF72690">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4247" w:hRule="atLeast"/>
          <w:jc w:val="center"/>
        </w:trPr>
        <w:tc>
          <w:tcPr>
            <w:tcW w:w="650"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1B9709A8">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bCs/>
                <w:sz w:val="21"/>
                <w:szCs w:val="21"/>
                <w:lang w:val="en-US" w:eastAsia="zh-CN" w:bidi="ar-SA"/>
              </w:rPr>
              <w:t>6</w:t>
            </w:r>
          </w:p>
        </w:tc>
        <w:tc>
          <w:tcPr>
            <w:tcW w:w="577" w:type="dxa"/>
            <w:tcBorders>
              <w:bottom w:val="single" w:color="808080" w:sz="8" w:space="0"/>
              <w:right w:val="single" w:color="808080" w:sz="8" w:space="0"/>
            </w:tcBorders>
            <w:tcMar>
              <w:top w:w="57" w:type="dxa"/>
              <w:left w:w="57" w:type="dxa"/>
              <w:bottom w:w="57" w:type="dxa"/>
              <w:right w:w="57" w:type="dxa"/>
            </w:tcMar>
            <w:vAlign w:val="center"/>
          </w:tcPr>
          <w:p w14:paraId="4F8B1A8A">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完成社会承诺</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35E5090F">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58C73E74">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1、一般故障24小时内修复，复杂故障72小时内修复遇恶劣天气、工程量较大等特殊原因除外）</w:t>
            </w:r>
          </w:p>
          <w:p w14:paraId="0DEC2CED">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2、投诉及故障处理结束后，应在24小时内将处理情况报公运中心，同时回复反映人。</w:t>
            </w:r>
          </w:p>
          <w:p w14:paraId="0D4026B4">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3、接收业主或最多一小时指挥中心指令的必须在30分钟赶到现场，采取紧急措施，排除险情。</w:t>
            </w:r>
          </w:p>
          <w:p w14:paraId="731AB24F">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4、接收业主或最多一小时指挥中心派单的，按派单限定期限处理完成，无法完成的，需提前报最多一小时指挥中心同意。</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241AE3EC">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1、各类故障、事故未按期修复的，每拖延一天（24小时）扣除10000元/次（盏、套）天</w:t>
            </w:r>
          </w:p>
          <w:p w14:paraId="7C3ED367">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2、投诉未能及时修复或故障未能彻底修复引起重复投诉，每次扣3000元</w:t>
            </w:r>
          </w:p>
          <w:p w14:paraId="6793D1C6">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3、抢修未能在规定时间内赶到现场的每次扣3000元</w:t>
            </w:r>
          </w:p>
          <w:p w14:paraId="2096B8AA">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4、未及时回复的每次扣5000元</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327FF193">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2E5C2D8C">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179" w:hRule="atLeast"/>
          <w:jc w:val="center"/>
        </w:trPr>
        <w:tc>
          <w:tcPr>
            <w:tcW w:w="650"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126EE93E">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bCs/>
                <w:sz w:val="21"/>
                <w:szCs w:val="21"/>
                <w:lang w:val="en-US" w:eastAsia="zh-CN" w:bidi="ar-SA"/>
              </w:rPr>
              <w:t>7</w:t>
            </w:r>
          </w:p>
        </w:tc>
        <w:tc>
          <w:tcPr>
            <w:tcW w:w="577" w:type="dxa"/>
            <w:tcBorders>
              <w:bottom w:val="single" w:color="808080" w:sz="8" w:space="0"/>
              <w:right w:val="single" w:color="808080" w:sz="8" w:space="0"/>
            </w:tcBorders>
            <w:tcMar>
              <w:top w:w="57" w:type="dxa"/>
              <w:left w:w="57" w:type="dxa"/>
              <w:bottom w:w="57" w:type="dxa"/>
              <w:right w:w="57" w:type="dxa"/>
            </w:tcMar>
            <w:vAlign w:val="center"/>
          </w:tcPr>
          <w:p w14:paraId="2D4192F4">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安全</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25AFF1B6">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486B1C44">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无重大安全责任事故</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3F1A5429">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1、安全措施未落实，每次扣5000元</w:t>
            </w:r>
          </w:p>
          <w:p w14:paraId="262CA65B">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2、发生全责或主责的人身伤害事故和重大财产损失，根据市安全生产管理规定相关要求执行；发生次责的根据事故造成危害程度确定。</w:t>
            </w:r>
          </w:p>
          <w:p w14:paraId="5257BE5F">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3、发生责任死亡事故，中止合同。</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5121BBD5">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53349E2F">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875" w:hRule="atLeast"/>
          <w:jc w:val="center"/>
        </w:trPr>
        <w:tc>
          <w:tcPr>
            <w:tcW w:w="650"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5F900BC4">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bCs/>
                <w:sz w:val="21"/>
                <w:szCs w:val="21"/>
                <w:lang w:val="en-US" w:eastAsia="zh-CN" w:bidi="ar-SA"/>
              </w:rPr>
              <w:t>8</w:t>
            </w:r>
          </w:p>
        </w:tc>
        <w:tc>
          <w:tcPr>
            <w:tcW w:w="577" w:type="dxa"/>
            <w:tcBorders>
              <w:bottom w:val="single" w:color="808080" w:sz="8" w:space="0"/>
              <w:right w:val="single" w:color="808080" w:sz="8" w:space="0"/>
            </w:tcBorders>
            <w:tcMar>
              <w:top w:w="57" w:type="dxa"/>
              <w:left w:w="57" w:type="dxa"/>
              <w:bottom w:w="57" w:type="dxa"/>
              <w:right w:w="57" w:type="dxa"/>
            </w:tcMar>
            <w:vAlign w:val="center"/>
          </w:tcPr>
          <w:p w14:paraId="5BE2E480">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台帐</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582BA7EB">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3E0B1B2A">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1、年度、月度维护作业计划（根据巡修频次制定）</w:t>
            </w:r>
          </w:p>
          <w:p w14:paraId="4FACCC62">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2、维护技术文件（路灯分布图、控制系统图、变压器、节电器等相关技术资料）</w:t>
            </w:r>
          </w:p>
          <w:p w14:paraId="74954216">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3、维护管理台帐（值班制度、人员培训、应急预案等）</w:t>
            </w:r>
          </w:p>
          <w:p w14:paraId="1A8A5AE0">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4、巡查维修台帐</w:t>
            </w:r>
          </w:p>
          <w:p w14:paraId="7C18B115">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5、安全工作台帐（制定安全生产责任制及网络图、人员培训、安全生产检查制度、安全操作规程、安全隐患排查等）</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3BD9C70C">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1、无相关台帐，每缺一项扣500元</w:t>
            </w:r>
          </w:p>
          <w:p w14:paraId="253CE3EE">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2、未按计划进行巡修，每次扣500元</w:t>
            </w:r>
          </w:p>
          <w:p w14:paraId="4D3BE23E">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2、台帐不完整或数据不准确，每处扣200元</w:t>
            </w:r>
          </w:p>
          <w:p w14:paraId="01E594EE">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3、在规定巡修周期内应发现并及时处理或汇报的设施问题，未及时处理或汇报，每处扣200元</w:t>
            </w:r>
          </w:p>
          <w:p w14:paraId="76746114">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05F9B2A9">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2B929834">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50"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29B15E1">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bCs/>
                <w:sz w:val="21"/>
                <w:szCs w:val="21"/>
                <w:lang w:val="en-US" w:eastAsia="zh-CN" w:bidi="ar-SA"/>
              </w:rPr>
              <w:t>9</w:t>
            </w:r>
          </w:p>
        </w:tc>
        <w:tc>
          <w:tcPr>
            <w:tcW w:w="577" w:type="dxa"/>
            <w:tcBorders>
              <w:bottom w:val="single" w:color="808080" w:sz="8" w:space="0"/>
              <w:right w:val="single" w:color="808080" w:sz="8" w:space="0"/>
            </w:tcBorders>
            <w:tcMar>
              <w:top w:w="57" w:type="dxa"/>
              <w:left w:w="57" w:type="dxa"/>
              <w:bottom w:w="57" w:type="dxa"/>
              <w:right w:w="57" w:type="dxa"/>
            </w:tcMar>
            <w:vAlign w:val="center"/>
          </w:tcPr>
          <w:p w14:paraId="36441A0B">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其他</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144C1A3D">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74606B53">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1、能源管理单位不得擅自变更投标时所承诺的设计、所用光源及规格品牌等，如需变更均应事先报告公运中心批准。</w:t>
            </w:r>
          </w:p>
          <w:p w14:paraId="3B2CD952">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2、能源管理单位及职工不得在照明设施上私拉乱接其他供用电设施。</w:t>
            </w:r>
          </w:p>
          <w:p w14:paraId="717B7769">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3、能源管理单位应注意发现下列情况并及时上报、配合处理：（1）擅自拆除、迁移道路照明设施，（2）在道路照明设施附近堆放杂物、挖坑取土、兴建建（构）筑物，（3）在道路照明灯杆上架设通信电缆和安置其他设施等违章行为，（4）巡查发现私自接用路灯电源。</w:t>
            </w:r>
          </w:p>
          <w:p w14:paraId="28D5B4C7">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4、能源管理单位需遵守文明施工相关规定，不得擅自开挖道路，确需开挖的应办理相关审批手续。</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35836039">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1、擅自改变照明设施的，每处扣10000元</w:t>
            </w:r>
          </w:p>
          <w:p w14:paraId="5E4D99EA">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2、擅自转供其他用电设施的，每处扣10000元</w:t>
            </w:r>
          </w:p>
          <w:p w14:paraId="4626EF33">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3、未能及时发现私接路灯用电的，每处扣20000元</w:t>
            </w:r>
          </w:p>
          <w:p w14:paraId="39B02591">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4、未能及时发现擅自拆除、迁移、私自接用路灯电源等危害公共照明设施行为的，每次扣50000元</w:t>
            </w:r>
          </w:p>
          <w:p w14:paraId="2548107C">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5、未遵守文明施工相关规定，每次扣2000元</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46678B4C">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5FE0AD9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661" w:hRule="atLeast"/>
          <w:jc w:val="center"/>
        </w:trPr>
        <w:tc>
          <w:tcPr>
            <w:tcW w:w="650"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5F3C8B41">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bCs/>
                <w:sz w:val="21"/>
                <w:szCs w:val="21"/>
                <w:lang w:val="en-US" w:eastAsia="zh-CN" w:bidi="ar-SA"/>
              </w:rPr>
              <w:t>10</w:t>
            </w:r>
          </w:p>
        </w:tc>
        <w:tc>
          <w:tcPr>
            <w:tcW w:w="577" w:type="dxa"/>
            <w:tcBorders>
              <w:bottom w:val="single" w:color="808080" w:sz="8" w:space="0"/>
              <w:right w:val="single" w:color="808080" w:sz="8" w:space="0"/>
            </w:tcBorders>
            <w:tcMar>
              <w:top w:w="57" w:type="dxa"/>
              <w:left w:w="57" w:type="dxa"/>
              <w:bottom w:w="57" w:type="dxa"/>
              <w:right w:w="57" w:type="dxa"/>
            </w:tcMar>
            <w:vAlign w:val="center"/>
          </w:tcPr>
          <w:p w14:paraId="79D5506E">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维修及时考核要 求</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21A0B96E">
            <w:pPr>
              <w:spacing w:line="320" w:lineRule="exact"/>
              <w:ind w:firstLine="48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57FD4F6D">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公运中心将养护中发现和存在的问题以限期整改意见书形式通知能源管理单位，能源管理单位需在规定期限内予以改正。</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73ED3981">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如超出期限七个工作日未改正的每次予以扣2000元，超过二周未改正的每次予以扣10000元。</w:t>
            </w:r>
          </w:p>
        </w:tc>
        <w:tc>
          <w:tcPr>
            <w:tcW w:w="631" w:type="dxa"/>
            <w:tcBorders>
              <w:bottom w:val="single" w:color="808080" w:sz="8" w:space="0"/>
              <w:right w:val="single" w:color="808080" w:sz="8" w:space="0"/>
            </w:tcBorders>
            <w:tcMar>
              <w:top w:w="57" w:type="dxa"/>
              <w:left w:w="57" w:type="dxa"/>
              <w:bottom w:w="57" w:type="dxa"/>
              <w:right w:w="57" w:type="dxa"/>
            </w:tcMar>
            <w:vAlign w:val="center"/>
          </w:tcPr>
          <w:p w14:paraId="357E9C48">
            <w:pPr>
              <w:spacing w:line="320" w:lineRule="exact"/>
              <w:ind w:firstLine="48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068F9AB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950" w:hRule="atLeast"/>
          <w:jc w:val="center"/>
        </w:trPr>
        <w:tc>
          <w:tcPr>
            <w:tcW w:w="650" w:type="dxa"/>
            <w:tcBorders>
              <w:left w:val="single" w:color="808080" w:sz="8" w:space="0"/>
              <w:bottom w:val="single" w:color="auto" w:sz="4" w:space="0"/>
              <w:right w:val="single" w:color="808080" w:sz="8" w:space="0"/>
            </w:tcBorders>
            <w:tcMar>
              <w:top w:w="57" w:type="dxa"/>
              <w:left w:w="57" w:type="dxa"/>
              <w:bottom w:w="57" w:type="dxa"/>
              <w:right w:w="57" w:type="dxa"/>
            </w:tcMar>
            <w:vAlign w:val="center"/>
          </w:tcPr>
          <w:p w14:paraId="2E9D1D14">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bCs/>
                <w:sz w:val="21"/>
                <w:szCs w:val="21"/>
                <w:lang w:val="en-US" w:eastAsia="zh-CN" w:bidi="ar-SA"/>
              </w:rPr>
              <w:t>11</w:t>
            </w:r>
          </w:p>
        </w:tc>
        <w:tc>
          <w:tcPr>
            <w:tcW w:w="577" w:type="dxa"/>
            <w:tcBorders>
              <w:bottom w:val="single" w:color="auto" w:sz="4" w:space="0"/>
              <w:right w:val="single" w:color="808080" w:sz="8" w:space="0"/>
            </w:tcBorders>
            <w:tcMar>
              <w:top w:w="57" w:type="dxa"/>
              <w:left w:w="57" w:type="dxa"/>
              <w:bottom w:w="57" w:type="dxa"/>
              <w:right w:w="57" w:type="dxa"/>
            </w:tcMar>
            <w:vAlign w:val="center"/>
          </w:tcPr>
          <w:p w14:paraId="7D99A77D">
            <w:pPr>
              <w:spacing w:line="320" w:lineRule="exact"/>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大型活动保障</w:t>
            </w:r>
          </w:p>
        </w:tc>
        <w:tc>
          <w:tcPr>
            <w:tcW w:w="1056" w:type="dxa"/>
            <w:tcBorders>
              <w:bottom w:val="single" w:color="auto" w:sz="4" w:space="0"/>
              <w:right w:val="single" w:color="808080" w:sz="8" w:space="0"/>
            </w:tcBorders>
            <w:tcMar>
              <w:top w:w="57" w:type="dxa"/>
              <w:left w:w="57" w:type="dxa"/>
              <w:bottom w:w="57" w:type="dxa"/>
              <w:right w:w="57" w:type="dxa"/>
            </w:tcMar>
            <w:vAlign w:val="center"/>
          </w:tcPr>
          <w:p w14:paraId="5649CE2B">
            <w:pPr>
              <w:spacing w:line="320" w:lineRule="exact"/>
              <w:ind w:firstLine="42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c>
          <w:tcPr>
            <w:tcW w:w="3493" w:type="dxa"/>
            <w:tcBorders>
              <w:bottom w:val="single" w:color="auto" w:sz="4" w:space="0"/>
              <w:right w:val="single" w:color="808080" w:sz="8" w:space="0"/>
            </w:tcBorders>
            <w:tcMar>
              <w:top w:w="57" w:type="dxa"/>
              <w:left w:w="57" w:type="dxa"/>
              <w:bottom w:w="57" w:type="dxa"/>
              <w:right w:w="57" w:type="dxa"/>
            </w:tcMar>
            <w:vAlign w:val="center"/>
          </w:tcPr>
          <w:p w14:paraId="56EDD3AC">
            <w:pPr>
              <w:spacing w:line="320" w:lineRule="exact"/>
              <w:jc w:val="left"/>
              <w:rPr>
                <w:rFonts w:ascii="宋体" w:hAnsi="宋体" w:eastAsia="宋体" w:cs="宋体"/>
                <w:b/>
                <w:sz w:val="21"/>
                <w:szCs w:val="21"/>
                <w:lang w:val="en-US" w:eastAsia="zh-CN" w:bidi="ar-SA"/>
              </w:rPr>
            </w:pPr>
            <w:r>
              <w:rPr>
                <w:rFonts w:hint="eastAsia" w:ascii="宋体" w:hAnsi="宋体" w:eastAsia="宋体" w:cs="宋体"/>
                <w:b/>
                <w:sz w:val="21"/>
                <w:szCs w:val="21"/>
                <w:highlight w:val="none"/>
                <w:lang w:val="en-US" w:eastAsia="zh-CN" w:bidi="ar-SA"/>
              </w:rPr>
              <w:t>路灯能源管理单位应保障市、区举办的各类国际国内会议及大型节庆活动亮灯状况，活动前一周能源管理单位应反复检查养护区域内设施，及时排除或修复各类故障，要求亮灯率、设施完好率达到考核时指标，活动当天应安排工作人员现场保障</w:t>
            </w:r>
            <w:r>
              <w:rPr>
                <w:rFonts w:hint="eastAsia" w:ascii="宋体" w:hAnsi="宋体" w:eastAsia="宋体" w:cs="宋体"/>
                <w:b/>
                <w:bCs/>
                <w:sz w:val="21"/>
                <w:szCs w:val="21"/>
                <w:highlight w:val="none"/>
                <w:lang w:val="en-US" w:eastAsia="zh-CN" w:bidi="ar-SA"/>
              </w:rPr>
              <w:t>，在接到公运中心或相关部门的书面通知后未响应的，公运中心有权委托他人维护，所发生的费用从能源管理单位维护费中扣除。</w:t>
            </w:r>
          </w:p>
        </w:tc>
        <w:tc>
          <w:tcPr>
            <w:tcW w:w="2431" w:type="dxa"/>
            <w:tcBorders>
              <w:bottom w:val="single" w:color="auto" w:sz="4" w:space="0"/>
              <w:right w:val="single" w:color="808080" w:sz="8" w:space="0"/>
            </w:tcBorders>
            <w:tcMar>
              <w:top w:w="57" w:type="dxa"/>
              <w:left w:w="57" w:type="dxa"/>
              <w:bottom w:w="57" w:type="dxa"/>
              <w:right w:w="57" w:type="dxa"/>
            </w:tcMar>
            <w:vAlign w:val="center"/>
          </w:tcPr>
          <w:p w14:paraId="6FDE4D95">
            <w:pPr>
              <w:spacing w:line="320" w:lineRule="exact"/>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活动期间保障不力，每处扣10000元.</w:t>
            </w:r>
          </w:p>
        </w:tc>
        <w:tc>
          <w:tcPr>
            <w:tcW w:w="631" w:type="dxa"/>
            <w:tcBorders>
              <w:bottom w:val="single" w:color="auto" w:sz="4" w:space="0"/>
              <w:right w:val="single" w:color="808080" w:sz="8" w:space="0"/>
            </w:tcBorders>
            <w:tcMar>
              <w:top w:w="57" w:type="dxa"/>
              <w:left w:w="57" w:type="dxa"/>
              <w:bottom w:w="57" w:type="dxa"/>
              <w:right w:w="57" w:type="dxa"/>
            </w:tcMar>
            <w:vAlign w:val="center"/>
          </w:tcPr>
          <w:p w14:paraId="418D799F">
            <w:pPr>
              <w:spacing w:line="320" w:lineRule="exact"/>
              <w:ind w:firstLine="880"/>
              <w:jc w:val="center"/>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 </w:t>
            </w:r>
          </w:p>
        </w:tc>
      </w:tr>
      <w:tr w14:paraId="33579B2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69" w:hRule="atLeast"/>
          <w:jc w:val="center"/>
        </w:trPr>
        <w:tc>
          <w:tcPr>
            <w:tcW w:w="650" w:type="dxa"/>
            <w:tcBorders>
              <w:top w:val="single" w:color="auto" w:sz="4" w:space="0"/>
              <w:left w:val="single" w:color="808080" w:sz="8" w:space="0"/>
              <w:bottom w:val="single" w:color="808080" w:sz="8" w:space="0"/>
              <w:right w:val="single" w:color="808080" w:sz="8" w:space="0"/>
            </w:tcBorders>
            <w:tcMar>
              <w:top w:w="57" w:type="dxa"/>
              <w:left w:w="57" w:type="dxa"/>
              <w:bottom w:w="57" w:type="dxa"/>
              <w:right w:w="57" w:type="dxa"/>
            </w:tcMar>
            <w:vAlign w:val="center"/>
          </w:tcPr>
          <w:p w14:paraId="75BFB975">
            <w:pPr>
              <w:spacing w:line="320" w:lineRule="exact"/>
              <w:jc w:val="both"/>
              <w:rPr>
                <w:rFonts w:hint="eastAsia"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12</w:t>
            </w:r>
          </w:p>
        </w:tc>
        <w:tc>
          <w:tcPr>
            <w:tcW w:w="577"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333925E4">
            <w:pPr>
              <w:spacing w:line="320" w:lineRule="exact"/>
              <w:jc w:val="both"/>
              <w:rPr>
                <w:rFonts w:hint="eastAsia"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按时缴纳电费</w:t>
            </w:r>
          </w:p>
        </w:tc>
        <w:tc>
          <w:tcPr>
            <w:tcW w:w="1056"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597ADF1A">
            <w:pPr>
              <w:spacing w:line="320" w:lineRule="exact"/>
              <w:jc w:val="both"/>
              <w:rPr>
                <w:rFonts w:hint="eastAsia" w:ascii="宋体" w:hAnsi="宋体" w:eastAsia="宋体" w:cs="宋体"/>
                <w:b/>
                <w:sz w:val="21"/>
                <w:szCs w:val="21"/>
                <w:lang w:val="en-US" w:eastAsia="zh-CN" w:bidi="ar-SA"/>
              </w:rPr>
            </w:pPr>
          </w:p>
        </w:tc>
        <w:tc>
          <w:tcPr>
            <w:tcW w:w="3493"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6CAF7F3E">
            <w:pPr>
              <w:spacing w:line="320" w:lineRule="exact"/>
              <w:jc w:val="left"/>
              <w:rPr>
                <w:rFonts w:hint="eastAsia"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能源</w:t>
            </w:r>
            <w:r>
              <w:rPr>
                <w:rFonts w:hint="eastAsia" w:ascii="宋体" w:hAnsi="宋体" w:eastAsia="宋体" w:cs="宋体"/>
                <w:b/>
                <w:color w:val="auto"/>
                <w:sz w:val="21"/>
                <w:szCs w:val="21"/>
                <w:lang w:val="en-US" w:eastAsia="zh-CN" w:bidi="ar-SA"/>
              </w:rPr>
              <w:t>管理</w:t>
            </w:r>
            <w:r>
              <w:rPr>
                <w:rFonts w:hint="eastAsia" w:ascii="宋体" w:hAnsi="宋体" w:eastAsia="宋体" w:cs="宋体"/>
                <w:b/>
                <w:sz w:val="21"/>
                <w:szCs w:val="21"/>
                <w:lang w:val="en-US" w:eastAsia="zh-CN" w:bidi="ar-SA"/>
              </w:rPr>
              <w:t>单位应该按时缴纳电费</w:t>
            </w:r>
          </w:p>
        </w:tc>
        <w:tc>
          <w:tcPr>
            <w:tcW w:w="2431" w:type="dxa"/>
            <w:tcBorders>
              <w:top w:val="single" w:color="auto" w:sz="4" w:space="0"/>
              <w:bottom w:val="single" w:color="808080" w:sz="8" w:space="0"/>
              <w:right w:val="single" w:color="808080" w:sz="8" w:space="0"/>
            </w:tcBorders>
            <w:tcMar>
              <w:top w:w="57" w:type="dxa"/>
              <w:left w:w="57" w:type="dxa"/>
              <w:bottom w:w="57" w:type="dxa"/>
              <w:right w:w="57" w:type="dxa"/>
            </w:tcMar>
            <w:vAlign w:val="bottom"/>
          </w:tcPr>
          <w:p w14:paraId="07746099">
            <w:pPr>
              <w:spacing w:line="320" w:lineRule="exact"/>
              <w:jc w:val="both"/>
              <w:rPr>
                <w:rFonts w:hint="eastAsia"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有一次延误电费缴纳承担滞纳金，并且罚款100000元</w:t>
            </w:r>
          </w:p>
        </w:tc>
        <w:tc>
          <w:tcPr>
            <w:tcW w:w="631"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49CDC265">
            <w:pPr>
              <w:spacing w:line="320" w:lineRule="exact"/>
              <w:jc w:val="both"/>
              <w:rPr>
                <w:rFonts w:hint="eastAsia" w:ascii="宋体" w:hAnsi="宋体" w:eastAsia="宋体" w:cs="宋体"/>
                <w:b/>
                <w:sz w:val="21"/>
                <w:szCs w:val="21"/>
                <w:lang w:val="en-US" w:eastAsia="zh-CN" w:bidi="ar-SA"/>
              </w:rPr>
            </w:pPr>
          </w:p>
        </w:tc>
      </w:tr>
    </w:tbl>
    <w:p w14:paraId="38D24BA9">
      <w:pPr>
        <w:spacing w:before="181" w:after="181"/>
        <w:ind w:left="-386" w:firstLine="420"/>
        <w:rPr>
          <w:rFonts w:hint="eastAsia" w:ascii="宋体" w:hAnsi="宋体" w:eastAsia="宋体" w:cs="宋体"/>
          <w:b/>
          <w:sz w:val="16"/>
          <w:szCs w:val="16"/>
          <w:lang w:val="en-US" w:eastAsia="zh-CN" w:bidi="ar-SA"/>
        </w:rPr>
      </w:pPr>
      <w:r>
        <w:rPr>
          <w:rFonts w:ascii="宋体" w:hAnsi="宋体" w:eastAsia="宋体" w:cs="宋体"/>
          <w:b/>
          <w:sz w:val="16"/>
          <w:szCs w:val="16"/>
          <w:lang w:val="en-US" w:eastAsia="zh-CN" w:bidi="ar-SA"/>
        </w:rPr>
        <w:t>注、1、</w:t>
      </w:r>
      <w:r>
        <w:rPr>
          <w:rFonts w:hint="eastAsia" w:ascii="宋体" w:hAnsi="宋体" w:eastAsia="宋体" w:cs="宋体"/>
          <w:b/>
          <w:sz w:val="16"/>
          <w:szCs w:val="16"/>
          <w:lang w:val="en-US" w:eastAsia="zh-CN" w:bidi="ar-SA"/>
        </w:rPr>
        <w:t>采购人</w:t>
      </w:r>
      <w:r>
        <w:rPr>
          <w:rFonts w:ascii="宋体" w:hAnsi="宋体" w:eastAsia="宋体" w:cs="宋体"/>
          <w:b/>
          <w:sz w:val="16"/>
          <w:szCs w:val="16"/>
          <w:lang w:val="en-US" w:eastAsia="zh-CN" w:bidi="ar-SA"/>
        </w:rPr>
        <w:t>对道路照明设施的维修养护进行检查和考核，考核方式采取定期检查和随机抽查相结合的方法进行。随机抽查每</w:t>
      </w:r>
      <w:r>
        <w:rPr>
          <w:rFonts w:hint="eastAsia" w:ascii="宋体" w:hAnsi="宋体" w:eastAsia="宋体" w:cs="宋体"/>
          <w:b/>
          <w:sz w:val="16"/>
          <w:szCs w:val="16"/>
          <w:lang w:val="en-US" w:eastAsia="zh-CN" w:bidi="ar-SA"/>
        </w:rPr>
        <w:t>月</w:t>
      </w:r>
      <w:r>
        <w:rPr>
          <w:rFonts w:ascii="宋体" w:hAnsi="宋体" w:eastAsia="宋体" w:cs="宋体"/>
          <w:b/>
          <w:sz w:val="16"/>
          <w:szCs w:val="16"/>
          <w:lang w:val="en-US" w:eastAsia="zh-CN" w:bidi="ar-SA"/>
        </w:rPr>
        <w:t>不低于1次。</w:t>
      </w:r>
      <w:r>
        <w:rPr>
          <w:rFonts w:hint="eastAsia" w:ascii="宋体" w:hAnsi="宋体" w:eastAsia="宋体" w:cs="宋体"/>
          <w:b/>
          <w:sz w:val="16"/>
          <w:szCs w:val="16"/>
          <w:lang w:val="en-US" w:eastAsia="zh-CN" w:bidi="ar-SA"/>
        </w:rPr>
        <w:t>最终以合同签订的实际条款为准。</w:t>
      </w:r>
    </w:p>
    <w:p w14:paraId="2E7109AE">
      <w:pPr>
        <w:spacing w:before="181" w:after="181"/>
        <w:ind w:left="-386" w:firstLine="420"/>
        <w:rPr>
          <w:rFonts w:ascii="黑体" w:hAnsi="黑体" w:eastAsia="黑体" w:cs="Times New Roman"/>
          <w:b/>
          <w:sz w:val="32"/>
          <w:szCs w:val="24"/>
          <w:lang w:val="en-US" w:eastAsia="zh-CN" w:bidi="ar-SA"/>
        </w:rPr>
      </w:pPr>
      <w:r>
        <w:rPr>
          <w:rFonts w:hint="eastAsia" w:ascii="宋体" w:hAnsi="宋体" w:eastAsia="宋体" w:cs="宋体"/>
          <w:b/>
          <w:sz w:val="16"/>
          <w:szCs w:val="16"/>
          <w:lang w:val="en-US" w:eastAsia="zh-CN" w:bidi="ar-SA"/>
        </w:rPr>
        <w:t>2、中标后签订合同之日起，中标单位应对能源委托项目的所有灯具进行维修维护（采购方依照第1条进行检查考核），维修维护费用包含在整体报价中。</w:t>
      </w:r>
    </w:p>
    <w:p w14:paraId="15DC1906">
      <w:pPr>
        <w:pStyle w:val="6"/>
        <w:rPr>
          <w:rFonts w:hint="eastAsia"/>
          <w:lang w:val="en-US" w:eastAsia="zh-Hans"/>
        </w:rPr>
      </w:pPr>
    </w:p>
    <w:p w14:paraId="746B50A1">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（二）预算金额（元）：</w:t>
      </w:r>
      <w:r>
        <w:rPr>
          <w:rFonts w:hint="eastAsia" w:ascii="仿宋" w:hAnsi="仿宋" w:eastAsia="仿宋" w:cs="仿宋"/>
          <w:sz w:val="24"/>
          <w:highlight w:val="none"/>
          <w:u w:val="single"/>
          <w:lang w:val="en-US" w:eastAsia="zh-CN"/>
        </w:rPr>
        <w:t>87405487元</w:t>
      </w:r>
    </w:p>
    <w:p w14:paraId="40FF340B">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（三）需满足的政府采购政策目标和具体支持对象</w:t>
      </w:r>
    </w:p>
    <w:p w14:paraId="005DD153">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sym w:font="Wingdings 2" w:char="0052"/>
      </w:r>
      <w:r>
        <w:rPr>
          <w:rFonts w:hint="eastAsia" w:ascii="仿宋" w:hAnsi="仿宋" w:eastAsia="仿宋" w:cs="仿宋"/>
          <w:sz w:val="24"/>
          <w:highlight w:val="none"/>
        </w:rPr>
        <w:t xml:space="preserve">扶持中小企业 </w:t>
      </w:r>
      <w:r>
        <w:rPr>
          <w:rFonts w:hint="eastAsia" w:ascii="仿宋" w:hAnsi="仿宋" w:eastAsia="仿宋" w:cs="仿宋"/>
          <w:sz w:val="24"/>
          <w:highlight w:val="none"/>
        </w:rPr>
        <w:sym w:font="Wingdings 2" w:char="0052"/>
      </w:r>
      <w:r>
        <w:rPr>
          <w:rFonts w:hint="eastAsia" w:ascii="仿宋" w:hAnsi="仿宋" w:eastAsia="仿宋" w:cs="仿宋"/>
          <w:sz w:val="24"/>
          <w:highlight w:val="none"/>
        </w:rPr>
        <w:t xml:space="preserve">节能环保 </w:t>
      </w:r>
      <w:r>
        <w:rPr>
          <w:rFonts w:hint="eastAsia" w:ascii="仿宋" w:hAnsi="仿宋" w:eastAsia="仿宋" w:cs="仿宋"/>
          <w:sz w:val="24"/>
          <w:highlight w:val="none"/>
        </w:rPr>
        <w:sym w:font="Wingdings 2" w:char="00A3"/>
      </w:r>
      <w:r>
        <w:rPr>
          <w:rFonts w:hint="eastAsia" w:ascii="仿宋" w:hAnsi="仿宋" w:eastAsia="仿宋" w:cs="仿宋"/>
          <w:sz w:val="24"/>
          <w:highlight w:val="none"/>
        </w:rPr>
        <w:t>其他（</w:t>
      </w:r>
      <w:r>
        <w:rPr>
          <w:rFonts w:hint="eastAsia" w:ascii="仿宋" w:hAnsi="仿宋" w:eastAsia="仿宋" w:cs="仿宋"/>
          <w:sz w:val="24"/>
          <w:highlight w:val="none"/>
          <w:u w:val="single"/>
          <w:lang w:val="en-US" w:eastAsia="zh-CN"/>
        </w:rPr>
        <w:t>无</w:t>
      </w:r>
      <w:r>
        <w:rPr>
          <w:rFonts w:hint="eastAsia" w:ascii="仿宋" w:hAnsi="仿宋" w:eastAsia="仿宋" w:cs="仿宋"/>
          <w:sz w:val="24"/>
          <w:highlight w:val="none"/>
        </w:rPr>
        <w:t>）</w:t>
      </w:r>
    </w:p>
    <w:p w14:paraId="1DB9FD31">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（四）采购标的是否进口产品： </w:t>
      </w:r>
      <w:r>
        <w:rPr>
          <w:rFonts w:hint="eastAsia" w:ascii="仿宋" w:hAnsi="仿宋" w:eastAsia="仿宋" w:cs="仿宋"/>
          <w:sz w:val="24"/>
          <w:highlight w:val="none"/>
        </w:rPr>
        <w:sym w:font="Wingdings 2" w:char="F0A3"/>
      </w:r>
      <w:r>
        <w:rPr>
          <w:rFonts w:hint="eastAsia" w:ascii="仿宋" w:hAnsi="仿宋" w:eastAsia="仿宋" w:cs="仿宋"/>
          <w:sz w:val="24"/>
          <w:highlight w:val="none"/>
        </w:rPr>
        <w:t xml:space="preserve">进口 </w:t>
      </w:r>
      <w:r>
        <w:rPr>
          <w:rFonts w:hint="eastAsia" w:ascii="仿宋" w:hAnsi="仿宋" w:eastAsia="仿宋" w:cs="仿宋"/>
          <w:sz w:val="24"/>
          <w:highlight w:val="none"/>
        </w:rPr>
        <w:sym w:font="Wingdings 2" w:char="0052"/>
      </w:r>
      <w:r>
        <w:rPr>
          <w:rFonts w:hint="eastAsia" w:ascii="仿宋" w:hAnsi="仿宋" w:eastAsia="仿宋" w:cs="仿宋"/>
          <w:sz w:val="24"/>
          <w:highlight w:val="none"/>
        </w:rPr>
        <w:t>国产</w:t>
      </w:r>
    </w:p>
    <w:p w14:paraId="1E1484CF">
      <w:pPr>
        <w:spacing w:line="360" w:lineRule="auto"/>
        <w:jc w:val="left"/>
        <w:rPr>
          <w:rFonts w:hint="eastAsia" w:ascii="仿宋" w:hAnsi="仿宋" w:eastAsia="仿宋" w:cs="仿宋"/>
          <w:sz w:val="24"/>
          <w:u w:val="single"/>
        </w:rPr>
      </w:pPr>
    </w:p>
    <w:bookmarkEnd w:id="0"/>
    <w:p w14:paraId="7FC42BD5">
      <w:pPr>
        <w:spacing w:beforeLines="100" w:line="360" w:lineRule="auto"/>
        <w:jc w:val="left"/>
        <w:rPr>
          <w:rFonts w:hint="eastAsia" w:ascii="仿宋" w:hAnsi="仿宋" w:eastAsia="仿宋" w:cs="仿宋"/>
          <w:b/>
          <w:sz w:val="28"/>
          <w:szCs w:val="28"/>
        </w:rPr>
      </w:pPr>
      <w:r>
        <w:rPr>
          <w:rFonts w:hint="eastAsia" w:ascii="仿宋" w:hAnsi="仿宋" w:eastAsia="仿宋" w:cs="仿宋"/>
          <w:b/>
          <w:sz w:val="28"/>
          <w:szCs w:val="28"/>
        </w:rPr>
        <w:t>三、合同订立安排</w:t>
      </w:r>
    </w:p>
    <w:p w14:paraId="46868808">
      <w:pPr>
        <w:spacing w:line="360" w:lineRule="auto"/>
        <w:jc w:val="left"/>
        <w:rPr>
          <w:rFonts w:hint="eastAsia" w:ascii="仿宋" w:hAnsi="仿宋" w:eastAsia="仿宋" w:cs="仿宋"/>
          <w:sz w:val="24"/>
          <w:lang w:val="en-US" w:eastAsia="zh-CN"/>
        </w:rPr>
      </w:pPr>
      <w:r>
        <w:rPr>
          <w:rFonts w:hint="eastAsia" w:ascii="仿宋" w:hAnsi="仿宋" w:eastAsia="仿宋" w:cs="仿宋"/>
          <w:sz w:val="24"/>
        </w:rPr>
        <w:t>（一）采购项目预（概）算（元）：</w:t>
      </w:r>
      <w:r>
        <w:rPr>
          <w:rFonts w:hint="eastAsia" w:ascii="仿宋" w:hAnsi="仿宋" w:eastAsia="仿宋" w:cs="仿宋"/>
          <w:sz w:val="24"/>
          <w:u w:val="single"/>
          <w:lang w:val="en-US" w:eastAsia="zh-CN"/>
        </w:rPr>
        <w:t>87405487</w:t>
      </w:r>
      <w:r>
        <w:rPr>
          <w:rFonts w:hint="eastAsia" w:ascii="仿宋" w:hAnsi="仿宋" w:eastAsia="仿宋" w:cs="仿宋"/>
          <w:sz w:val="24"/>
        </w:rPr>
        <w:t>，最高限价（元）：</w:t>
      </w:r>
      <w:r>
        <w:rPr>
          <w:rFonts w:hint="eastAsia" w:ascii="仿宋" w:hAnsi="仿宋" w:eastAsia="仿宋" w:cs="仿宋"/>
          <w:sz w:val="24"/>
          <w:u w:val="single"/>
          <w:lang w:val="en-US" w:eastAsia="zh-CN"/>
        </w:rPr>
        <w:t>87405487</w:t>
      </w:r>
      <w:r>
        <w:rPr>
          <w:rFonts w:hint="eastAsia" w:ascii="仿宋" w:hAnsi="仿宋" w:eastAsia="仿宋" w:cs="仿宋"/>
          <w:sz w:val="24"/>
          <w:u w:val="single"/>
          <w:lang w:val="en-US" w:eastAsia="zh-CN"/>
        </w:rPr>
        <w:br w:type="textWrapping"/>
      </w:r>
      <w:r>
        <w:rPr>
          <w:rFonts w:hint="eastAsia" w:ascii="仿宋" w:hAnsi="仿宋" w:eastAsia="仿宋" w:cs="仿宋"/>
          <w:sz w:val="24"/>
        </w:rPr>
        <w:t>（二）开展采购活动的时间安排：</w:t>
      </w:r>
      <w:r>
        <w:rPr>
          <w:rFonts w:hint="eastAsia" w:ascii="仿宋" w:hAnsi="仿宋" w:eastAsia="仿宋" w:cs="仿宋"/>
          <w:sz w:val="24"/>
          <w:u w:val="single"/>
          <w:lang w:val="en-US" w:eastAsia="zh-CN"/>
        </w:rPr>
        <w:t>2025年6月</w:t>
      </w:r>
    </w:p>
    <w:p w14:paraId="34711E2A">
      <w:pPr>
        <w:spacing w:line="360" w:lineRule="auto"/>
        <w:jc w:val="left"/>
        <w:rPr>
          <w:rFonts w:hint="eastAsia" w:ascii="仿宋" w:hAnsi="仿宋" w:eastAsia="仿宋" w:cs="仿宋"/>
          <w:sz w:val="24"/>
        </w:rPr>
      </w:pPr>
      <w:r>
        <w:rPr>
          <w:rFonts w:hint="eastAsia" w:ascii="仿宋" w:hAnsi="仿宋" w:eastAsia="仿宋" w:cs="仿宋"/>
          <w:sz w:val="24"/>
        </w:rPr>
        <w:t>（三）采购组织形式：</w:t>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集中采购</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 xml:space="preserve">分散采购 </w:t>
      </w:r>
    </w:p>
    <w:p w14:paraId="68A718DC">
      <w:pPr>
        <w:spacing w:line="360" w:lineRule="auto"/>
        <w:jc w:val="left"/>
        <w:rPr>
          <w:rFonts w:hint="eastAsia" w:ascii="仿宋" w:hAnsi="仿宋" w:eastAsia="仿宋" w:cs="仿宋"/>
          <w:sz w:val="24"/>
        </w:rPr>
      </w:pPr>
      <w:r>
        <w:rPr>
          <w:rFonts w:hint="eastAsia" w:ascii="仿宋" w:hAnsi="仿宋" w:eastAsia="仿宋" w:cs="仿宋"/>
          <w:sz w:val="24"/>
        </w:rPr>
        <w:t>（四）委托代理安排</w:t>
      </w:r>
    </w:p>
    <w:p w14:paraId="45BE10CC">
      <w:pPr>
        <w:spacing w:line="360" w:lineRule="auto"/>
        <w:ind w:firstLine="420"/>
        <w:jc w:val="left"/>
        <w:rPr>
          <w:rFonts w:hint="eastAsia" w:ascii="仿宋" w:hAnsi="仿宋" w:eastAsia="仿宋" w:cs="仿宋"/>
          <w:sz w:val="24"/>
        </w:rPr>
      </w:pPr>
      <w:r>
        <w:rPr>
          <w:rFonts w:hint="eastAsia" w:ascii="仿宋" w:hAnsi="仿宋" w:eastAsia="仿宋" w:cs="仿宋"/>
          <w:sz w:val="24"/>
        </w:rPr>
        <w:sym w:font="Wingdings 2" w:char="F0A3"/>
      </w:r>
      <w:r>
        <w:rPr>
          <w:rFonts w:hint="eastAsia" w:ascii="仿宋" w:hAnsi="仿宋" w:eastAsia="仿宋" w:cs="仿宋"/>
          <w:sz w:val="24"/>
        </w:rPr>
        <w:t>集中采购机构</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部门集中采购机构</w:t>
      </w:r>
    </w:p>
    <w:p w14:paraId="6F233FE4">
      <w:pPr>
        <w:spacing w:line="360" w:lineRule="auto"/>
        <w:ind w:firstLine="420"/>
        <w:jc w:val="left"/>
        <w:rPr>
          <w:rFonts w:hint="eastAsia"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采购代理机构</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自行采购（含电子卖场）</w:t>
      </w:r>
    </w:p>
    <w:p w14:paraId="6F8DD41B">
      <w:pPr>
        <w:spacing w:line="360" w:lineRule="auto"/>
        <w:jc w:val="left"/>
        <w:rPr>
          <w:rFonts w:hint="eastAsia" w:ascii="仿宋" w:hAnsi="仿宋" w:eastAsia="仿宋" w:cs="仿宋"/>
          <w:sz w:val="24"/>
        </w:rPr>
      </w:pPr>
      <w:r>
        <w:rPr>
          <w:rFonts w:hint="eastAsia" w:ascii="仿宋" w:hAnsi="仿宋" w:eastAsia="仿宋" w:cs="仿宋"/>
          <w:sz w:val="24"/>
        </w:rPr>
        <w:t>（五）采购包划分：</w:t>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分标项</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 xml:space="preserve">不分标项 </w:t>
      </w:r>
    </w:p>
    <w:p w14:paraId="2A3C3A70">
      <w:pPr>
        <w:spacing w:line="360" w:lineRule="auto"/>
        <w:jc w:val="left"/>
        <w:rPr>
          <w:rFonts w:hint="eastAsia" w:ascii="仿宋" w:hAnsi="仿宋" w:eastAsia="仿宋" w:cs="仿宋"/>
          <w:sz w:val="24"/>
        </w:rPr>
      </w:pPr>
      <w:r>
        <w:rPr>
          <w:rFonts w:hint="eastAsia" w:ascii="仿宋" w:hAnsi="仿宋" w:eastAsia="仿宋" w:cs="仿宋"/>
          <w:sz w:val="24"/>
        </w:rPr>
        <w:t>（六）合同分包：</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 xml:space="preserve">允许分包    </w:t>
      </w:r>
      <w:r>
        <w:rPr>
          <w:rFonts w:hint="eastAsia" w:ascii="仿宋" w:hAnsi="仿宋" w:eastAsia="仿宋" w:cs="仿宋"/>
          <w:sz w:val="24"/>
        </w:rPr>
        <w:sym w:font="Wingdings 2" w:char="00A3"/>
      </w:r>
      <w:r>
        <w:rPr>
          <w:rFonts w:hint="eastAsia" w:ascii="仿宋" w:hAnsi="仿宋" w:eastAsia="仿宋" w:cs="仿宋"/>
          <w:sz w:val="24"/>
        </w:rPr>
        <w:t>不允许分包</w:t>
      </w:r>
    </w:p>
    <w:p w14:paraId="451EF9D0">
      <w:pPr>
        <w:spacing w:line="360" w:lineRule="auto"/>
        <w:jc w:val="left"/>
        <w:rPr>
          <w:rFonts w:hint="eastAsia" w:ascii="仿宋" w:hAnsi="仿宋" w:eastAsia="仿宋" w:cs="仿宋"/>
          <w:sz w:val="24"/>
        </w:rPr>
      </w:pPr>
      <w:r>
        <w:rPr>
          <w:rFonts w:hint="eastAsia" w:ascii="仿宋" w:hAnsi="仿宋" w:eastAsia="仿宋" w:cs="仿宋"/>
          <w:sz w:val="24"/>
        </w:rPr>
        <w:t>（七）供应商资格条件</w:t>
      </w:r>
    </w:p>
    <w:p w14:paraId="399B5A91">
      <w:pPr>
        <w:pStyle w:val="3"/>
        <w:ind w:firstLine="480" w:firstLineChars="200"/>
        <w:rPr>
          <w:rFonts w:hint="eastAsia" w:ascii="仿宋" w:hAnsi="仿宋" w:eastAsia="仿宋" w:cs="仿宋"/>
          <w:snapToGrid/>
          <w:kern w:val="2"/>
          <w:sz w:val="24"/>
          <w:szCs w:val="24"/>
          <w:highlight w:val="none"/>
          <w:u w:val="single"/>
          <w:lang w:val="en-US" w:eastAsia="zh-CN" w:bidi="ar-SA"/>
        </w:rPr>
      </w:pPr>
      <w:r>
        <w:rPr>
          <w:rFonts w:hint="eastAsia" w:ascii="仿宋" w:hAnsi="仿宋" w:eastAsia="仿宋" w:cs="仿宋"/>
          <w:snapToGrid/>
          <w:kern w:val="2"/>
          <w:sz w:val="24"/>
          <w:szCs w:val="24"/>
          <w:highlight w:val="none"/>
          <w:u w:val="single"/>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1BB18642">
      <w:pPr>
        <w:spacing w:line="360" w:lineRule="auto"/>
        <w:ind w:firstLine="480" w:firstLineChars="200"/>
        <w:rPr>
          <w:rFonts w:hint="eastAsia" w:ascii="仿宋" w:hAnsi="仿宋" w:eastAsia="仿宋" w:cs="仿宋"/>
          <w:snapToGrid/>
          <w:kern w:val="2"/>
          <w:sz w:val="24"/>
          <w:szCs w:val="24"/>
          <w:highlight w:val="none"/>
          <w:u w:val="single"/>
          <w:lang w:val="en-US" w:eastAsia="zh-CN" w:bidi="ar-SA"/>
        </w:rPr>
      </w:pPr>
      <w:r>
        <w:rPr>
          <w:rFonts w:hint="eastAsia" w:ascii="仿宋" w:hAnsi="仿宋" w:eastAsia="仿宋" w:cs="仿宋"/>
          <w:snapToGrid/>
          <w:kern w:val="2"/>
          <w:sz w:val="24"/>
          <w:szCs w:val="24"/>
          <w:highlight w:val="none"/>
          <w:u w:val="single"/>
          <w:lang w:val="en-US" w:eastAsia="zh-CN" w:bidi="ar-SA"/>
        </w:rPr>
        <w:t>2.落实政府采购政策需满足的资格要求：专门面向中小企业；服务全部由符合政策要求的中小企业承接，提供中小企业声明函；</w:t>
      </w:r>
    </w:p>
    <w:p w14:paraId="6B423FDE">
      <w:pPr>
        <w:pStyle w:val="3"/>
        <w:ind w:firstLine="480" w:firstLineChars="200"/>
        <w:rPr>
          <w:rFonts w:hint="eastAsia" w:ascii="仿宋" w:hAnsi="仿宋" w:eastAsia="仿宋" w:cs="仿宋"/>
          <w:snapToGrid/>
          <w:kern w:val="2"/>
          <w:sz w:val="24"/>
          <w:szCs w:val="24"/>
          <w:highlight w:val="none"/>
          <w:u w:val="single"/>
          <w:lang w:val="en-US" w:eastAsia="zh-CN" w:bidi="ar-SA"/>
        </w:rPr>
      </w:pPr>
      <w:r>
        <w:rPr>
          <w:rFonts w:hint="eastAsia" w:ascii="仿宋" w:hAnsi="仿宋" w:eastAsia="仿宋" w:cs="仿宋"/>
          <w:snapToGrid/>
          <w:kern w:val="2"/>
          <w:sz w:val="24"/>
          <w:szCs w:val="24"/>
          <w:highlight w:val="none"/>
          <w:u w:val="single"/>
          <w:lang w:val="en-US" w:eastAsia="zh-CN" w:bidi="ar-SA"/>
        </w:rPr>
        <w:t>3.本项目的特定资格要求：无；</w:t>
      </w:r>
    </w:p>
    <w:p w14:paraId="402C08BF">
      <w:pPr>
        <w:pStyle w:val="3"/>
        <w:ind w:firstLine="480" w:firstLineChars="200"/>
        <w:rPr>
          <w:rFonts w:hint="eastAsia" w:ascii="仿宋" w:hAnsi="仿宋" w:eastAsia="仿宋" w:cs="仿宋"/>
          <w:snapToGrid/>
          <w:kern w:val="2"/>
          <w:sz w:val="24"/>
          <w:szCs w:val="24"/>
          <w:u w:val="single"/>
          <w:lang w:val="en-US" w:eastAsia="zh-CN" w:bidi="ar-SA"/>
        </w:rPr>
      </w:pPr>
      <w:r>
        <w:rPr>
          <w:rFonts w:hint="eastAsia" w:ascii="仿宋" w:hAnsi="仿宋" w:eastAsia="仿宋" w:cs="仿宋"/>
          <w:snapToGrid/>
          <w:kern w:val="2"/>
          <w:sz w:val="24"/>
          <w:szCs w:val="24"/>
          <w:u w:val="single"/>
          <w:lang w:val="en-US" w:eastAsia="zh-CN" w:bidi="ar-SA"/>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567A3D">
      <w:pPr>
        <w:spacing w:line="360" w:lineRule="auto"/>
        <w:jc w:val="left"/>
        <w:rPr>
          <w:rFonts w:hint="eastAsia" w:ascii="仿宋" w:hAnsi="仿宋" w:eastAsia="仿宋" w:cs="仿宋"/>
          <w:sz w:val="24"/>
        </w:rPr>
      </w:pPr>
      <w:r>
        <w:rPr>
          <w:rFonts w:hint="eastAsia" w:ascii="仿宋" w:hAnsi="仿宋" w:eastAsia="仿宋" w:cs="仿宋"/>
          <w:sz w:val="24"/>
        </w:rPr>
        <w:t>（八）采购方式</w:t>
      </w:r>
    </w:p>
    <w:p w14:paraId="33406C7F">
      <w:pPr>
        <w:spacing w:line="360" w:lineRule="auto"/>
        <w:ind w:firstLine="480"/>
        <w:jc w:val="left"/>
        <w:rPr>
          <w:rFonts w:hint="eastAsia"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公开招标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□邀请招标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□竞争性谈判</w:t>
      </w:r>
    </w:p>
    <w:p w14:paraId="4BB14DA8">
      <w:pPr>
        <w:spacing w:line="360" w:lineRule="auto"/>
        <w:ind w:firstLine="480"/>
        <w:jc w:val="left"/>
        <w:rPr>
          <w:rFonts w:hint="eastAsia" w:ascii="仿宋" w:hAnsi="仿宋" w:eastAsia="仿宋" w:cs="仿宋"/>
          <w:sz w:val="24"/>
        </w:rPr>
      </w:pPr>
      <w:r>
        <w:rPr>
          <w:rFonts w:hint="eastAsia" w:ascii="仿宋" w:hAnsi="仿宋" w:eastAsia="仿宋" w:cs="仿宋"/>
          <w:sz w:val="24"/>
        </w:rPr>
        <w:sym w:font="Wingdings 2" w:char="F0A3"/>
      </w:r>
      <w:r>
        <w:rPr>
          <w:rFonts w:hint="eastAsia" w:ascii="仿宋" w:hAnsi="仿宋" w:eastAsia="仿宋" w:cs="仿宋"/>
          <w:sz w:val="24"/>
        </w:rPr>
        <w:t>竞争性磋商</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询价</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□单一来源采购</w:t>
      </w:r>
    </w:p>
    <w:p w14:paraId="50991286">
      <w:pPr>
        <w:spacing w:line="360" w:lineRule="auto"/>
        <w:ind w:firstLine="480"/>
        <w:jc w:val="left"/>
        <w:rPr>
          <w:rFonts w:hint="eastAsia" w:ascii="仿宋" w:hAnsi="仿宋" w:eastAsia="仿宋" w:cs="仿宋"/>
          <w:sz w:val="24"/>
        </w:rPr>
      </w:pPr>
      <w:r>
        <w:rPr>
          <w:rFonts w:hint="eastAsia" w:ascii="仿宋" w:hAnsi="仿宋" w:eastAsia="仿宋" w:cs="仿宋"/>
          <w:sz w:val="24"/>
        </w:rPr>
        <w:t>□电子卖场</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□其他采购方式 （</w:t>
      </w:r>
      <w:r>
        <w:rPr>
          <w:rFonts w:hint="eastAsia" w:ascii="仿宋" w:hAnsi="仿宋" w:eastAsia="仿宋" w:cs="仿宋"/>
          <w:sz w:val="24"/>
          <w:u w:val="single"/>
        </w:rPr>
        <w:t xml:space="preserve">                 </w:t>
      </w:r>
      <w:r>
        <w:rPr>
          <w:rFonts w:hint="eastAsia" w:ascii="仿宋" w:hAnsi="仿宋" w:eastAsia="仿宋" w:cs="仿宋"/>
          <w:sz w:val="24"/>
        </w:rPr>
        <w:t>）</w:t>
      </w:r>
    </w:p>
    <w:p w14:paraId="2306A545">
      <w:pPr>
        <w:spacing w:line="360" w:lineRule="auto"/>
        <w:jc w:val="left"/>
        <w:rPr>
          <w:rFonts w:hint="eastAsia" w:ascii="仿宋" w:hAnsi="仿宋" w:eastAsia="仿宋" w:cs="仿宋"/>
          <w:sz w:val="24"/>
        </w:rPr>
      </w:pPr>
      <w:r>
        <w:rPr>
          <w:rFonts w:hint="eastAsia" w:ascii="仿宋" w:hAnsi="仿宋" w:eastAsia="仿宋" w:cs="仿宋"/>
          <w:sz w:val="24"/>
        </w:rPr>
        <w:t>（九）选择采购方式的理由</w:t>
      </w:r>
    </w:p>
    <w:p w14:paraId="61497EF6">
      <w:pPr>
        <w:spacing w:line="360" w:lineRule="auto"/>
        <w:ind w:firstLine="420"/>
        <w:jc w:val="left"/>
        <w:rPr>
          <w:rFonts w:hint="eastAsia" w:ascii="仿宋" w:hAnsi="仿宋" w:eastAsia="仿宋" w:cs="仿宋"/>
          <w:sz w:val="24"/>
          <w:u w:val="single"/>
        </w:rPr>
      </w:pPr>
      <w:r>
        <w:rPr>
          <w:rFonts w:hint="eastAsia" w:ascii="仿宋" w:hAnsi="仿宋" w:eastAsia="仿宋" w:cs="仿宋"/>
          <w:sz w:val="24"/>
          <w:u w:val="single"/>
          <w:lang w:eastAsia="zh-CN"/>
        </w:rPr>
        <w:t>公开招标作为主要的采购方式，本项目符合公开招标要求。</w:t>
      </w:r>
    </w:p>
    <w:p w14:paraId="6A06814C">
      <w:pPr>
        <w:spacing w:line="360" w:lineRule="auto"/>
        <w:jc w:val="left"/>
        <w:rPr>
          <w:rFonts w:hint="eastAsia" w:ascii="仿宋" w:hAnsi="仿宋" w:eastAsia="仿宋" w:cs="仿宋"/>
          <w:sz w:val="24"/>
        </w:rPr>
      </w:pPr>
      <w:r>
        <w:rPr>
          <w:rFonts w:hint="eastAsia" w:ascii="仿宋" w:hAnsi="仿宋" w:eastAsia="仿宋" w:cs="仿宋"/>
          <w:sz w:val="24"/>
        </w:rPr>
        <w:t>（十）竞争范围：</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公开发布</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电子卖场</w:t>
      </w:r>
    </w:p>
    <w:p w14:paraId="369B4751">
      <w:pPr>
        <w:spacing w:line="360" w:lineRule="auto"/>
        <w:jc w:val="left"/>
        <w:rPr>
          <w:rFonts w:hint="eastAsia" w:ascii="仿宋" w:hAnsi="仿宋" w:eastAsia="仿宋" w:cs="仿宋"/>
          <w:sz w:val="24"/>
        </w:rPr>
      </w:pPr>
      <w:r>
        <w:rPr>
          <w:rFonts w:hint="eastAsia" w:ascii="仿宋" w:hAnsi="仿宋" w:eastAsia="仿宋" w:cs="仿宋"/>
          <w:sz w:val="24"/>
        </w:rPr>
        <w:t>（十一）评审规则：</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综合评分</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最低价中标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其他（</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EC9F7C3">
      <w:pPr>
        <w:spacing w:line="360" w:lineRule="auto"/>
        <w:jc w:val="left"/>
        <w:rPr>
          <w:rFonts w:hint="eastAsia" w:ascii="仿宋" w:hAnsi="仿宋" w:eastAsia="仿宋" w:cs="仿宋"/>
          <w:sz w:val="24"/>
        </w:rPr>
      </w:pPr>
      <w:r>
        <w:rPr>
          <w:rFonts w:hint="eastAsia" w:ascii="仿宋" w:hAnsi="仿宋" w:eastAsia="仿宋" w:cs="仿宋"/>
          <w:sz w:val="24"/>
        </w:rPr>
        <w:t xml:space="preserve">    评审规则选择理由：</w:t>
      </w:r>
      <w:r>
        <w:rPr>
          <w:rFonts w:hint="eastAsia" w:ascii="仿宋" w:hAnsi="仿宋" w:eastAsia="仿宋" w:cs="仿宋"/>
          <w:sz w:val="24"/>
          <w:u w:val="single"/>
          <w:lang w:val="en-US" w:eastAsia="zh-CN"/>
        </w:rPr>
        <w:t>公开招标</w:t>
      </w:r>
      <w:r>
        <w:rPr>
          <w:rFonts w:hint="eastAsia" w:ascii="仿宋" w:hAnsi="仿宋" w:eastAsia="仿宋" w:cs="仿宋"/>
          <w:sz w:val="24"/>
          <w:u w:val="single"/>
        </w:rPr>
        <w:t>。</w:t>
      </w:r>
    </w:p>
    <w:p w14:paraId="0A720604">
      <w:pPr>
        <w:spacing w:beforeLines="100" w:line="360" w:lineRule="auto"/>
        <w:jc w:val="left"/>
        <w:rPr>
          <w:rFonts w:hint="eastAsia" w:ascii="仿宋" w:hAnsi="仿宋" w:eastAsia="仿宋" w:cs="仿宋"/>
          <w:b/>
          <w:sz w:val="28"/>
          <w:szCs w:val="28"/>
        </w:rPr>
      </w:pPr>
      <w:r>
        <w:rPr>
          <w:rFonts w:hint="eastAsia" w:ascii="仿宋" w:hAnsi="仿宋" w:eastAsia="仿宋" w:cs="仿宋"/>
          <w:b/>
          <w:sz w:val="28"/>
          <w:szCs w:val="28"/>
        </w:rPr>
        <w:t>二、合同管理安排</w:t>
      </w:r>
    </w:p>
    <w:p w14:paraId="4C5364F3">
      <w:pPr>
        <w:spacing w:line="360" w:lineRule="auto"/>
        <w:jc w:val="left"/>
        <w:rPr>
          <w:rFonts w:hint="eastAsia" w:ascii="仿宋" w:hAnsi="仿宋" w:eastAsia="仿宋" w:cs="仿宋"/>
          <w:sz w:val="24"/>
        </w:rPr>
      </w:pPr>
      <w:r>
        <w:rPr>
          <w:rFonts w:hint="eastAsia" w:ascii="仿宋" w:hAnsi="仿宋" w:eastAsia="仿宋" w:cs="仿宋"/>
          <w:sz w:val="24"/>
        </w:rPr>
        <w:t>（一）合同类型</w:t>
      </w:r>
    </w:p>
    <w:p w14:paraId="7FF5CAD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sym w:font="Wingdings 2" w:char="F0A3"/>
      </w:r>
      <w:r>
        <w:rPr>
          <w:rFonts w:hint="eastAsia" w:ascii="仿宋" w:hAnsi="仿宋" w:eastAsia="仿宋" w:cs="仿宋"/>
          <w:sz w:val="24"/>
        </w:rPr>
        <w:t xml:space="preserve">货物合同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服务合同</w:t>
      </w:r>
    </w:p>
    <w:p w14:paraId="2C400B3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sym w:font="Wingdings 2" w:char="F0A3"/>
      </w:r>
      <w:r>
        <w:rPr>
          <w:rFonts w:hint="eastAsia" w:ascii="仿宋" w:hAnsi="仿宋" w:eastAsia="仿宋" w:cs="仿宋"/>
          <w:sz w:val="24"/>
        </w:rPr>
        <w:t>建设工程合同</w:t>
      </w:r>
      <w:r>
        <w:rPr>
          <w:rFonts w:hint="eastAsia" w:ascii="仿宋" w:hAnsi="仿宋" w:eastAsia="仿宋" w:cs="仿宋"/>
          <w:sz w:val="24"/>
        </w:rPr>
        <w:tab/>
      </w:r>
      <w:r>
        <w:rPr>
          <w:rFonts w:hint="eastAsia" w:ascii="仿宋" w:hAnsi="仿宋" w:eastAsia="仿宋" w:cs="仿宋"/>
          <w:sz w:val="24"/>
        </w:rPr>
        <w:t>□其他 （</w:t>
      </w:r>
      <w:r>
        <w:rPr>
          <w:rFonts w:hint="eastAsia" w:ascii="仿宋" w:hAnsi="仿宋" w:eastAsia="仿宋" w:cs="仿宋"/>
          <w:sz w:val="24"/>
          <w:u w:val="single"/>
        </w:rPr>
        <w:t xml:space="preserve">                 </w:t>
      </w:r>
      <w:r>
        <w:rPr>
          <w:rFonts w:hint="eastAsia" w:ascii="仿宋" w:hAnsi="仿宋" w:eastAsia="仿宋" w:cs="仿宋"/>
          <w:sz w:val="24"/>
        </w:rPr>
        <w:t>）。</w:t>
      </w:r>
    </w:p>
    <w:p w14:paraId="7EADBEEC">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合同类型选择理由：</w:t>
      </w:r>
      <w:r>
        <w:rPr>
          <w:rFonts w:hint="eastAsia" w:ascii="仿宋" w:hAnsi="仿宋" w:eastAsia="仿宋" w:cs="仿宋"/>
          <w:sz w:val="24"/>
          <w:u w:val="single"/>
          <w:lang w:val="en-US" w:eastAsia="zh-CN"/>
        </w:rPr>
        <w:t>服务项目</w:t>
      </w:r>
      <w:r>
        <w:rPr>
          <w:rFonts w:hint="eastAsia" w:ascii="仿宋" w:hAnsi="仿宋" w:eastAsia="仿宋" w:cs="仿宋"/>
          <w:sz w:val="24"/>
          <w:u w:val="single"/>
        </w:rPr>
        <w:t>。</w:t>
      </w:r>
    </w:p>
    <w:p w14:paraId="7F04563F">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（二）定价方式</w:t>
      </w:r>
    </w:p>
    <w:p w14:paraId="29C2AC24">
      <w:pPr>
        <w:spacing w:line="360" w:lineRule="auto"/>
        <w:ind w:firstLine="420"/>
        <w:jc w:val="left"/>
        <w:rPr>
          <w:rFonts w:hint="eastAsia" w:ascii="仿宋" w:hAnsi="仿宋" w:eastAsia="仿宋" w:cs="仿宋"/>
          <w:sz w:val="24"/>
          <w:lang w:eastAsia="zh-CN"/>
        </w:rPr>
      </w:pPr>
      <w:r>
        <w:rPr>
          <w:rFonts w:hint="eastAsia" w:ascii="仿宋" w:hAnsi="仿宋" w:eastAsia="仿宋" w:cs="仿宋"/>
          <w:sz w:val="24"/>
          <w:highlight w:val="none"/>
        </w:rPr>
        <w:sym w:font="Wingdings 2" w:char="0052"/>
      </w:r>
      <w:r>
        <w:rPr>
          <w:rFonts w:hint="eastAsia" w:ascii="仿宋" w:hAnsi="仿宋" w:eastAsia="仿宋" w:cs="仿宋"/>
          <w:sz w:val="24"/>
          <w:highlight w:val="none"/>
        </w:rPr>
        <w:t>固定总价</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固定单价</w:t>
      </w:r>
      <w:r>
        <w:rPr>
          <w:rFonts w:hint="eastAsia" w:ascii="仿宋" w:hAnsi="仿宋" w:eastAsia="仿宋" w:cs="仿宋"/>
          <w:sz w:val="24"/>
          <w:lang w:eastAsia="zh-CN"/>
        </w:rPr>
        <w:t>（</w:t>
      </w:r>
      <w:r>
        <w:rPr>
          <w:rFonts w:hint="eastAsia" w:ascii="仿宋" w:hAnsi="仿宋" w:eastAsia="仿宋" w:cs="仿宋"/>
          <w:sz w:val="24"/>
          <w:lang w:val="en-US" w:eastAsia="zh-CN"/>
        </w:rPr>
        <w:t>按实结算</w:t>
      </w:r>
      <w:r>
        <w:rPr>
          <w:rFonts w:hint="eastAsia" w:ascii="仿宋" w:hAnsi="仿宋" w:eastAsia="仿宋" w:cs="仿宋"/>
          <w:sz w:val="24"/>
          <w:lang w:eastAsia="zh-CN"/>
        </w:rPr>
        <w:t>）</w:t>
      </w:r>
    </w:p>
    <w:p w14:paraId="027F8622">
      <w:pPr>
        <w:spacing w:line="360" w:lineRule="auto"/>
        <w:ind w:firstLine="420"/>
        <w:jc w:val="left"/>
        <w:rPr>
          <w:rFonts w:hint="eastAsia" w:ascii="仿宋" w:hAnsi="仿宋" w:eastAsia="仿宋" w:cs="仿宋"/>
          <w:sz w:val="24"/>
        </w:rPr>
      </w:pPr>
      <w:r>
        <w:rPr>
          <w:rFonts w:hint="eastAsia" w:ascii="仿宋" w:hAnsi="仿宋" w:eastAsia="仿宋" w:cs="仿宋"/>
          <w:sz w:val="24"/>
        </w:rPr>
        <w:sym w:font="Wingdings 2" w:char="F0A3"/>
      </w:r>
      <w:r>
        <w:rPr>
          <w:rFonts w:hint="eastAsia" w:ascii="仿宋" w:hAnsi="仿宋" w:eastAsia="仿宋" w:cs="仿宋"/>
          <w:sz w:val="24"/>
        </w:rPr>
        <w:t>成本补偿</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绩效激励</w:t>
      </w:r>
    </w:p>
    <w:p w14:paraId="702B7BA4">
      <w:pPr>
        <w:spacing w:line="360" w:lineRule="auto"/>
        <w:ind w:firstLine="420"/>
        <w:jc w:val="left"/>
        <w:rPr>
          <w:rFonts w:hint="eastAsia" w:ascii="仿宋" w:hAnsi="仿宋" w:eastAsia="仿宋" w:cs="仿宋"/>
          <w:sz w:val="24"/>
        </w:rPr>
      </w:pPr>
      <w:r>
        <w:rPr>
          <w:rFonts w:hint="eastAsia" w:ascii="仿宋" w:hAnsi="仿宋" w:eastAsia="仿宋" w:cs="仿宋"/>
          <w:sz w:val="24"/>
        </w:rPr>
        <w:t>定价方式选择理由：</w:t>
      </w:r>
      <w:r>
        <w:rPr>
          <w:rFonts w:hint="eastAsia" w:ascii="仿宋" w:hAnsi="仿宋" w:eastAsia="仿宋" w:cs="仿宋"/>
          <w:sz w:val="24"/>
          <w:u w:val="single"/>
          <w:lang w:val="en-US" w:eastAsia="zh-CN"/>
        </w:rPr>
        <w:t>无</w:t>
      </w:r>
      <w:r>
        <w:rPr>
          <w:rFonts w:hint="eastAsia" w:ascii="仿宋" w:hAnsi="仿宋" w:eastAsia="仿宋" w:cs="仿宋"/>
          <w:sz w:val="24"/>
          <w:u w:val="single"/>
        </w:rPr>
        <w:t>。</w:t>
      </w:r>
    </w:p>
    <w:p w14:paraId="7A0B7D05">
      <w:pPr>
        <w:spacing w:line="360" w:lineRule="auto"/>
        <w:jc w:val="left"/>
        <w:rPr>
          <w:rFonts w:hint="eastAsia" w:ascii="仿宋" w:hAnsi="仿宋" w:eastAsia="仿宋" w:cs="仿宋"/>
          <w:sz w:val="24"/>
        </w:rPr>
      </w:pPr>
      <w:r>
        <w:rPr>
          <w:rFonts w:hint="eastAsia" w:ascii="仿宋" w:hAnsi="仿宋" w:eastAsia="仿宋" w:cs="仿宋"/>
          <w:sz w:val="24"/>
        </w:rPr>
        <w:t>（三）合同文本的主要条款</w:t>
      </w:r>
    </w:p>
    <w:p w14:paraId="36025A32">
      <w:pPr>
        <w:spacing w:line="360" w:lineRule="auto"/>
        <w:jc w:val="left"/>
        <w:rPr>
          <w:rFonts w:hint="eastAsia" w:ascii="仿宋" w:hAnsi="仿宋" w:eastAsia="仿宋" w:cs="仿宋"/>
          <w:sz w:val="24"/>
        </w:rPr>
      </w:pPr>
      <w:r>
        <w:rPr>
          <w:rFonts w:hint="eastAsia" w:ascii="仿宋" w:hAnsi="仿宋" w:eastAsia="仿宋" w:cs="仿宋"/>
          <w:sz w:val="24"/>
        </w:rPr>
        <w:t>1.合同主要标的</w:t>
      </w:r>
    </w:p>
    <w:p w14:paraId="7F4163CA">
      <w:pPr>
        <w:numPr>
          <w:ilvl w:val="0"/>
          <w:numId w:val="0"/>
        </w:numPr>
        <w:spacing w:line="360" w:lineRule="auto"/>
        <w:ind w:leftChars="0" w:firstLine="480" w:firstLineChars="200"/>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1.合同主要标的：舟山市定海区公路照明能源托管项目</w:t>
      </w:r>
    </w:p>
    <w:p w14:paraId="27688B35">
      <w:pPr>
        <w:numPr>
          <w:ilvl w:val="0"/>
          <w:numId w:val="0"/>
        </w:numPr>
        <w:spacing w:line="360" w:lineRule="auto"/>
        <w:ind w:leftChars="0" w:firstLine="480" w:firstLineChars="200"/>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2.履行时间（期限）：自合同签订起10年（含节能改造期3个月）  </w:t>
      </w:r>
    </w:p>
    <w:p w14:paraId="21898C05">
      <w:pPr>
        <w:numPr>
          <w:ilvl w:val="0"/>
          <w:numId w:val="0"/>
        </w:numPr>
        <w:spacing w:line="360" w:lineRule="auto"/>
        <w:ind w:leftChars="0" w:firstLine="480" w:firstLineChars="200"/>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3.履约地点和方式：舟山市定海区     </w:t>
      </w:r>
    </w:p>
    <w:p w14:paraId="3DFDEBE2">
      <w:pPr>
        <w:numPr>
          <w:ilvl w:val="0"/>
          <w:numId w:val="0"/>
        </w:numPr>
        <w:spacing w:line="360" w:lineRule="auto"/>
        <w:ind w:leftChars="0" w:firstLine="480" w:firstLineChars="200"/>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4.价款或者报酬： 按中标价  </w:t>
      </w:r>
      <w:r>
        <w:rPr>
          <w:rFonts w:hint="eastAsia" w:ascii="仿宋" w:hAnsi="仿宋" w:eastAsia="仿宋" w:cs="仿宋"/>
          <w:b w:val="0"/>
          <w:bCs w:val="0"/>
          <w:color w:val="auto"/>
          <w:sz w:val="24"/>
          <w:szCs w:val="24"/>
          <w:highlight w:val="none"/>
          <w:lang w:val="en-US" w:eastAsia="zh-CN"/>
        </w:rPr>
        <w:t xml:space="preserve">            </w:t>
      </w:r>
    </w:p>
    <w:p w14:paraId="4FFCFE83">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iCs/>
          <w:sz w:val="24"/>
          <w:szCs w:val="24"/>
          <w:u w:val="single"/>
        </w:rPr>
      </w:pPr>
      <w:r>
        <w:rPr>
          <w:rFonts w:hint="eastAsia" w:ascii="宋体" w:hAnsi="宋体" w:eastAsia="宋体" w:cs="宋体"/>
          <w:iCs/>
          <w:sz w:val="24"/>
          <w:szCs w:val="24"/>
        </w:rPr>
        <w:t>5.考核要求和付款进度安排</w:t>
      </w:r>
    </w:p>
    <w:p w14:paraId="5716D3A3">
      <w:pPr>
        <w:spacing w:line="360" w:lineRule="auto"/>
        <w:ind w:firstLine="480" w:firstLineChars="200"/>
        <w:jc w:val="left"/>
        <w:rPr>
          <w:rFonts w:hint="eastAsia" w:ascii="仿宋" w:hAnsi="仿宋" w:eastAsia="仿宋" w:cs="仿宋"/>
          <w:iCs/>
          <w:sz w:val="24"/>
          <w:szCs w:val="24"/>
          <w:highlight w:val="none"/>
          <w:u w:val="single"/>
        </w:rPr>
      </w:pPr>
      <w:r>
        <w:rPr>
          <w:rFonts w:hint="eastAsia" w:ascii="仿宋" w:hAnsi="仿宋" w:eastAsia="仿宋" w:cs="仿宋"/>
          <w:iCs/>
          <w:sz w:val="24"/>
          <w:szCs w:val="24"/>
          <w:highlight w:val="none"/>
          <w:lang w:val="en-US" w:eastAsia="zh-CN"/>
        </w:rPr>
        <w:t>5</w:t>
      </w:r>
      <w:r>
        <w:rPr>
          <w:rFonts w:hint="eastAsia" w:ascii="仿宋" w:hAnsi="仿宋" w:eastAsia="仿宋" w:cs="仿宋"/>
          <w:iCs/>
          <w:sz w:val="24"/>
          <w:szCs w:val="24"/>
          <w:highlight w:val="none"/>
        </w:rPr>
        <w:t>.考核要求和付款进度安排</w:t>
      </w:r>
    </w:p>
    <w:p w14:paraId="0132E31A">
      <w:pPr>
        <w:numPr>
          <w:ilvl w:val="0"/>
          <w:numId w:val="0"/>
        </w:numPr>
        <w:spacing w:line="360" w:lineRule="auto"/>
        <w:ind w:leftChars="0" w:firstLine="480" w:firstLineChars="200"/>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在合同生效以及具备实施条件后7个工作日内，采购人向中标人支付年中标价的20%作为项目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w:t>
      </w:r>
    </w:p>
    <w:p w14:paraId="35E56BF4">
      <w:pPr>
        <w:numPr>
          <w:ilvl w:val="0"/>
          <w:numId w:val="0"/>
        </w:numPr>
        <w:spacing w:line="360" w:lineRule="auto"/>
        <w:ind w:leftChars="0" w:firstLine="480" w:firstLineChars="200"/>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第一至第九年度能源托管费用每季度支付一次，每次支付的金额为该周期年能源托管费用的1/4，次季第一个月支付上季费用（如有预付款，预付款抵扣采购人实际支付金额），每年根据考核结果进行年度结算。支付前，乙方向甲方开具上个季度的托管服务费发票，否则甲方有权延期付款且不承担任何违约责任。</w:t>
      </w:r>
    </w:p>
    <w:p w14:paraId="55C5969E">
      <w:pPr>
        <w:numPr>
          <w:ilvl w:val="0"/>
          <w:numId w:val="0"/>
        </w:numPr>
        <w:spacing w:line="360" w:lineRule="auto"/>
        <w:ind w:leftChars="0" w:firstLine="480" w:firstLineChars="200"/>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3、第十年度能源托管费在托管服务期满后，中标供应商移交完所有设备及档案资料并经业主考核确认后30日内一次性付清。</w:t>
      </w:r>
    </w:p>
    <w:p w14:paraId="342E3F06">
      <w:pPr>
        <w:spacing w:line="360" w:lineRule="auto"/>
        <w:ind w:firstLine="480" w:firstLineChars="200"/>
        <w:jc w:val="left"/>
        <w:rPr>
          <w:rFonts w:hint="eastAsia" w:ascii="仿宋" w:hAnsi="仿宋" w:eastAsia="仿宋" w:cs="仿宋"/>
          <w:iCs/>
          <w:sz w:val="24"/>
          <w:u w:val="single"/>
        </w:rPr>
      </w:pPr>
      <w:r>
        <w:rPr>
          <w:rFonts w:hint="eastAsia" w:ascii="仿宋" w:hAnsi="仿宋" w:eastAsia="仿宋" w:cs="仿宋"/>
          <w:iCs/>
          <w:sz w:val="24"/>
        </w:rPr>
        <w:t>6.资金支付方式：</w:t>
      </w:r>
      <w:r>
        <w:rPr>
          <w:rFonts w:hint="eastAsia" w:ascii="仿宋" w:hAnsi="仿宋" w:eastAsia="仿宋" w:cs="仿宋"/>
          <w:sz w:val="24"/>
        </w:rPr>
        <w:sym w:font="Wingdings 2" w:char="F0A3"/>
      </w:r>
      <w:r>
        <w:rPr>
          <w:rFonts w:hint="eastAsia" w:ascii="仿宋" w:hAnsi="仿宋" w:eastAsia="仿宋" w:cs="仿宋"/>
          <w:iCs/>
          <w:sz w:val="24"/>
          <w:u w:val="single"/>
        </w:rPr>
        <w:t>一次性支付方式;</w:t>
      </w:r>
      <w:r>
        <w:rPr>
          <w:rFonts w:hint="eastAsia" w:ascii="仿宋" w:hAnsi="仿宋" w:eastAsia="仿宋" w:cs="仿宋"/>
          <w:sz w:val="24"/>
        </w:rPr>
        <w:sym w:font="Wingdings 2" w:char="0052"/>
      </w:r>
      <w:r>
        <w:rPr>
          <w:rFonts w:hint="eastAsia" w:ascii="仿宋" w:hAnsi="仿宋" w:eastAsia="仿宋" w:cs="仿宋"/>
          <w:iCs/>
          <w:sz w:val="24"/>
          <w:u w:val="single"/>
        </w:rPr>
        <w:t>分期支付方式.</w:t>
      </w:r>
    </w:p>
    <w:p w14:paraId="384C7FEB">
      <w:pPr>
        <w:spacing w:line="360" w:lineRule="auto"/>
        <w:ind w:firstLine="480" w:firstLineChars="200"/>
        <w:jc w:val="left"/>
        <w:rPr>
          <w:rFonts w:hint="eastAsia" w:ascii="仿宋" w:hAnsi="仿宋" w:eastAsia="仿宋" w:cs="仿宋"/>
          <w:iCs/>
          <w:sz w:val="24"/>
          <w:highlight w:val="none"/>
        </w:rPr>
      </w:pPr>
      <w:r>
        <w:rPr>
          <w:rFonts w:hint="eastAsia" w:ascii="仿宋" w:hAnsi="仿宋" w:eastAsia="仿宋" w:cs="仿宋"/>
          <w:iCs/>
          <w:sz w:val="24"/>
          <w:highlight w:val="none"/>
        </w:rPr>
        <w:t>7.验收、交付标准和方法</w:t>
      </w:r>
    </w:p>
    <w:p w14:paraId="3E36A703">
      <w:pPr>
        <w:spacing w:line="360" w:lineRule="auto"/>
        <w:ind w:firstLine="480" w:firstLineChars="200"/>
        <w:jc w:val="left"/>
        <w:rPr>
          <w:rFonts w:hint="eastAsia" w:ascii="仿宋" w:hAnsi="仿宋" w:eastAsia="仿宋" w:cs="仿宋"/>
          <w:sz w:val="24"/>
          <w:u w:val="single"/>
          <w:lang w:eastAsia="zh-CN"/>
        </w:rPr>
      </w:pPr>
      <w:r>
        <w:rPr>
          <w:rFonts w:hint="eastAsia" w:ascii="仿宋" w:hAnsi="仿宋" w:eastAsia="仿宋" w:cs="仿宋"/>
          <w:iCs/>
          <w:sz w:val="24"/>
        </w:rPr>
        <w:t>8.质量保修范围和保修期：</w:t>
      </w:r>
      <w:r>
        <w:rPr>
          <w:rFonts w:hint="eastAsia" w:ascii="仿宋" w:hAnsi="仿宋" w:eastAsia="仿宋" w:cs="仿宋"/>
          <w:sz w:val="24"/>
          <w:u w:val="single"/>
          <w:lang w:val="en-US" w:eastAsia="zh-CN"/>
        </w:rPr>
        <w:t>/</w:t>
      </w:r>
    </w:p>
    <w:p w14:paraId="6E8022EA">
      <w:pPr>
        <w:spacing w:line="360" w:lineRule="auto"/>
        <w:ind w:firstLine="480" w:firstLineChars="200"/>
        <w:jc w:val="left"/>
        <w:rPr>
          <w:rFonts w:hint="default" w:ascii="仿宋" w:hAnsi="仿宋" w:eastAsia="仿宋" w:cs="仿宋"/>
          <w:iCs/>
          <w:sz w:val="24"/>
          <w:u w:val="single"/>
          <w:lang w:val="en-US"/>
        </w:rPr>
      </w:pPr>
      <w:r>
        <w:rPr>
          <w:rFonts w:hint="eastAsia" w:ascii="仿宋" w:hAnsi="仿宋" w:eastAsia="仿宋" w:cs="仿宋"/>
          <w:iCs/>
          <w:sz w:val="24"/>
        </w:rPr>
        <w:t>9.知识产权归属、处理方式：</w:t>
      </w:r>
      <w:bookmarkStart w:id="45" w:name="_GoBack"/>
      <w:bookmarkEnd w:id="45"/>
      <w:r>
        <w:rPr>
          <w:rFonts w:hint="eastAsia" w:ascii="仿宋" w:hAnsi="仿宋" w:eastAsia="仿宋" w:cs="仿宋"/>
          <w:sz w:val="24"/>
          <w:szCs w:val="24"/>
          <w:highlight w:val="none"/>
          <w:u w:val="single"/>
          <w:lang w:val="en-US" w:eastAsia="zh-CN"/>
        </w:rPr>
        <w:t>归业主所有</w:t>
      </w:r>
    </w:p>
    <w:p w14:paraId="454786A5">
      <w:p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10.成本补偿、风险分担约定</w:t>
      </w:r>
    </w:p>
    <w:p w14:paraId="2E957A31">
      <w:pPr>
        <w:spacing w:line="360" w:lineRule="auto"/>
        <w:ind w:firstLine="480" w:firstLineChars="2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签约双方任一方由于不可抗力事故的影响而不能执行合同时，履行合同的期限应予以延长。不可抗力事故系指甲乙双方在缔结合同时所不能预见的，并且它的发生及其后果无法避免和无法克服的事故。</w:t>
      </w:r>
    </w:p>
    <w:p w14:paraId="51DA98A1">
      <w:pPr>
        <w:numPr>
          <w:ilvl w:val="0"/>
          <w:numId w:val="0"/>
        </w:numPr>
        <w:spacing w:line="360" w:lineRule="auto"/>
        <w:ind w:firstLine="480" w:firstLineChars="200"/>
        <w:rPr>
          <w:rFonts w:hint="eastAsia" w:ascii="仿宋" w:hAnsi="仿宋" w:eastAsia="仿宋" w:cs="仿宋"/>
          <w:iCs/>
          <w:sz w:val="24"/>
        </w:rPr>
      </w:pPr>
      <w:r>
        <w:rPr>
          <w:rFonts w:hint="eastAsia" w:ascii="仿宋" w:hAnsi="仿宋" w:eastAsia="仿宋" w:cs="仿宋"/>
          <w:iCs/>
          <w:sz w:val="24"/>
          <w:lang w:val="en-US" w:eastAsia="zh-CN"/>
        </w:rPr>
        <w:t>11.</w:t>
      </w:r>
      <w:r>
        <w:rPr>
          <w:rFonts w:hint="eastAsia" w:ascii="仿宋" w:hAnsi="仿宋" w:eastAsia="仿宋" w:cs="仿宋"/>
          <w:iCs/>
          <w:sz w:val="24"/>
        </w:rPr>
        <w:t>违约责任与解决争议的方法：</w:t>
      </w:r>
    </w:p>
    <w:p w14:paraId="55B67CB0">
      <w:pPr>
        <w:pStyle w:val="6"/>
        <w:rPr>
          <w:rFonts w:hint="eastAsia" w:ascii="仿宋" w:hAnsi="仿宋" w:eastAsia="仿宋" w:cs="仿宋"/>
          <w:iCs/>
          <w:kern w:val="2"/>
          <w:sz w:val="24"/>
          <w:szCs w:val="24"/>
          <w:u w:val="single"/>
          <w:lang w:val="en-US" w:eastAsia="zh-CN" w:bidi="ar-SA"/>
        </w:rPr>
      </w:pPr>
      <w:r>
        <w:rPr>
          <w:rFonts w:hint="eastAsia" w:ascii="仿宋" w:hAnsi="仿宋" w:eastAsia="仿宋" w:cs="仿宋"/>
          <w:iCs/>
          <w:kern w:val="2"/>
          <w:sz w:val="24"/>
          <w:szCs w:val="24"/>
          <w:u w:val="single"/>
          <w:lang w:val="en-US" w:eastAsia="zh-CN" w:bidi="ar-SA"/>
        </w:rPr>
        <w:t>双方在执行合同中所发生的一切争议，应通过协商解决。</w:t>
      </w:r>
    </w:p>
    <w:p w14:paraId="78B8BBE7">
      <w:p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12.其他条款</w:t>
      </w:r>
    </w:p>
    <w:p w14:paraId="416C4309">
      <w:pPr>
        <w:pStyle w:val="6"/>
        <w:rPr>
          <w:rFonts w:hint="eastAsia" w:ascii="仿宋" w:hAnsi="仿宋" w:eastAsia="仿宋" w:cs="仿宋"/>
          <w:iCs/>
          <w:kern w:val="2"/>
          <w:sz w:val="24"/>
          <w:szCs w:val="24"/>
          <w:u w:val="single"/>
          <w:lang w:val="en-US" w:eastAsia="zh-CN" w:bidi="ar-SA"/>
        </w:rPr>
      </w:pPr>
      <w:r>
        <w:rPr>
          <w:rFonts w:hint="eastAsia" w:ascii="仿宋" w:hAnsi="仿宋" w:eastAsia="仿宋" w:cs="仿宋"/>
          <w:iCs/>
          <w:kern w:val="2"/>
          <w:sz w:val="24"/>
          <w:szCs w:val="24"/>
          <w:u w:val="single"/>
          <w:lang w:val="en-US" w:eastAsia="zh-CN" w:bidi="ar-SA"/>
        </w:rPr>
        <w:t>若合同履行期间有相关的新政策，中标人需无条件服从并执行。其他以实际发布招标文件为准。</w:t>
      </w:r>
    </w:p>
    <w:p w14:paraId="6308D0C6">
      <w:pPr>
        <w:spacing w:beforeLines="100" w:line="360" w:lineRule="auto"/>
        <w:jc w:val="left"/>
        <w:rPr>
          <w:rFonts w:hint="eastAsia" w:ascii="仿宋" w:hAnsi="仿宋" w:eastAsia="仿宋" w:cs="仿宋"/>
          <w:b/>
          <w:sz w:val="28"/>
          <w:szCs w:val="28"/>
        </w:rPr>
      </w:pPr>
      <w:r>
        <w:rPr>
          <w:rFonts w:hint="eastAsia" w:ascii="仿宋" w:hAnsi="仿宋" w:eastAsia="仿宋" w:cs="仿宋"/>
          <w:b/>
          <w:sz w:val="28"/>
          <w:szCs w:val="28"/>
        </w:rPr>
        <w:t>三、履约验收方案</w:t>
      </w:r>
    </w:p>
    <w:p w14:paraId="65F0EF1E">
      <w:pPr>
        <w:spacing w:line="360" w:lineRule="auto"/>
        <w:jc w:val="left"/>
        <w:rPr>
          <w:rFonts w:hint="eastAsia" w:ascii="仿宋" w:hAnsi="仿宋" w:eastAsia="仿宋" w:cs="仿宋"/>
          <w:sz w:val="24"/>
        </w:rPr>
      </w:pPr>
      <w:r>
        <w:rPr>
          <w:rFonts w:hint="eastAsia" w:ascii="仿宋" w:hAnsi="仿宋" w:eastAsia="仿宋" w:cs="仿宋"/>
          <w:sz w:val="24"/>
        </w:rPr>
        <w:t>（一）履约验收主体</w:t>
      </w:r>
    </w:p>
    <w:p w14:paraId="784DE7C7">
      <w:pPr>
        <w:spacing w:line="360" w:lineRule="auto"/>
        <w:ind w:left="420" w:leftChars="200"/>
        <w:jc w:val="left"/>
        <w:rPr>
          <w:rFonts w:hint="eastAsia" w:ascii="仿宋" w:hAnsi="仿宋" w:eastAsia="仿宋" w:cs="仿宋"/>
          <w:sz w:val="24"/>
        </w:rPr>
      </w:pPr>
      <w:r>
        <w:rPr>
          <w:rFonts w:hint="eastAsia" w:ascii="仿宋" w:hAnsi="仿宋" w:eastAsia="仿宋" w:cs="仿宋"/>
          <w:sz w:val="24"/>
        </w:rPr>
        <w:t>1.采购单位：</w:t>
      </w:r>
      <w:r>
        <w:rPr>
          <w:rFonts w:hint="eastAsia" w:ascii="仿宋" w:hAnsi="仿宋" w:eastAsia="仿宋" w:cs="仿宋"/>
          <w:sz w:val="24"/>
          <w:szCs w:val="24"/>
          <w:u w:val="none"/>
          <w:lang w:eastAsia="zh-CN"/>
        </w:rPr>
        <w:t>舟山市定海区公路与运输管理中心</w:t>
      </w:r>
      <w:r>
        <w:rPr>
          <w:rFonts w:hint="eastAsia" w:ascii="仿宋" w:hAnsi="仿宋" w:eastAsia="仿宋" w:cs="仿宋"/>
          <w:sz w:val="24"/>
          <w:szCs w:val="24"/>
          <w:u w:val="none"/>
          <w:lang w:val="en-US" w:eastAsia="zh-CN"/>
        </w:rPr>
        <w:t xml:space="preserve">  </w:t>
      </w:r>
    </w:p>
    <w:p w14:paraId="61A02F7E">
      <w:pPr>
        <w:spacing w:line="360" w:lineRule="auto"/>
        <w:ind w:left="420" w:leftChars="200"/>
        <w:jc w:val="left"/>
        <w:rPr>
          <w:rFonts w:hint="eastAsia" w:ascii="仿宋" w:hAnsi="仿宋" w:eastAsia="仿宋" w:cs="仿宋"/>
          <w:sz w:val="24"/>
          <w:u w:val="single"/>
        </w:rPr>
      </w:pPr>
      <w:r>
        <w:rPr>
          <w:rFonts w:hint="eastAsia" w:ascii="仿宋" w:hAnsi="仿宋" w:eastAsia="仿宋" w:cs="仿宋"/>
          <w:sz w:val="24"/>
        </w:rPr>
        <w:t>2.是否选择代理机构：</w:t>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是(委托第三方代理机构)</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否（自行验收）</w:t>
      </w:r>
    </w:p>
    <w:p w14:paraId="38F29959">
      <w:pPr>
        <w:spacing w:line="360" w:lineRule="auto"/>
        <w:ind w:left="420" w:leftChars="200"/>
        <w:jc w:val="left"/>
        <w:rPr>
          <w:rFonts w:hint="eastAsia" w:ascii="仿宋" w:hAnsi="仿宋" w:eastAsia="仿宋" w:cs="仿宋"/>
          <w:sz w:val="24"/>
          <w:u w:val="single"/>
        </w:rPr>
      </w:pPr>
      <w:r>
        <w:rPr>
          <w:rFonts w:hint="eastAsia" w:ascii="仿宋" w:hAnsi="仿宋" w:eastAsia="仿宋" w:cs="仿宋"/>
          <w:sz w:val="24"/>
        </w:rPr>
        <w:t>3.是否邀请本项目的其他供应商：</w:t>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否</w:t>
      </w:r>
    </w:p>
    <w:p w14:paraId="11CB5BBF">
      <w:pPr>
        <w:spacing w:line="360" w:lineRule="auto"/>
        <w:ind w:left="420" w:leftChars="200"/>
        <w:jc w:val="left"/>
        <w:rPr>
          <w:rFonts w:hint="eastAsia" w:ascii="仿宋" w:hAnsi="仿宋" w:eastAsia="仿宋" w:cs="仿宋"/>
          <w:sz w:val="24"/>
        </w:rPr>
      </w:pPr>
      <w:r>
        <w:rPr>
          <w:rFonts w:hint="eastAsia" w:ascii="仿宋" w:hAnsi="仿宋" w:eastAsia="仿宋" w:cs="仿宋"/>
          <w:sz w:val="24"/>
        </w:rPr>
        <w:t>4.是否邀请专家：</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否</w:t>
      </w:r>
    </w:p>
    <w:p w14:paraId="6D80D074">
      <w:pPr>
        <w:spacing w:line="360" w:lineRule="auto"/>
        <w:ind w:left="420" w:leftChars="200"/>
        <w:jc w:val="left"/>
        <w:rPr>
          <w:rFonts w:hint="eastAsia" w:ascii="仿宋" w:hAnsi="仿宋" w:eastAsia="仿宋" w:cs="仿宋"/>
          <w:sz w:val="24"/>
        </w:rPr>
      </w:pPr>
      <w:r>
        <w:rPr>
          <w:rFonts w:hint="eastAsia" w:ascii="仿宋" w:hAnsi="仿宋" w:eastAsia="仿宋" w:cs="仿宋"/>
          <w:sz w:val="24"/>
        </w:rPr>
        <w:t>5.是否邀请服务对象：</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否</w:t>
      </w:r>
    </w:p>
    <w:p w14:paraId="4E919D0F">
      <w:pPr>
        <w:spacing w:line="360" w:lineRule="auto"/>
        <w:ind w:firstLine="420"/>
        <w:jc w:val="left"/>
        <w:rPr>
          <w:rFonts w:hint="eastAsia" w:ascii="仿宋" w:hAnsi="仿宋" w:eastAsia="仿宋" w:cs="仿宋"/>
          <w:sz w:val="24"/>
          <w:u w:val="single"/>
          <w:lang w:eastAsia="zh-CN"/>
        </w:rPr>
      </w:pPr>
      <w:r>
        <w:rPr>
          <w:rFonts w:hint="eastAsia" w:ascii="仿宋" w:hAnsi="仿宋" w:eastAsia="仿宋" w:cs="仿宋"/>
          <w:sz w:val="24"/>
        </w:rPr>
        <w:t>6.其他</w:t>
      </w:r>
      <w:r>
        <w:rPr>
          <w:rFonts w:hint="eastAsia" w:ascii="仿宋" w:hAnsi="仿宋" w:eastAsia="仿宋" w:cs="仿宋"/>
          <w:sz w:val="24"/>
          <w:lang w:eastAsia="zh-CN"/>
        </w:rPr>
        <w:t>：</w:t>
      </w:r>
      <w:r>
        <w:rPr>
          <w:rFonts w:hint="eastAsia" w:ascii="仿宋" w:hAnsi="仿宋" w:eastAsia="仿宋" w:cs="仿宋"/>
          <w:sz w:val="24"/>
          <w:u w:val="single"/>
          <w:lang w:val="en-US" w:eastAsia="zh-CN"/>
        </w:rPr>
        <w:t>无</w:t>
      </w:r>
    </w:p>
    <w:p w14:paraId="1A887B65">
      <w:pPr>
        <w:spacing w:line="360" w:lineRule="auto"/>
        <w:jc w:val="left"/>
        <w:rPr>
          <w:rFonts w:hint="default" w:ascii="仿宋" w:hAnsi="仿宋" w:eastAsia="仿宋" w:cs="仿宋"/>
          <w:sz w:val="24"/>
          <w:highlight w:val="none"/>
          <w:u w:val="single"/>
          <w:lang w:val="en-US"/>
        </w:rPr>
      </w:pPr>
      <w:r>
        <w:rPr>
          <w:rFonts w:hint="eastAsia" w:ascii="仿宋" w:hAnsi="仿宋" w:eastAsia="仿宋" w:cs="仿宋"/>
          <w:sz w:val="24"/>
          <w:highlight w:val="none"/>
        </w:rPr>
        <w:t>（二）履约验收时间：</w:t>
      </w:r>
      <w:r>
        <w:rPr>
          <w:rFonts w:hint="eastAsia" w:ascii="仿宋" w:hAnsi="仿宋" w:eastAsia="仿宋" w:cs="仿宋"/>
          <w:sz w:val="24"/>
          <w:highlight w:val="none"/>
          <w:u w:val="single"/>
          <w:lang w:val="en-US" w:eastAsia="zh-CN"/>
        </w:rPr>
        <w:t>按年度考核</w:t>
      </w:r>
    </w:p>
    <w:p w14:paraId="2FD724BD">
      <w:pPr>
        <w:spacing w:line="360" w:lineRule="auto"/>
        <w:jc w:val="left"/>
        <w:rPr>
          <w:rFonts w:hint="eastAsia" w:ascii="仿宋" w:hAnsi="仿宋" w:eastAsia="仿宋" w:cs="仿宋"/>
          <w:sz w:val="24"/>
        </w:rPr>
      </w:pPr>
      <w:r>
        <w:rPr>
          <w:rFonts w:hint="eastAsia" w:ascii="仿宋" w:hAnsi="仿宋" w:eastAsia="仿宋" w:cs="仿宋"/>
          <w:sz w:val="24"/>
        </w:rPr>
        <w:t>（三）履约验收方式：</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一般程序</w:t>
      </w:r>
    </w:p>
    <w:p w14:paraId="34427C9D">
      <w:pPr>
        <w:spacing w:line="360" w:lineRule="auto"/>
        <w:jc w:val="left"/>
        <w:rPr>
          <w:rFonts w:hint="eastAsia" w:ascii="仿宋" w:hAnsi="仿宋" w:eastAsia="仿宋" w:cs="仿宋"/>
          <w:sz w:val="24"/>
        </w:rPr>
      </w:pPr>
      <w:r>
        <w:rPr>
          <w:rFonts w:hint="eastAsia" w:ascii="仿宋" w:hAnsi="仿宋" w:eastAsia="仿宋" w:cs="仿宋"/>
          <w:sz w:val="24"/>
        </w:rPr>
        <w:t>（四）履约验收程序：</w:t>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一次性验收</w:t>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分段验收</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分期验收</w:t>
      </w:r>
    </w:p>
    <w:p w14:paraId="567E2990">
      <w:pPr>
        <w:spacing w:line="360" w:lineRule="auto"/>
        <w:jc w:val="left"/>
        <w:rPr>
          <w:rFonts w:hint="eastAsia" w:ascii="仿宋" w:hAnsi="仿宋" w:eastAsia="仿宋" w:cs="仿宋"/>
          <w:sz w:val="24"/>
        </w:rPr>
      </w:pPr>
      <w:r>
        <w:rPr>
          <w:rFonts w:hint="eastAsia" w:ascii="仿宋" w:hAnsi="仿宋" w:eastAsia="仿宋" w:cs="仿宋"/>
          <w:sz w:val="24"/>
        </w:rPr>
        <w:t>（五）履约验收内容</w:t>
      </w:r>
    </w:p>
    <w:p w14:paraId="3BC98266">
      <w:pPr>
        <w:spacing w:line="360" w:lineRule="auto"/>
        <w:ind w:firstLine="420"/>
        <w:jc w:val="left"/>
        <w:rPr>
          <w:rFonts w:hint="eastAsia" w:ascii="仿宋" w:hAnsi="仿宋" w:eastAsia="仿宋" w:cs="仿宋"/>
          <w:iCs/>
          <w:sz w:val="24"/>
        </w:rPr>
      </w:pPr>
      <w:r>
        <w:rPr>
          <w:rFonts w:hint="eastAsia" w:ascii="仿宋" w:hAnsi="仿宋" w:eastAsia="仿宋" w:cs="仿宋"/>
          <w:iCs/>
          <w:sz w:val="24"/>
        </w:rPr>
        <w:t>1.技术履约内容</w:t>
      </w:r>
    </w:p>
    <w:p w14:paraId="51006C93">
      <w:pPr>
        <w:spacing w:line="360" w:lineRule="auto"/>
        <w:ind w:firstLine="420"/>
        <w:jc w:val="left"/>
        <w:rPr>
          <w:rFonts w:hint="eastAsia" w:ascii="仿宋" w:hAnsi="仿宋" w:eastAsia="仿宋" w:cs="仿宋"/>
          <w:iCs/>
          <w:sz w:val="24"/>
          <w:u w:val="single"/>
        </w:rPr>
      </w:pPr>
      <w:r>
        <w:rPr>
          <w:rFonts w:hint="eastAsia" w:ascii="仿宋" w:hAnsi="仿宋" w:eastAsia="仿宋" w:cs="仿宋"/>
          <w:iCs/>
          <w:sz w:val="24"/>
          <w:u w:val="single"/>
        </w:rPr>
        <w:t>1）满足所有采购需求及</w:t>
      </w:r>
      <w:r>
        <w:rPr>
          <w:rFonts w:hint="eastAsia" w:ascii="仿宋" w:hAnsi="仿宋" w:eastAsia="仿宋" w:cs="仿宋"/>
          <w:iCs/>
          <w:sz w:val="24"/>
          <w:u w:val="single"/>
          <w:lang w:val="en-US" w:eastAsia="zh-CN"/>
        </w:rPr>
        <w:t>投标</w:t>
      </w:r>
      <w:r>
        <w:rPr>
          <w:rFonts w:hint="eastAsia" w:ascii="仿宋" w:hAnsi="仿宋" w:eastAsia="仿宋" w:cs="仿宋"/>
          <w:iCs/>
          <w:sz w:val="24"/>
          <w:u w:val="single"/>
        </w:rPr>
        <w:t>文件承诺</w:t>
      </w:r>
      <w:r>
        <w:rPr>
          <w:rFonts w:hint="eastAsia" w:ascii="仿宋" w:hAnsi="仿宋" w:eastAsia="仿宋" w:cs="仿宋"/>
          <w:iCs/>
          <w:sz w:val="24"/>
          <w:u w:val="single"/>
          <w:lang w:eastAsia="zh-CN"/>
        </w:rPr>
        <w:t>、</w:t>
      </w:r>
      <w:r>
        <w:rPr>
          <w:rFonts w:hint="eastAsia" w:ascii="仿宋" w:hAnsi="仿宋" w:eastAsia="仿宋" w:cs="仿宋"/>
          <w:iCs/>
          <w:sz w:val="24"/>
          <w:u w:val="single"/>
          <w:lang w:val="en-US" w:eastAsia="zh-CN"/>
        </w:rPr>
        <w:t>合同要求</w:t>
      </w:r>
      <w:r>
        <w:rPr>
          <w:rFonts w:hint="eastAsia" w:ascii="仿宋" w:hAnsi="仿宋" w:eastAsia="仿宋" w:cs="仿宋"/>
          <w:iCs/>
          <w:sz w:val="24"/>
          <w:u w:val="single"/>
        </w:rPr>
        <w:t>；</w:t>
      </w:r>
    </w:p>
    <w:p w14:paraId="7482336F">
      <w:pPr>
        <w:spacing w:line="360" w:lineRule="auto"/>
        <w:ind w:firstLine="420"/>
        <w:jc w:val="left"/>
        <w:rPr>
          <w:rFonts w:hint="eastAsia" w:ascii="仿宋" w:hAnsi="仿宋" w:eastAsia="仿宋" w:cs="仿宋"/>
          <w:iCs/>
          <w:sz w:val="24"/>
          <w:u w:val="single"/>
        </w:rPr>
      </w:pPr>
      <w:r>
        <w:rPr>
          <w:rFonts w:hint="eastAsia" w:ascii="仿宋" w:hAnsi="仿宋" w:eastAsia="仿宋" w:cs="仿宋"/>
          <w:iCs/>
          <w:sz w:val="24"/>
          <w:u w:val="single"/>
        </w:rPr>
        <w:t>2）拟投服务团队管理人员全部到位，与响应文件</w:t>
      </w:r>
      <w:r>
        <w:rPr>
          <w:rFonts w:hint="eastAsia" w:ascii="仿宋" w:hAnsi="仿宋" w:eastAsia="仿宋" w:cs="仿宋"/>
          <w:iCs/>
          <w:sz w:val="24"/>
          <w:u w:val="single"/>
          <w:lang w:eastAsia="zh-CN"/>
        </w:rPr>
        <w:t>、</w:t>
      </w:r>
      <w:r>
        <w:rPr>
          <w:rFonts w:hint="eastAsia" w:ascii="仿宋" w:hAnsi="仿宋" w:eastAsia="仿宋" w:cs="仿宋"/>
          <w:iCs/>
          <w:sz w:val="24"/>
          <w:u w:val="single"/>
          <w:lang w:val="en-US" w:eastAsia="zh-CN"/>
        </w:rPr>
        <w:t>合同要求（若有）</w:t>
      </w:r>
      <w:r>
        <w:rPr>
          <w:rFonts w:hint="eastAsia" w:ascii="仿宋" w:hAnsi="仿宋" w:eastAsia="仿宋" w:cs="仿宋"/>
          <w:iCs/>
          <w:sz w:val="24"/>
          <w:u w:val="single"/>
        </w:rPr>
        <w:t>管理人员信息清单一致。</w:t>
      </w:r>
    </w:p>
    <w:p w14:paraId="23CC4671">
      <w:pPr>
        <w:spacing w:line="360" w:lineRule="auto"/>
        <w:ind w:firstLine="420"/>
        <w:jc w:val="left"/>
        <w:rPr>
          <w:rFonts w:hint="eastAsia" w:ascii="仿宋" w:hAnsi="仿宋" w:eastAsia="仿宋" w:cs="仿宋"/>
          <w:iCs/>
          <w:sz w:val="24"/>
        </w:rPr>
      </w:pPr>
      <w:r>
        <w:rPr>
          <w:rFonts w:hint="eastAsia" w:ascii="仿宋" w:hAnsi="仿宋" w:eastAsia="仿宋" w:cs="仿宋"/>
          <w:iCs/>
          <w:sz w:val="24"/>
        </w:rPr>
        <w:t>2.商务履约内容</w:t>
      </w:r>
    </w:p>
    <w:p w14:paraId="239F0AC1">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1）服务周期满足采购要求。</w:t>
      </w:r>
    </w:p>
    <w:p w14:paraId="1743EBD7">
      <w:pPr>
        <w:spacing w:line="360" w:lineRule="auto"/>
        <w:jc w:val="left"/>
        <w:rPr>
          <w:rFonts w:hint="eastAsia" w:ascii="仿宋" w:hAnsi="仿宋" w:eastAsia="仿宋" w:cs="仿宋"/>
          <w:sz w:val="24"/>
        </w:rPr>
      </w:pPr>
      <w:r>
        <w:rPr>
          <w:rFonts w:hint="eastAsia" w:ascii="仿宋" w:hAnsi="仿宋" w:eastAsia="仿宋" w:cs="仿宋"/>
          <w:sz w:val="24"/>
        </w:rPr>
        <w:t>（六）履约验收标准</w:t>
      </w:r>
    </w:p>
    <w:p w14:paraId="21C252E0">
      <w:pPr>
        <w:spacing w:line="360" w:lineRule="auto"/>
        <w:ind w:firstLine="240" w:firstLineChars="100"/>
        <w:jc w:val="left"/>
        <w:rPr>
          <w:rFonts w:hint="eastAsia" w:ascii="仿宋" w:hAnsi="仿宋" w:eastAsia="仿宋" w:cs="仿宋"/>
          <w:sz w:val="24"/>
          <w:u w:val="single"/>
        </w:rPr>
      </w:pPr>
      <w:r>
        <w:rPr>
          <w:rFonts w:hint="eastAsia" w:ascii="仿宋" w:hAnsi="仿宋" w:eastAsia="仿宋" w:cs="仿宋"/>
          <w:sz w:val="24"/>
          <w:u w:val="single"/>
        </w:rPr>
        <w:t>1）满足所有采购需求及响应文件承诺；</w:t>
      </w:r>
    </w:p>
    <w:p w14:paraId="084BCFC2">
      <w:pPr>
        <w:spacing w:line="360" w:lineRule="auto"/>
        <w:ind w:firstLine="240" w:firstLineChars="100"/>
        <w:jc w:val="left"/>
        <w:rPr>
          <w:rFonts w:hint="eastAsia" w:ascii="仿宋" w:hAnsi="仿宋" w:eastAsia="仿宋" w:cs="仿宋"/>
          <w:sz w:val="24"/>
          <w:u w:val="single"/>
        </w:rPr>
      </w:pPr>
      <w:r>
        <w:rPr>
          <w:rFonts w:hint="eastAsia" w:ascii="仿宋" w:hAnsi="仿宋" w:eastAsia="仿宋" w:cs="仿宋"/>
          <w:sz w:val="24"/>
          <w:u w:val="single"/>
        </w:rPr>
        <w:t>2）拟投服务团队管理人员全部到位，与响应文件管理人员信息清单一致；</w:t>
      </w:r>
    </w:p>
    <w:p w14:paraId="7F1E7592">
      <w:pPr>
        <w:spacing w:line="360" w:lineRule="auto"/>
        <w:ind w:firstLine="240" w:firstLineChars="100"/>
        <w:jc w:val="left"/>
        <w:rPr>
          <w:rFonts w:hint="eastAsia" w:ascii="仿宋" w:hAnsi="仿宋" w:eastAsia="仿宋" w:cs="仿宋"/>
          <w:sz w:val="24"/>
          <w:u w:val="single"/>
        </w:rPr>
      </w:pPr>
      <w:r>
        <w:rPr>
          <w:rFonts w:hint="eastAsia" w:ascii="仿宋" w:hAnsi="仿宋" w:eastAsia="仿宋" w:cs="仿宋"/>
          <w:sz w:val="24"/>
          <w:u w:val="single"/>
        </w:rPr>
        <w:t>3）项目验收资料齐全；</w:t>
      </w:r>
    </w:p>
    <w:p w14:paraId="0219C425">
      <w:pPr>
        <w:spacing w:line="360" w:lineRule="auto"/>
        <w:ind w:firstLine="240" w:firstLineChars="100"/>
        <w:jc w:val="left"/>
        <w:rPr>
          <w:rFonts w:hint="eastAsia" w:ascii="仿宋" w:hAnsi="仿宋" w:eastAsia="仿宋" w:cs="仿宋"/>
          <w:sz w:val="24"/>
          <w:u w:val="none"/>
        </w:rPr>
      </w:pPr>
      <w:r>
        <w:rPr>
          <w:rFonts w:hint="eastAsia" w:ascii="仿宋" w:hAnsi="仿宋" w:eastAsia="仿宋" w:cs="仿宋"/>
          <w:sz w:val="24"/>
          <w:u w:val="none"/>
        </w:rPr>
        <w:t>（七）履约验收其他事项</w:t>
      </w:r>
    </w:p>
    <w:p w14:paraId="7C03A40C">
      <w:pPr>
        <w:spacing w:line="360" w:lineRule="auto"/>
        <w:ind w:firstLine="240" w:firstLineChars="100"/>
        <w:jc w:val="left"/>
        <w:rPr>
          <w:rFonts w:hint="eastAsia" w:ascii="仿宋" w:hAnsi="仿宋" w:eastAsia="仿宋" w:cs="仿宋"/>
          <w:sz w:val="24"/>
          <w:u w:val="single"/>
        </w:rPr>
      </w:pPr>
      <w:r>
        <w:rPr>
          <w:rFonts w:hint="eastAsia" w:ascii="仿宋" w:hAnsi="仿宋" w:eastAsia="仿宋" w:cs="仿宋"/>
          <w:sz w:val="24"/>
          <w:u w:val="singl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5732FE5D">
      <w:pPr>
        <w:spacing w:line="360" w:lineRule="auto"/>
        <w:ind w:firstLine="240" w:firstLineChars="100"/>
        <w:jc w:val="left"/>
        <w:rPr>
          <w:rFonts w:hint="eastAsia" w:ascii="仿宋" w:hAnsi="仿宋" w:eastAsia="仿宋" w:cs="仿宋"/>
          <w:sz w:val="24"/>
          <w:u w:val="single"/>
        </w:rPr>
      </w:pPr>
      <w:r>
        <w:rPr>
          <w:rFonts w:hint="eastAsia" w:ascii="仿宋" w:hAnsi="仿宋" w:eastAsia="仿宋" w:cs="仿宋"/>
          <w:sz w:val="24"/>
          <w:u w:val="singl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4DE67D97">
      <w:pPr>
        <w:spacing w:beforeLines="100" w:line="360" w:lineRule="auto"/>
        <w:jc w:val="left"/>
        <w:rPr>
          <w:rFonts w:hint="eastAsia" w:ascii="仿宋" w:hAnsi="仿宋" w:eastAsia="仿宋" w:cs="仿宋"/>
          <w:b/>
          <w:sz w:val="28"/>
          <w:szCs w:val="28"/>
        </w:rPr>
      </w:pPr>
      <w:r>
        <w:rPr>
          <w:rFonts w:hint="eastAsia" w:ascii="仿宋" w:hAnsi="仿宋" w:eastAsia="仿宋" w:cs="仿宋"/>
          <w:b/>
          <w:sz w:val="28"/>
          <w:szCs w:val="28"/>
        </w:rPr>
        <w:t>四、风险控制措施和替代方案</w:t>
      </w:r>
    </w:p>
    <w:p w14:paraId="50ABF129">
      <w:pPr>
        <w:spacing w:line="360" w:lineRule="auto"/>
        <w:ind w:firstLine="420"/>
        <w:jc w:val="left"/>
        <w:rPr>
          <w:rFonts w:hint="eastAsia" w:ascii="仿宋" w:hAnsi="仿宋" w:eastAsia="仿宋" w:cs="仿宋"/>
          <w:sz w:val="24"/>
        </w:rPr>
      </w:pPr>
      <w:r>
        <w:rPr>
          <w:rFonts w:hint="eastAsia" w:ascii="仿宋" w:hAnsi="仿宋" w:eastAsia="仿宋" w:cs="仿宋"/>
          <w:sz w:val="24"/>
        </w:rPr>
        <w:t>该采购项目按照《政府采购需求管理办法》第二十五条规定，是否需要组织风险判断、提出处置措施和替代方案：</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sym w:font="Wingdings 2" w:char="F0A3"/>
      </w:r>
      <w:r>
        <w:rPr>
          <w:rFonts w:hint="eastAsia" w:ascii="仿宋" w:hAnsi="仿宋" w:eastAsia="仿宋" w:cs="仿宋"/>
          <w:sz w:val="24"/>
        </w:rPr>
        <w:t>否</w:t>
      </w:r>
    </w:p>
    <w:p w14:paraId="41401268">
      <w:pPr>
        <w:spacing w:line="360" w:lineRule="auto"/>
        <w:jc w:val="left"/>
        <w:outlineLvl w:val="1"/>
        <w:rPr>
          <w:rFonts w:hint="eastAsia" w:ascii="仿宋" w:hAnsi="仿宋" w:eastAsia="仿宋" w:cs="仿宋"/>
          <w:color w:val="000000"/>
          <w:sz w:val="24"/>
          <w:szCs w:val="24"/>
          <w:highlight w:val="none"/>
        </w:rPr>
      </w:pPr>
      <w:bookmarkStart w:id="36" w:name="_Toc29357"/>
      <w:r>
        <w:rPr>
          <w:rFonts w:hint="eastAsia" w:ascii="仿宋" w:hAnsi="仿宋" w:eastAsia="仿宋" w:cs="仿宋"/>
          <w:color w:val="000000"/>
          <w:sz w:val="24"/>
          <w:szCs w:val="24"/>
          <w:highlight w:val="none"/>
        </w:rPr>
        <w:t>（一）国家政策变化应对措施</w:t>
      </w:r>
      <w:bookmarkEnd w:id="36"/>
    </w:p>
    <w:p w14:paraId="337DEBB6">
      <w:pPr>
        <w:spacing w:line="360" w:lineRule="auto"/>
        <w:ind w:firstLine="420"/>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 xml:space="preserve">如遇到国家政策发生变化，根据新的政策进行采购需求调整。 </w:t>
      </w:r>
    </w:p>
    <w:p w14:paraId="57C0CCE1">
      <w:pPr>
        <w:spacing w:line="360" w:lineRule="auto"/>
        <w:jc w:val="left"/>
        <w:outlineLvl w:val="1"/>
        <w:rPr>
          <w:rFonts w:hint="eastAsia" w:ascii="仿宋" w:hAnsi="仿宋" w:eastAsia="仿宋" w:cs="仿宋"/>
          <w:color w:val="000000"/>
          <w:sz w:val="24"/>
          <w:szCs w:val="24"/>
          <w:highlight w:val="none"/>
        </w:rPr>
      </w:pPr>
      <w:bookmarkStart w:id="37" w:name="_Toc516"/>
      <w:r>
        <w:rPr>
          <w:rFonts w:hint="eastAsia" w:ascii="仿宋" w:hAnsi="仿宋" w:eastAsia="仿宋" w:cs="仿宋"/>
          <w:color w:val="000000"/>
          <w:sz w:val="24"/>
          <w:szCs w:val="24"/>
          <w:highlight w:val="none"/>
        </w:rPr>
        <w:t>（二）实施环境变化应对措施</w:t>
      </w:r>
      <w:bookmarkEnd w:id="37"/>
    </w:p>
    <w:p w14:paraId="5E57D0E0">
      <w:pPr>
        <w:spacing w:line="360" w:lineRule="auto"/>
        <w:ind w:firstLine="420"/>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 xml:space="preserve">如遇到实施环境发生变化，根据新的实施环境进行采购需求调整。 </w:t>
      </w:r>
    </w:p>
    <w:p w14:paraId="4B694F8A">
      <w:pPr>
        <w:spacing w:line="360" w:lineRule="auto"/>
        <w:jc w:val="left"/>
        <w:outlineLvl w:val="1"/>
        <w:rPr>
          <w:rFonts w:hint="eastAsia" w:ascii="仿宋" w:hAnsi="仿宋" w:eastAsia="仿宋" w:cs="仿宋"/>
          <w:color w:val="000000"/>
          <w:sz w:val="24"/>
          <w:szCs w:val="24"/>
          <w:highlight w:val="none"/>
        </w:rPr>
      </w:pPr>
      <w:bookmarkStart w:id="38" w:name="_Toc9608"/>
      <w:r>
        <w:rPr>
          <w:rFonts w:hint="eastAsia" w:ascii="仿宋" w:hAnsi="仿宋" w:eastAsia="仿宋" w:cs="仿宋"/>
          <w:color w:val="000000"/>
          <w:sz w:val="24"/>
          <w:szCs w:val="24"/>
          <w:highlight w:val="none"/>
        </w:rPr>
        <w:t>（三）重大技术变化应对措施</w:t>
      </w:r>
      <w:bookmarkEnd w:id="38"/>
    </w:p>
    <w:p w14:paraId="01C8ADF3">
      <w:pPr>
        <w:spacing w:line="360" w:lineRule="auto"/>
        <w:ind w:firstLine="420"/>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 xml:space="preserve">如遇到重大技术变化，根据变化情况进行适当调整。 </w:t>
      </w:r>
    </w:p>
    <w:p w14:paraId="39ECC440">
      <w:pPr>
        <w:spacing w:line="360" w:lineRule="auto"/>
        <w:jc w:val="left"/>
        <w:outlineLvl w:val="1"/>
        <w:rPr>
          <w:rFonts w:hint="eastAsia" w:ascii="仿宋" w:hAnsi="仿宋" w:eastAsia="仿宋" w:cs="仿宋"/>
          <w:color w:val="000000"/>
          <w:sz w:val="24"/>
          <w:szCs w:val="24"/>
          <w:highlight w:val="none"/>
        </w:rPr>
      </w:pPr>
      <w:bookmarkStart w:id="39" w:name="_Toc1490"/>
      <w:r>
        <w:rPr>
          <w:rFonts w:hint="eastAsia" w:ascii="仿宋" w:hAnsi="仿宋" w:eastAsia="仿宋" w:cs="仿宋"/>
          <w:color w:val="000000"/>
          <w:sz w:val="24"/>
          <w:szCs w:val="24"/>
          <w:highlight w:val="none"/>
        </w:rPr>
        <w:t>（四）预算项目调整应对措施</w:t>
      </w:r>
      <w:bookmarkEnd w:id="39"/>
    </w:p>
    <w:p w14:paraId="204726F9">
      <w:pPr>
        <w:spacing w:line="360" w:lineRule="auto"/>
        <w:ind w:firstLine="420"/>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 xml:space="preserve"> 根据调整后的项目预算更新采购需求。 </w:t>
      </w:r>
    </w:p>
    <w:p w14:paraId="562495CA">
      <w:pPr>
        <w:spacing w:line="360" w:lineRule="auto"/>
        <w:jc w:val="left"/>
        <w:outlineLvl w:val="1"/>
        <w:rPr>
          <w:rFonts w:hint="eastAsia" w:ascii="仿宋" w:hAnsi="仿宋" w:eastAsia="仿宋" w:cs="仿宋"/>
          <w:color w:val="000000"/>
          <w:sz w:val="24"/>
          <w:szCs w:val="24"/>
          <w:highlight w:val="none"/>
        </w:rPr>
      </w:pPr>
      <w:bookmarkStart w:id="40" w:name="_Toc1573"/>
      <w:r>
        <w:rPr>
          <w:rFonts w:hint="eastAsia" w:ascii="仿宋" w:hAnsi="仿宋" w:eastAsia="仿宋" w:cs="仿宋"/>
          <w:color w:val="000000"/>
          <w:sz w:val="24"/>
          <w:szCs w:val="24"/>
          <w:highlight w:val="none"/>
        </w:rPr>
        <w:t>（五）因质疑投诉影响采购进度应对措施</w:t>
      </w:r>
      <w:bookmarkEnd w:id="40"/>
    </w:p>
    <w:p w14:paraId="64403A49">
      <w:pPr>
        <w:spacing w:line="360" w:lineRule="auto"/>
        <w:ind w:firstLine="420"/>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如必要，采用其他采购方式进行采购。</w:t>
      </w:r>
    </w:p>
    <w:p w14:paraId="7EBEA5E8">
      <w:pPr>
        <w:spacing w:line="360" w:lineRule="auto"/>
        <w:jc w:val="left"/>
        <w:outlineLvl w:val="1"/>
        <w:rPr>
          <w:rFonts w:hint="eastAsia" w:ascii="仿宋" w:hAnsi="仿宋" w:eastAsia="仿宋" w:cs="仿宋"/>
          <w:color w:val="000000"/>
          <w:sz w:val="24"/>
          <w:szCs w:val="24"/>
          <w:highlight w:val="none"/>
        </w:rPr>
      </w:pPr>
      <w:bookmarkStart w:id="41" w:name="_Toc23686"/>
      <w:r>
        <w:rPr>
          <w:rFonts w:hint="eastAsia" w:ascii="仿宋" w:hAnsi="仿宋" w:eastAsia="仿宋" w:cs="仿宋"/>
          <w:color w:val="000000"/>
          <w:sz w:val="24"/>
          <w:szCs w:val="24"/>
          <w:highlight w:val="none"/>
        </w:rPr>
        <w:t>（六）采购失败应对措施</w:t>
      </w:r>
      <w:bookmarkEnd w:id="41"/>
    </w:p>
    <w:p w14:paraId="3A870DA6">
      <w:pPr>
        <w:spacing w:line="360" w:lineRule="auto"/>
        <w:ind w:firstLine="420"/>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调查取证和重新组织专家复审、认证，重新启动采购程序。</w:t>
      </w:r>
    </w:p>
    <w:p w14:paraId="5E8197D7">
      <w:pPr>
        <w:spacing w:line="360" w:lineRule="auto"/>
        <w:jc w:val="left"/>
        <w:outlineLvl w:val="1"/>
        <w:rPr>
          <w:rFonts w:hint="eastAsia" w:ascii="仿宋" w:hAnsi="仿宋" w:eastAsia="仿宋" w:cs="仿宋"/>
          <w:color w:val="000000"/>
          <w:sz w:val="24"/>
          <w:szCs w:val="24"/>
          <w:highlight w:val="none"/>
        </w:rPr>
      </w:pPr>
      <w:bookmarkStart w:id="42" w:name="_Toc25221"/>
      <w:r>
        <w:rPr>
          <w:rFonts w:hint="eastAsia" w:ascii="仿宋" w:hAnsi="仿宋" w:eastAsia="仿宋" w:cs="仿宋"/>
          <w:color w:val="000000"/>
          <w:sz w:val="24"/>
          <w:szCs w:val="24"/>
          <w:highlight w:val="none"/>
        </w:rPr>
        <w:t>（七）不按规定签订或者履行合同应对措施</w:t>
      </w:r>
      <w:bookmarkEnd w:id="42"/>
    </w:p>
    <w:p w14:paraId="54426610">
      <w:pPr>
        <w:spacing w:line="360" w:lineRule="auto"/>
        <w:ind w:firstLine="42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要求承担继续履行、采取补救措施或者赔偿损失等违约责任</w:t>
      </w:r>
      <w:r>
        <w:rPr>
          <w:rFonts w:hint="eastAsia" w:ascii="仿宋" w:hAnsi="仿宋" w:eastAsia="仿宋" w:cs="仿宋"/>
          <w:color w:val="000000"/>
          <w:sz w:val="24"/>
          <w:szCs w:val="24"/>
          <w:highlight w:val="none"/>
          <w:u w:val="single"/>
          <w:lang w:eastAsia="zh-CN"/>
        </w:rPr>
        <w:t>。</w:t>
      </w:r>
      <w:r>
        <w:rPr>
          <w:rFonts w:hint="eastAsia" w:ascii="仿宋" w:hAnsi="仿宋" w:eastAsia="仿宋" w:cs="仿宋"/>
          <w:color w:val="000000"/>
          <w:sz w:val="24"/>
          <w:szCs w:val="24"/>
          <w:highlight w:val="none"/>
        </w:rPr>
        <w:t xml:space="preserve">                                                         </w:t>
      </w:r>
    </w:p>
    <w:p w14:paraId="7D1EDEB0">
      <w:pPr>
        <w:spacing w:line="360" w:lineRule="auto"/>
        <w:jc w:val="left"/>
        <w:outlineLvl w:val="1"/>
        <w:rPr>
          <w:rFonts w:hint="eastAsia" w:ascii="仿宋" w:hAnsi="仿宋" w:eastAsia="仿宋" w:cs="仿宋"/>
          <w:color w:val="000000"/>
          <w:sz w:val="24"/>
          <w:szCs w:val="24"/>
          <w:highlight w:val="none"/>
        </w:rPr>
      </w:pPr>
      <w:bookmarkStart w:id="43" w:name="_Toc18321"/>
      <w:r>
        <w:rPr>
          <w:rFonts w:hint="eastAsia" w:ascii="仿宋" w:hAnsi="仿宋" w:eastAsia="仿宋" w:cs="仿宋"/>
          <w:color w:val="000000"/>
          <w:sz w:val="24"/>
          <w:szCs w:val="24"/>
          <w:highlight w:val="none"/>
        </w:rPr>
        <w:t>（八）出现损害国家利益和社会公共利益情形应对措施</w:t>
      </w:r>
      <w:bookmarkEnd w:id="43"/>
    </w:p>
    <w:p w14:paraId="2703777A">
      <w:pPr>
        <w:spacing w:line="360" w:lineRule="auto"/>
        <w:ind w:firstLine="420"/>
        <w:jc w:val="lef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 xml:space="preserve"> 变更、解除合同。 </w:t>
      </w:r>
    </w:p>
    <w:p w14:paraId="7D16B1C9">
      <w:pPr>
        <w:spacing w:line="360" w:lineRule="auto"/>
        <w:jc w:val="left"/>
        <w:rPr>
          <w:rFonts w:hint="eastAsia" w:ascii="仿宋" w:hAnsi="仿宋" w:eastAsia="仿宋" w:cs="仿宋"/>
          <w:sz w:val="24"/>
        </w:rPr>
      </w:pPr>
      <w:bookmarkStart w:id="44" w:name="_Toc15359"/>
      <w:r>
        <w:rPr>
          <w:rFonts w:hint="eastAsia" w:ascii="仿宋" w:hAnsi="仿宋" w:eastAsia="仿宋" w:cs="仿宋"/>
          <w:color w:val="000000"/>
          <w:sz w:val="24"/>
          <w:szCs w:val="24"/>
          <w:highlight w:val="none"/>
        </w:rPr>
        <w:t>（九）其他采购和合同履行过程的风险及应对措施</w:t>
      </w:r>
      <w:bookmarkEnd w:id="44"/>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无</w:t>
      </w:r>
    </w:p>
    <w:p w14:paraId="4927A36B">
      <w:pPr>
        <w:spacing w:line="360" w:lineRule="auto"/>
        <w:rPr>
          <w:rFonts w:hint="eastAsia" w:ascii="仿宋" w:hAnsi="仿宋" w:eastAsia="仿宋" w:cs="仿宋"/>
          <w:sz w:val="24"/>
        </w:rPr>
      </w:pPr>
    </w:p>
    <w:sectPr>
      <w:footerReference r:id="rId3" w:type="default"/>
      <w:footerReference r:id="rId4" w:type="even"/>
      <w:pgSz w:w="11906" w:h="16838"/>
      <w:pgMar w:top="2098" w:right="1474" w:bottom="1985"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0FA">
    <w:pPr>
      <w:pStyle w:val="11"/>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4E108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94E108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29F7B">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OGIxYzZjMTgyN2YzODY3MmEzZDcyZmU2Yjc1MmYifQ=="/>
  </w:docVars>
  <w:rsids>
    <w:rsidRoot w:val="006F0877"/>
    <w:rsid w:val="00021224"/>
    <w:rsid w:val="00023563"/>
    <w:rsid w:val="000311FD"/>
    <w:rsid w:val="00064381"/>
    <w:rsid w:val="00073752"/>
    <w:rsid w:val="000918DD"/>
    <w:rsid w:val="00092F4E"/>
    <w:rsid w:val="000B031B"/>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079B"/>
    <w:rsid w:val="00251D5B"/>
    <w:rsid w:val="00265E4D"/>
    <w:rsid w:val="0026741D"/>
    <w:rsid w:val="002678A2"/>
    <w:rsid w:val="00280777"/>
    <w:rsid w:val="00286A83"/>
    <w:rsid w:val="00286AAF"/>
    <w:rsid w:val="00295E38"/>
    <w:rsid w:val="002964A8"/>
    <w:rsid w:val="002C4305"/>
    <w:rsid w:val="002E3751"/>
    <w:rsid w:val="00321278"/>
    <w:rsid w:val="00322903"/>
    <w:rsid w:val="00331CDE"/>
    <w:rsid w:val="00340773"/>
    <w:rsid w:val="003507DB"/>
    <w:rsid w:val="0039420F"/>
    <w:rsid w:val="003C77ED"/>
    <w:rsid w:val="003D0FAE"/>
    <w:rsid w:val="003F603E"/>
    <w:rsid w:val="003F6DB7"/>
    <w:rsid w:val="00402F07"/>
    <w:rsid w:val="0040525A"/>
    <w:rsid w:val="00405CAF"/>
    <w:rsid w:val="004066EE"/>
    <w:rsid w:val="004141FE"/>
    <w:rsid w:val="00427428"/>
    <w:rsid w:val="00433722"/>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5F65BD"/>
    <w:rsid w:val="00601EDD"/>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7F58C3"/>
    <w:rsid w:val="008020B2"/>
    <w:rsid w:val="0080466B"/>
    <w:rsid w:val="00812139"/>
    <w:rsid w:val="00814F5F"/>
    <w:rsid w:val="00823618"/>
    <w:rsid w:val="00840D73"/>
    <w:rsid w:val="008648F3"/>
    <w:rsid w:val="0087065E"/>
    <w:rsid w:val="00880915"/>
    <w:rsid w:val="00891EF2"/>
    <w:rsid w:val="0089598D"/>
    <w:rsid w:val="00896E24"/>
    <w:rsid w:val="008C58C5"/>
    <w:rsid w:val="008E73BC"/>
    <w:rsid w:val="008F199C"/>
    <w:rsid w:val="008F4E3B"/>
    <w:rsid w:val="0090340B"/>
    <w:rsid w:val="00917BE6"/>
    <w:rsid w:val="0092280E"/>
    <w:rsid w:val="00924EB1"/>
    <w:rsid w:val="0092766B"/>
    <w:rsid w:val="00927AE6"/>
    <w:rsid w:val="00932CFC"/>
    <w:rsid w:val="00945456"/>
    <w:rsid w:val="00962109"/>
    <w:rsid w:val="00970BA3"/>
    <w:rsid w:val="00975ECD"/>
    <w:rsid w:val="00987C9E"/>
    <w:rsid w:val="00994A11"/>
    <w:rsid w:val="009A09E5"/>
    <w:rsid w:val="009B1B0C"/>
    <w:rsid w:val="009C7390"/>
    <w:rsid w:val="009D0BEE"/>
    <w:rsid w:val="00A02CC7"/>
    <w:rsid w:val="00A21567"/>
    <w:rsid w:val="00A55C7D"/>
    <w:rsid w:val="00A63E98"/>
    <w:rsid w:val="00A71836"/>
    <w:rsid w:val="00A7297B"/>
    <w:rsid w:val="00A8253E"/>
    <w:rsid w:val="00A855A9"/>
    <w:rsid w:val="00A91983"/>
    <w:rsid w:val="00AA13CF"/>
    <w:rsid w:val="00AA50E3"/>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20034"/>
    <w:rsid w:val="00E36214"/>
    <w:rsid w:val="00E44747"/>
    <w:rsid w:val="00E608EB"/>
    <w:rsid w:val="00E62F47"/>
    <w:rsid w:val="00E717AA"/>
    <w:rsid w:val="00E725FF"/>
    <w:rsid w:val="00E74279"/>
    <w:rsid w:val="00EB34AE"/>
    <w:rsid w:val="00EC2D15"/>
    <w:rsid w:val="00EE281D"/>
    <w:rsid w:val="00F32EBD"/>
    <w:rsid w:val="00F37314"/>
    <w:rsid w:val="00F44140"/>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2873233"/>
    <w:rsid w:val="03653EFA"/>
    <w:rsid w:val="0ACB174A"/>
    <w:rsid w:val="0B3D1CA7"/>
    <w:rsid w:val="0D017602"/>
    <w:rsid w:val="0D0E5DE4"/>
    <w:rsid w:val="0DF377FA"/>
    <w:rsid w:val="0FFAA126"/>
    <w:rsid w:val="12EB635B"/>
    <w:rsid w:val="170F0F9C"/>
    <w:rsid w:val="1BDE546F"/>
    <w:rsid w:val="1BE7297C"/>
    <w:rsid w:val="1FBF5987"/>
    <w:rsid w:val="225B20BC"/>
    <w:rsid w:val="227E5F03"/>
    <w:rsid w:val="24F955CF"/>
    <w:rsid w:val="256A1F74"/>
    <w:rsid w:val="28D37CC2"/>
    <w:rsid w:val="2940100C"/>
    <w:rsid w:val="2B44637F"/>
    <w:rsid w:val="2C2E49C2"/>
    <w:rsid w:val="2CFDEC3D"/>
    <w:rsid w:val="2FF78ACD"/>
    <w:rsid w:val="32113239"/>
    <w:rsid w:val="349935AC"/>
    <w:rsid w:val="38731E68"/>
    <w:rsid w:val="3B6D61F0"/>
    <w:rsid w:val="3C793694"/>
    <w:rsid w:val="3E1A263D"/>
    <w:rsid w:val="3FFFE3D5"/>
    <w:rsid w:val="4004394A"/>
    <w:rsid w:val="4346606A"/>
    <w:rsid w:val="43B36A18"/>
    <w:rsid w:val="44C2450D"/>
    <w:rsid w:val="4D7E3ACD"/>
    <w:rsid w:val="4FB77C3C"/>
    <w:rsid w:val="50C2612C"/>
    <w:rsid w:val="50E8043F"/>
    <w:rsid w:val="57700911"/>
    <w:rsid w:val="57E9601D"/>
    <w:rsid w:val="59470402"/>
    <w:rsid w:val="5BBF1A8D"/>
    <w:rsid w:val="5D5F350C"/>
    <w:rsid w:val="5D9F79E0"/>
    <w:rsid w:val="5DBFE6CB"/>
    <w:rsid w:val="5DE80B25"/>
    <w:rsid w:val="5ED1434E"/>
    <w:rsid w:val="5EFB6B15"/>
    <w:rsid w:val="5F5DEEF0"/>
    <w:rsid w:val="5F7B0613"/>
    <w:rsid w:val="67F5AD5B"/>
    <w:rsid w:val="697433E4"/>
    <w:rsid w:val="6AE04DEA"/>
    <w:rsid w:val="6BC749A9"/>
    <w:rsid w:val="6BFFC72E"/>
    <w:rsid w:val="6C7FD9C9"/>
    <w:rsid w:val="6FC9F4BB"/>
    <w:rsid w:val="6FDA0CE7"/>
    <w:rsid w:val="6FEF5868"/>
    <w:rsid w:val="72BA7E6E"/>
    <w:rsid w:val="73DE1C6B"/>
    <w:rsid w:val="74BFF378"/>
    <w:rsid w:val="75D1599A"/>
    <w:rsid w:val="75FB23CF"/>
    <w:rsid w:val="7747C58A"/>
    <w:rsid w:val="7775E090"/>
    <w:rsid w:val="77FDC161"/>
    <w:rsid w:val="788A7D09"/>
    <w:rsid w:val="79DE2130"/>
    <w:rsid w:val="79F006D6"/>
    <w:rsid w:val="7A7F1594"/>
    <w:rsid w:val="7BEA5002"/>
    <w:rsid w:val="7BF55B1A"/>
    <w:rsid w:val="7CD3784B"/>
    <w:rsid w:val="7CF3DF71"/>
    <w:rsid w:val="7CF76844"/>
    <w:rsid w:val="7D500D30"/>
    <w:rsid w:val="7DBBA619"/>
    <w:rsid w:val="7DBE38E5"/>
    <w:rsid w:val="7DFF8764"/>
    <w:rsid w:val="7E774BE7"/>
    <w:rsid w:val="7EFD2AA6"/>
    <w:rsid w:val="7FDA7F98"/>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character" w:default="1" w:styleId="17">
    <w:name w:val="Default Paragraph Font"/>
    <w:semiHidden/>
    <w:qFormat/>
    <w:uiPriority w:val="99"/>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locked/>
    <w:uiPriority w:val="0"/>
    <w:pPr>
      <w:ind w:firstLine="420"/>
    </w:pPr>
    <w:rPr>
      <w:rFonts w:hAnsi="Calibri" w:cs="Times New Roman"/>
      <w:szCs w:val="20"/>
    </w:rPr>
  </w:style>
  <w:style w:type="paragraph" w:styleId="3">
    <w:name w:val="Body Text"/>
    <w:basedOn w:val="1"/>
    <w:next w:val="1"/>
    <w:autoRedefine/>
    <w:qFormat/>
    <w:locked/>
    <w:uiPriority w:val="0"/>
    <w:pPr>
      <w:autoSpaceDE w:val="0"/>
      <w:autoSpaceDN w:val="0"/>
      <w:spacing w:line="360" w:lineRule="auto"/>
    </w:pPr>
    <w:rPr>
      <w:rFonts w:ascii="宋体" w:hAnsi="Arial" w:cs="Arial"/>
      <w:snapToGrid w:val="0"/>
      <w:sz w:val="24"/>
      <w:szCs w:val="21"/>
      <w:lang w:val="zh-CN"/>
    </w:rPr>
  </w:style>
  <w:style w:type="paragraph" w:styleId="5">
    <w:name w:val="annotation text"/>
    <w:basedOn w:val="1"/>
    <w:semiHidden/>
    <w:unhideWhenUsed/>
    <w:qFormat/>
    <w:locked/>
    <w:uiPriority w:val="99"/>
    <w:pPr>
      <w:jc w:val="left"/>
    </w:pPr>
  </w:style>
  <w:style w:type="paragraph" w:styleId="6">
    <w:name w:val="Body Text Indent"/>
    <w:basedOn w:val="1"/>
    <w:next w:val="7"/>
    <w:autoRedefine/>
    <w:qFormat/>
    <w:locked/>
    <w:uiPriority w:val="99"/>
    <w:pPr>
      <w:spacing w:line="480" w:lineRule="exact"/>
      <w:ind w:firstLine="480" w:firstLineChars="200"/>
    </w:pPr>
    <w:rPr>
      <w:rFonts w:ascii="宋体" w:hAnsi="宋体" w:cs="宋体"/>
      <w:sz w:val="24"/>
      <w:szCs w:val="24"/>
    </w:rPr>
  </w:style>
  <w:style w:type="paragraph" w:styleId="7">
    <w:name w:val="Body Text First Indent 2"/>
    <w:basedOn w:val="6"/>
    <w:next w:val="1"/>
    <w:autoRedefine/>
    <w:qFormat/>
    <w:locked/>
    <w:uiPriority w:val="99"/>
    <w:pPr>
      <w:adjustRightInd/>
      <w:spacing w:after="120" w:line="240" w:lineRule="auto"/>
      <w:ind w:left="420" w:leftChars="200" w:firstLine="210"/>
    </w:pPr>
    <w:rPr>
      <w:sz w:val="21"/>
      <w:szCs w:val="21"/>
    </w:rPr>
  </w:style>
  <w:style w:type="paragraph" w:styleId="8">
    <w:name w:val="toc 3"/>
    <w:basedOn w:val="1"/>
    <w:next w:val="1"/>
    <w:autoRedefine/>
    <w:semiHidden/>
    <w:qFormat/>
    <w:uiPriority w:val="99"/>
    <w:pPr>
      <w:tabs>
        <w:tab w:val="right" w:leader="dot" w:pos="8268"/>
      </w:tabs>
      <w:spacing w:line="460" w:lineRule="exact"/>
      <w:ind w:left="840" w:leftChars="400" w:firstLine="482"/>
    </w:pPr>
    <w:rPr>
      <w:rFonts w:ascii="宋体" w:hAnsi="宋体" w:cs="宋体"/>
    </w:rPr>
  </w:style>
  <w:style w:type="paragraph" w:styleId="9">
    <w:name w:val="Date"/>
    <w:basedOn w:val="1"/>
    <w:next w:val="1"/>
    <w:link w:val="24"/>
    <w:qFormat/>
    <w:uiPriority w:val="99"/>
    <w:pPr>
      <w:ind w:left="100" w:leftChars="2500"/>
    </w:pPr>
  </w:style>
  <w:style w:type="paragraph" w:styleId="10">
    <w:name w:val="Balloon Text"/>
    <w:basedOn w:val="1"/>
    <w:link w:val="25"/>
    <w:semiHidden/>
    <w:qFormat/>
    <w:uiPriority w:val="99"/>
    <w:rPr>
      <w:sz w:val="18"/>
      <w:szCs w:val="18"/>
    </w:rPr>
  </w:style>
  <w:style w:type="paragraph" w:styleId="11">
    <w:name w:val="footer"/>
    <w:basedOn w:val="1"/>
    <w:link w:val="26"/>
    <w:autoRedefine/>
    <w:qFormat/>
    <w:uiPriority w:val="99"/>
    <w:pPr>
      <w:tabs>
        <w:tab w:val="center" w:pos="4153"/>
        <w:tab w:val="right" w:pos="8306"/>
      </w:tabs>
      <w:snapToGrid w:val="0"/>
      <w:jc w:val="left"/>
    </w:pPr>
    <w:rPr>
      <w:sz w:val="18"/>
      <w:szCs w:val="18"/>
    </w:rPr>
  </w:style>
  <w:style w:type="paragraph" w:styleId="12">
    <w:name w:val="header"/>
    <w:basedOn w:val="1"/>
    <w:link w:val="27"/>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autoRedefine/>
    <w:qFormat/>
    <w:uiPriority w:val="0"/>
    <w:pPr>
      <w:ind w:left="2100" w:leftChars="1000"/>
    </w:pPr>
  </w:style>
  <w:style w:type="paragraph" w:styleId="14">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page number"/>
    <w:basedOn w:val="17"/>
    <w:autoRedefine/>
    <w:qFormat/>
    <w:uiPriority w:val="99"/>
    <w:rPr>
      <w:rFonts w:cs="Times New Roman"/>
    </w:rPr>
  </w:style>
  <w:style w:type="character" w:styleId="19">
    <w:name w:val="Hyperlink"/>
    <w:basedOn w:val="17"/>
    <w:autoRedefine/>
    <w:semiHidden/>
    <w:unhideWhenUsed/>
    <w:qFormat/>
    <w:locked/>
    <w:uiPriority w:val="99"/>
    <w:rPr>
      <w:color w:val="0000FF"/>
      <w:u w:val="single"/>
    </w:rPr>
  </w:style>
  <w:style w:type="paragraph" w:customStyle="1" w:styleId="20">
    <w:name w:val="正文文本首行缩进 2"/>
    <w:basedOn w:val="21"/>
    <w:autoRedefine/>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21">
    <w:name w:val="正文缩进1"/>
    <w:basedOn w:val="22"/>
    <w:next w:val="20"/>
    <w:autoRedefine/>
    <w:qFormat/>
    <w:uiPriority w:val="99"/>
    <w:pPr>
      <w:tabs>
        <w:tab w:val="right" w:leader="dot" w:pos="8268"/>
      </w:tabs>
      <w:autoSpaceDE w:val="0"/>
      <w:autoSpaceDN w:val="0"/>
      <w:snapToGrid w:val="0"/>
      <w:spacing w:after="120" w:line="360" w:lineRule="auto"/>
      <w:ind w:left="420" w:leftChars="200" w:firstLine="480" w:firstLineChars="200"/>
    </w:pPr>
    <w:rPr>
      <w:sz w:val="24"/>
      <w:szCs w:val="24"/>
    </w:rPr>
  </w:style>
  <w:style w:type="paragraph" w:customStyle="1" w:styleId="22">
    <w:name w:val="正文1"/>
    <w:basedOn w:val="8"/>
    <w:next w:val="23"/>
    <w:autoRedefine/>
    <w:qFormat/>
    <w:uiPriority w:val="99"/>
    <w:pPr>
      <w:ind w:left="0" w:leftChars="0" w:firstLine="480" w:firstLineChars="200"/>
    </w:pPr>
    <w:rPr>
      <w:rFonts w:ascii="FangSong_GB2312" w:hAnsi="Courier New" w:eastAsia="FangSong_GB2312" w:cs="FangSong_GB2312"/>
      <w:kern w:val="28"/>
      <w:sz w:val="24"/>
      <w:szCs w:val="24"/>
    </w:rPr>
  </w:style>
  <w:style w:type="paragraph" w:customStyle="1" w:styleId="23">
    <w:name w:val="标题 21"/>
    <w:basedOn w:val="22"/>
    <w:next w:val="22"/>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character" w:customStyle="1" w:styleId="24">
    <w:name w:val="Date Char"/>
    <w:basedOn w:val="17"/>
    <w:link w:val="9"/>
    <w:autoRedefine/>
    <w:semiHidden/>
    <w:qFormat/>
    <w:locked/>
    <w:uiPriority w:val="99"/>
    <w:rPr>
      <w:rFonts w:cs="Times New Roman"/>
      <w:sz w:val="24"/>
      <w:szCs w:val="24"/>
    </w:rPr>
  </w:style>
  <w:style w:type="character" w:customStyle="1" w:styleId="25">
    <w:name w:val="Balloon Text Char"/>
    <w:basedOn w:val="17"/>
    <w:link w:val="10"/>
    <w:autoRedefine/>
    <w:semiHidden/>
    <w:qFormat/>
    <w:locked/>
    <w:uiPriority w:val="99"/>
    <w:rPr>
      <w:rFonts w:cs="Times New Roman"/>
      <w:sz w:val="2"/>
    </w:rPr>
  </w:style>
  <w:style w:type="character" w:customStyle="1" w:styleId="26">
    <w:name w:val="Footer Char"/>
    <w:basedOn w:val="17"/>
    <w:link w:val="11"/>
    <w:autoRedefine/>
    <w:qFormat/>
    <w:locked/>
    <w:uiPriority w:val="99"/>
    <w:rPr>
      <w:rFonts w:cs="Times New Roman"/>
      <w:kern w:val="2"/>
      <w:sz w:val="18"/>
    </w:rPr>
  </w:style>
  <w:style w:type="character" w:customStyle="1" w:styleId="27">
    <w:name w:val="Header Char"/>
    <w:basedOn w:val="17"/>
    <w:link w:val="12"/>
    <w:autoRedefine/>
    <w:semiHidden/>
    <w:qFormat/>
    <w:locked/>
    <w:uiPriority w:val="99"/>
    <w:rPr>
      <w:rFonts w:cs="Times New Roman"/>
      <w:sz w:val="18"/>
      <w:szCs w:val="18"/>
    </w:rPr>
  </w:style>
  <w:style w:type="character" w:customStyle="1" w:styleId="28">
    <w:name w:val="页脚 Char"/>
    <w:autoRedefine/>
    <w:qFormat/>
    <w:uiPriority w:val="99"/>
    <w:rPr>
      <w:rFonts w:eastAsia="Times New Roman"/>
      <w:sz w:val="21"/>
    </w:rPr>
  </w:style>
  <w:style w:type="paragraph" w:customStyle="1" w:styleId="29">
    <w:name w:val="xl53"/>
    <w:basedOn w:val="1"/>
    <w:next w:val="1"/>
    <w:autoRedefine/>
    <w:qFormat/>
    <w:uiPriority w:val="99"/>
    <w:pPr>
      <w:spacing w:before="280" w:after="280" w:line="100" w:lineRule="exact"/>
      <w:jc w:val="center"/>
    </w:pPr>
    <w:rPr>
      <w:b/>
      <w:sz w:val="20"/>
    </w:rPr>
  </w:style>
  <w:style w:type="paragraph" w:customStyle="1" w:styleId="30">
    <w:name w:val="正文空2字"/>
    <w:basedOn w:val="3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1">
    <w:name w:val="左对齐正文"/>
    <w:autoRedefine/>
    <w:qFormat/>
    <w:uiPriority w:val="99"/>
    <w:rPr>
      <w:rFonts w:ascii="Calibri" w:hAnsi="Calibri" w:eastAsia="仿宋_GB2312" w:cs="Calibri"/>
      <w:kern w:val="2"/>
      <w:sz w:val="32"/>
      <w:szCs w:val="32"/>
      <w:lang w:val="en-US" w:eastAsia="zh-CN" w:bidi="ar-SA"/>
    </w:rPr>
  </w:style>
  <w:style w:type="paragraph" w:customStyle="1" w:styleId="32">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38</Pages>
  <Words>10907</Words>
  <Characters>12178</Characters>
  <Lines>0</Lines>
  <Paragraphs>0</Paragraphs>
  <TotalTime>1</TotalTime>
  <ScaleCrop>false</ScaleCrop>
  <LinksUpToDate>false</LinksUpToDate>
  <CharactersWithSpaces>12304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A-Lin</cp:lastModifiedBy>
  <cp:lastPrinted>2021-07-26T01:17:00Z</cp:lastPrinted>
  <dcterms:modified xsi:type="dcterms:W3CDTF">2025-05-18T10:13:47Z</dcterms:modified>
  <dc:title>厦财采〔2021〕9号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FB80033E656C48869E6F93AA60217B89_13</vt:lpwstr>
  </property>
  <property fmtid="{D5CDD505-2E9C-101B-9397-08002B2CF9AE}" pid="4" name="KSOTemplateDocerSaveRecord">
    <vt:lpwstr>eyJoZGlkIjoiMTlmOGEyZDc5ZjBhOWY4MGZjN2ExZGM2MGQ3NjA4ZGMiLCJ1c2VySWQiOiIxMTMxMzk4NTIwIn0=</vt:lpwstr>
  </property>
</Properties>
</file>