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3A044">
      <w:pPr>
        <w:numPr>
          <w:ilvl w:val="0"/>
          <w:numId w:val="0"/>
        </w:num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项目需求</w:t>
      </w:r>
      <w:bookmarkStart w:id="0" w:name="_GoBack"/>
      <w:bookmarkEnd w:id="0"/>
    </w:p>
    <w:p w14:paraId="6D1454D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符合《医疗器械监督管理条例》（国务院令第739号）、《医疗器械使用质量监督管理办法》（原国家食品药品监督管理总局令第18号）、《医疗器械临床使用管理办法》（国家卫生健康委员会令第8号）</w:t>
      </w:r>
    </w:p>
    <w:p w14:paraId="312F52F7">
      <w:pPr>
        <w:keepNext w:val="0"/>
        <w:keepLines w:val="0"/>
        <w:pageBreakBefore w:val="0"/>
        <w:widowControl w:val="0"/>
        <w:kinsoku/>
        <w:wordWrap/>
        <w:overflowPunct/>
        <w:topLinePunct w:val="0"/>
        <w:autoSpaceDE/>
        <w:autoSpaceDN/>
        <w:bidi w:val="0"/>
        <w:adjustRightInd w:val="0"/>
        <w:snapToGrid w:val="0"/>
        <w:spacing w:before="156" w:beforeLines="50"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一、招标范围</w:t>
      </w:r>
    </w:p>
    <w:p w14:paraId="7D9541A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放射影像中心1台数字化摄影系统全年的维修、保养，服务内容：保修服务包含设备球管及全部备品备件、图像后处理工作站，服务期限3年</w:t>
      </w:r>
      <w:r>
        <w:rPr>
          <w:rFonts w:hint="eastAsia" w:ascii="宋体" w:hAnsi="宋体" w:eastAsia="宋体" w:cs="宋体"/>
          <w:bCs/>
          <w:sz w:val="24"/>
          <w:szCs w:val="24"/>
          <w:lang w:eastAsia="zh-CN"/>
        </w:rPr>
        <w:t>。</w:t>
      </w:r>
    </w:p>
    <w:p w14:paraId="4BC1AE1D">
      <w:pPr>
        <w:keepNext w:val="0"/>
        <w:keepLines w:val="0"/>
        <w:pageBreakBefore w:val="0"/>
        <w:widowControl w:val="0"/>
        <w:kinsoku/>
        <w:wordWrap/>
        <w:overflowPunct/>
        <w:topLinePunct w:val="0"/>
        <w:autoSpaceDE/>
        <w:autoSpaceDN/>
        <w:bidi w:val="0"/>
        <w:adjustRightInd w:val="0"/>
        <w:snapToGrid w:val="0"/>
        <w:spacing w:before="156" w:beforeLines="50"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二、用途说明</w:t>
      </w:r>
    </w:p>
    <w:p w14:paraId="0E99A8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一台数字胃肠室数字化摄影系统（大平板）机（型号：sonila-vision-safire17 ）的维护保养，保证维保期内正常稳定运行</w:t>
      </w:r>
      <w:r>
        <w:rPr>
          <w:rFonts w:hint="eastAsia" w:ascii="宋体" w:hAnsi="宋体" w:eastAsia="宋体" w:cs="宋体"/>
          <w:bCs/>
          <w:sz w:val="24"/>
          <w:szCs w:val="24"/>
          <w:lang w:eastAsia="zh-CN"/>
        </w:rPr>
        <w:t>。</w:t>
      </w:r>
    </w:p>
    <w:p w14:paraId="6FF6A29D">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left"/>
        <w:textAlignment w:val="auto"/>
        <w:rPr>
          <w:rFonts w:hint="eastAsia" w:ascii="宋体" w:hAnsi="宋体" w:eastAsia="宋体" w:cs="宋体"/>
          <w:b/>
          <w:sz w:val="24"/>
          <w:szCs w:val="24"/>
        </w:rPr>
      </w:pPr>
      <w:r>
        <w:rPr>
          <w:rFonts w:hint="eastAsia" w:ascii="宋体" w:hAnsi="宋体" w:eastAsia="宋体" w:cs="宋体"/>
          <w:b/>
          <w:sz w:val="24"/>
          <w:szCs w:val="24"/>
          <w:lang w:eastAsia="zh-CN"/>
        </w:rPr>
        <w:t>三</w:t>
      </w:r>
      <w:r>
        <w:rPr>
          <w:rFonts w:hint="eastAsia" w:ascii="宋体" w:hAnsi="宋体" w:eastAsia="宋体" w:cs="宋体"/>
          <w:b/>
          <w:sz w:val="24"/>
          <w:szCs w:val="24"/>
        </w:rPr>
        <w:t>、技术参数</w:t>
      </w:r>
    </w:p>
    <w:p w14:paraId="3808DE3F">
      <w:pPr>
        <w:numPr>
          <w:ilvl w:val="0"/>
          <w:numId w:val="0"/>
        </w:numPr>
        <w:spacing w:line="360" w:lineRule="auto"/>
        <w:jc w:val="center"/>
        <w:rPr>
          <w:rFonts w:hint="eastAsia" w:ascii="宋体" w:hAnsi="宋体" w:eastAsia="宋体" w:cs="宋体"/>
          <w:b/>
          <w:sz w:val="32"/>
          <w:szCs w:val="32"/>
          <w:highlight w:val="yellow"/>
        </w:rPr>
      </w:pPr>
    </w:p>
    <w:tbl>
      <w:tblPr>
        <w:tblStyle w:val="2"/>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7502"/>
      </w:tblGrid>
      <w:tr w14:paraId="3CA71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56" w:type="dxa"/>
            <w:shd w:val="clear" w:color="auto" w:fill="FFFFFF"/>
            <w:noWrap w:val="0"/>
            <w:vAlign w:val="center"/>
          </w:tcPr>
          <w:p w14:paraId="4C60156D">
            <w:pPr>
              <w:pStyle w:val="4"/>
              <w:spacing w:line="276" w:lineRule="auto"/>
              <w:rPr>
                <w:rFonts w:hint="eastAsia" w:ascii="宋体" w:hAnsi="宋体" w:eastAsia="宋体" w:cs="宋体"/>
                <w:b/>
                <w:sz w:val="24"/>
                <w:szCs w:val="24"/>
              </w:rPr>
            </w:pPr>
            <w:r>
              <w:rPr>
                <w:rFonts w:hint="eastAsia" w:ascii="宋体" w:hAnsi="宋体" w:eastAsia="宋体" w:cs="宋体"/>
                <w:b/>
                <w:sz w:val="24"/>
                <w:szCs w:val="24"/>
              </w:rPr>
              <w:t>序号</w:t>
            </w:r>
          </w:p>
        </w:tc>
        <w:tc>
          <w:tcPr>
            <w:tcW w:w="7502" w:type="dxa"/>
            <w:shd w:val="clear" w:color="auto" w:fill="FFFFFF"/>
            <w:noWrap w:val="0"/>
            <w:vAlign w:val="center"/>
          </w:tcPr>
          <w:p w14:paraId="22E0DB0E">
            <w:pPr>
              <w:pStyle w:val="4"/>
              <w:spacing w:line="276" w:lineRule="auto"/>
              <w:jc w:val="center"/>
              <w:rPr>
                <w:rFonts w:hint="eastAsia" w:ascii="宋体" w:hAnsi="宋体" w:eastAsia="宋体" w:cs="宋体"/>
                <w:b/>
                <w:sz w:val="24"/>
                <w:szCs w:val="24"/>
              </w:rPr>
            </w:pPr>
            <w:r>
              <w:rPr>
                <w:rFonts w:hint="eastAsia" w:ascii="宋体" w:hAnsi="宋体" w:eastAsia="宋体" w:cs="宋体"/>
                <w:b/>
                <w:sz w:val="24"/>
                <w:szCs w:val="24"/>
              </w:rPr>
              <w:t>技 术 要 求</w:t>
            </w:r>
          </w:p>
        </w:tc>
      </w:tr>
      <w:tr w14:paraId="1CBE2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56" w:type="dxa"/>
            <w:shd w:val="clear" w:color="auto" w:fill="FFFFFF"/>
            <w:noWrap w:val="0"/>
            <w:vAlign w:val="center"/>
          </w:tcPr>
          <w:p w14:paraId="0277D0E3">
            <w:pPr>
              <w:pStyle w:val="4"/>
              <w:spacing w:line="276" w:lineRule="auto"/>
              <w:rPr>
                <w:rFonts w:hint="eastAsia" w:ascii="宋体" w:hAnsi="宋体" w:eastAsia="宋体" w:cs="宋体"/>
                <w:sz w:val="24"/>
                <w:szCs w:val="24"/>
              </w:rPr>
            </w:pPr>
            <w:r>
              <w:rPr>
                <w:rFonts w:hint="eastAsia" w:ascii="宋体" w:hAnsi="宋体" w:eastAsia="宋体" w:cs="宋体"/>
                <w:sz w:val="24"/>
                <w:szCs w:val="24"/>
              </w:rPr>
              <w:t>一</w:t>
            </w:r>
          </w:p>
        </w:tc>
        <w:tc>
          <w:tcPr>
            <w:tcW w:w="7502" w:type="dxa"/>
            <w:shd w:val="clear" w:color="auto" w:fill="FFFFFF"/>
            <w:noWrap w:val="0"/>
            <w:vAlign w:val="center"/>
          </w:tcPr>
          <w:p w14:paraId="453AF833">
            <w:pPr>
              <w:pStyle w:val="4"/>
              <w:spacing w:line="276" w:lineRule="auto"/>
              <w:rPr>
                <w:rFonts w:hint="eastAsia" w:ascii="宋体" w:hAnsi="宋体" w:eastAsia="宋体" w:cs="宋体"/>
                <w:sz w:val="24"/>
                <w:szCs w:val="24"/>
              </w:rPr>
            </w:pPr>
            <w:r>
              <w:rPr>
                <w:rFonts w:hint="eastAsia" w:ascii="宋体" w:hAnsi="宋体" w:eastAsia="宋体" w:cs="宋体"/>
                <w:sz w:val="24"/>
                <w:szCs w:val="24"/>
              </w:rPr>
              <w:t>设备信息</w:t>
            </w:r>
          </w:p>
        </w:tc>
      </w:tr>
      <w:tr w14:paraId="5610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56" w:type="dxa"/>
            <w:shd w:val="clear" w:color="auto" w:fill="FFFFFF"/>
            <w:noWrap w:val="0"/>
            <w:vAlign w:val="center"/>
          </w:tcPr>
          <w:p w14:paraId="013ADFAF">
            <w:pPr>
              <w:pStyle w:val="4"/>
              <w:spacing w:line="276" w:lineRule="auto"/>
              <w:rPr>
                <w:rFonts w:hint="eastAsia" w:ascii="宋体" w:hAnsi="宋体" w:eastAsia="宋体" w:cs="宋体"/>
                <w:sz w:val="24"/>
                <w:szCs w:val="24"/>
              </w:rPr>
            </w:pPr>
            <w:r>
              <w:rPr>
                <w:rFonts w:hint="eastAsia" w:ascii="宋体" w:hAnsi="宋体" w:eastAsia="宋体" w:cs="宋体"/>
                <w:sz w:val="24"/>
                <w:szCs w:val="24"/>
              </w:rPr>
              <w:t>1.1</w:t>
            </w:r>
          </w:p>
        </w:tc>
        <w:tc>
          <w:tcPr>
            <w:tcW w:w="7502" w:type="dxa"/>
            <w:shd w:val="clear" w:color="auto" w:fill="FFFFFF"/>
            <w:noWrap w:val="0"/>
            <w:vAlign w:val="center"/>
          </w:tcPr>
          <w:p w14:paraId="61F72022">
            <w:pPr>
              <w:spacing w:line="360" w:lineRule="auto"/>
              <w:rPr>
                <w:rFonts w:hint="eastAsia" w:ascii="宋体" w:hAnsi="宋体" w:eastAsia="宋体" w:cs="宋体"/>
                <w:sz w:val="24"/>
                <w:szCs w:val="24"/>
              </w:rPr>
            </w:pPr>
            <w:r>
              <w:rPr>
                <w:rFonts w:hint="eastAsia" w:ascii="宋体" w:hAnsi="宋体" w:eastAsia="宋体" w:cs="宋体"/>
                <w:sz w:val="24"/>
                <w:szCs w:val="24"/>
              </w:rPr>
              <w:t>数字化X线摄影系统（大平板），型号：岛津SONIAL-VISION-Safire 17，序列号：4124A3323002</w:t>
            </w:r>
          </w:p>
        </w:tc>
      </w:tr>
      <w:tr w14:paraId="77C1C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6" w:type="dxa"/>
            <w:shd w:val="clear" w:color="auto" w:fill="FFFFFF"/>
            <w:noWrap w:val="0"/>
            <w:vAlign w:val="center"/>
          </w:tcPr>
          <w:p w14:paraId="6206C155">
            <w:pPr>
              <w:pStyle w:val="4"/>
              <w:spacing w:line="276" w:lineRule="auto"/>
              <w:rPr>
                <w:rFonts w:hint="eastAsia" w:ascii="宋体" w:hAnsi="宋体" w:eastAsia="宋体" w:cs="宋体"/>
                <w:sz w:val="24"/>
                <w:szCs w:val="24"/>
              </w:rPr>
            </w:pPr>
            <w:r>
              <w:rPr>
                <w:rFonts w:hint="eastAsia" w:ascii="宋体" w:hAnsi="宋体" w:eastAsia="宋体" w:cs="宋体"/>
                <w:sz w:val="24"/>
                <w:szCs w:val="24"/>
              </w:rPr>
              <w:t>1.2*</w:t>
            </w:r>
          </w:p>
        </w:tc>
        <w:tc>
          <w:tcPr>
            <w:tcW w:w="7502" w:type="dxa"/>
            <w:shd w:val="clear" w:color="auto" w:fill="FFFFFF"/>
            <w:noWrap w:val="0"/>
            <w:vAlign w:val="center"/>
          </w:tcPr>
          <w:p w14:paraId="28F4CC27">
            <w:pPr>
              <w:spacing w:line="360" w:lineRule="auto"/>
              <w:rPr>
                <w:rFonts w:hint="eastAsia" w:ascii="宋体" w:hAnsi="宋体" w:eastAsia="宋体" w:cs="宋体"/>
                <w:sz w:val="24"/>
                <w:szCs w:val="24"/>
              </w:rPr>
            </w:pPr>
            <w:r>
              <w:rPr>
                <w:rFonts w:hint="eastAsia" w:ascii="宋体" w:hAnsi="宋体" w:eastAsia="宋体" w:cs="宋体"/>
                <w:sz w:val="24"/>
                <w:szCs w:val="24"/>
              </w:rPr>
              <w:t>服务类别：维保服务（包含球管，探测器，后处理工作站等）</w:t>
            </w:r>
          </w:p>
        </w:tc>
      </w:tr>
      <w:tr w14:paraId="2F58F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056" w:type="dxa"/>
            <w:shd w:val="clear" w:color="auto" w:fill="FFFFFF"/>
            <w:noWrap w:val="0"/>
            <w:vAlign w:val="center"/>
          </w:tcPr>
          <w:p w14:paraId="1770D330">
            <w:pPr>
              <w:pStyle w:val="4"/>
              <w:spacing w:line="276" w:lineRule="auto"/>
              <w:rPr>
                <w:rFonts w:hint="eastAsia" w:ascii="宋体" w:hAnsi="宋体" w:eastAsia="宋体" w:cs="宋体"/>
                <w:sz w:val="24"/>
                <w:szCs w:val="24"/>
              </w:rPr>
            </w:pPr>
            <w:r>
              <w:rPr>
                <w:rFonts w:hint="eastAsia" w:ascii="宋体" w:hAnsi="宋体" w:eastAsia="宋体" w:cs="宋体"/>
                <w:sz w:val="24"/>
                <w:szCs w:val="24"/>
              </w:rPr>
              <w:t>二</w:t>
            </w:r>
          </w:p>
        </w:tc>
        <w:tc>
          <w:tcPr>
            <w:tcW w:w="7502" w:type="dxa"/>
            <w:shd w:val="clear" w:color="auto" w:fill="FFFFFF"/>
            <w:noWrap w:val="0"/>
            <w:vAlign w:val="center"/>
          </w:tcPr>
          <w:p w14:paraId="74DD93A7">
            <w:pPr>
              <w:spacing w:line="360" w:lineRule="auto"/>
              <w:rPr>
                <w:rFonts w:hint="eastAsia" w:ascii="宋体" w:hAnsi="宋体" w:eastAsia="宋体" w:cs="宋体"/>
                <w:sz w:val="24"/>
                <w:szCs w:val="24"/>
              </w:rPr>
            </w:pPr>
            <w:r>
              <w:rPr>
                <w:rFonts w:hint="eastAsia" w:ascii="宋体" w:hAnsi="宋体" w:eastAsia="宋体" w:cs="宋体"/>
                <w:sz w:val="24"/>
                <w:szCs w:val="24"/>
              </w:rPr>
              <w:t>维保要求</w:t>
            </w:r>
          </w:p>
        </w:tc>
      </w:tr>
      <w:tr w14:paraId="1EF79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56" w:type="dxa"/>
            <w:shd w:val="clear" w:color="auto" w:fill="FFFFFF"/>
            <w:noWrap w:val="0"/>
            <w:vAlign w:val="center"/>
          </w:tcPr>
          <w:p w14:paraId="14BCDF4E">
            <w:pPr>
              <w:pStyle w:val="4"/>
              <w:spacing w:line="276" w:lineRule="auto"/>
              <w:rPr>
                <w:rFonts w:hint="eastAsia" w:ascii="宋体" w:hAnsi="宋体" w:eastAsia="宋体" w:cs="宋体"/>
                <w:sz w:val="24"/>
                <w:szCs w:val="24"/>
              </w:rPr>
            </w:pPr>
            <w:r>
              <w:rPr>
                <w:rFonts w:hint="eastAsia" w:ascii="宋体" w:hAnsi="宋体" w:eastAsia="宋体" w:cs="宋体"/>
                <w:sz w:val="24"/>
                <w:szCs w:val="24"/>
              </w:rPr>
              <w:t>2.1</w:t>
            </w:r>
          </w:p>
        </w:tc>
        <w:tc>
          <w:tcPr>
            <w:tcW w:w="7502" w:type="dxa"/>
            <w:shd w:val="clear" w:color="auto" w:fill="FFFFFF"/>
            <w:noWrap w:val="0"/>
            <w:vAlign w:val="center"/>
          </w:tcPr>
          <w:p w14:paraId="10BFCB8C">
            <w:pPr>
              <w:spacing w:line="360" w:lineRule="auto"/>
              <w:rPr>
                <w:rFonts w:hint="eastAsia" w:ascii="宋体" w:hAnsi="宋体" w:eastAsia="宋体" w:cs="宋体"/>
                <w:sz w:val="24"/>
                <w:szCs w:val="24"/>
              </w:rPr>
            </w:pPr>
            <w:r>
              <w:rPr>
                <w:rFonts w:hint="eastAsia" w:ascii="宋体" w:hAnsi="宋体" w:eastAsia="宋体" w:cs="宋体"/>
                <w:sz w:val="24"/>
                <w:szCs w:val="24"/>
              </w:rPr>
              <w:t>投标单位所提供的维保服务，不得破坏、变更设备的结构和电气设计的基础。</w:t>
            </w:r>
          </w:p>
        </w:tc>
      </w:tr>
      <w:tr w14:paraId="71BBF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6" w:type="dxa"/>
            <w:shd w:val="clear" w:color="auto" w:fill="FFFFFF"/>
            <w:noWrap w:val="0"/>
            <w:vAlign w:val="center"/>
          </w:tcPr>
          <w:p w14:paraId="57791100">
            <w:pPr>
              <w:pStyle w:val="4"/>
              <w:spacing w:line="276" w:lineRule="auto"/>
              <w:rPr>
                <w:rFonts w:hint="eastAsia" w:ascii="宋体" w:hAnsi="宋体" w:eastAsia="宋体" w:cs="宋体"/>
                <w:sz w:val="24"/>
                <w:szCs w:val="24"/>
              </w:rPr>
            </w:pPr>
            <w:r>
              <w:rPr>
                <w:rFonts w:hint="eastAsia" w:ascii="宋体" w:hAnsi="宋体" w:eastAsia="宋体" w:cs="宋体"/>
                <w:sz w:val="24"/>
                <w:szCs w:val="24"/>
              </w:rPr>
              <w:t>2.2</w:t>
            </w:r>
          </w:p>
        </w:tc>
        <w:tc>
          <w:tcPr>
            <w:tcW w:w="7502" w:type="dxa"/>
            <w:shd w:val="clear" w:color="auto" w:fill="FFFFFF"/>
            <w:noWrap w:val="0"/>
            <w:vAlign w:val="center"/>
          </w:tcPr>
          <w:p w14:paraId="1E8A6DA0">
            <w:pPr>
              <w:spacing w:line="360" w:lineRule="auto"/>
              <w:rPr>
                <w:rFonts w:hint="eastAsia" w:ascii="宋体" w:hAnsi="宋体" w:eastAsia="宋体" w:cs="宋体"/>
                <w:sz w:val="24"/>
                <w:szCs w:val="24"/>
              </w:rPr>
            </w:pPr>
            <w:r>
              <w:rPr>
                <w:rFonts w:hint="eastAsia" w:ascii="宋体" w:hAnsi="宋体" w:eastAsia="宋体" w:cs="宋体"/>
                <w:sz w:val="24"/>
                <w:szCs w:val="24"/>
              </w:rPr>
              <w:t>保证提供设备维保过程中所需的全部备品备件。</w:t>
            </w:r>
          </w:p>
        </w:tc>
      </w:tr>
      <w:tr w14:paraId="29349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6" w:type="dxa"/>
            <w:shd w:val="clear" w:color="auto" w:fill="FFFFFF"/>
            <w:noWrap w:val="0"/>
            <w:vAlign w:val="center"/>
          </w:tcPr>
          <w:p w14:paraId="2956FFD9">
            <w:pPr>
              <w:pStyle w:val="4"/>
              <w:spacing w:line="276" w:lineRule="auto"/>
              <w:rPr>
                <w:rFonts w:hint="eastAsia" w:ascii="宋体" w:hAnsi="宋体" w:eastAsia="宋体" w:cs="宋体"/>
                <w:sz w:val="24"/>
                <w:szCs w:val="24"/>
              </w:rPr>
            </w:pPr>
            <w:r>
              <w:rPr>
                <w:rFonts w:hint="eastAsia" w:ascii="宋体" w:hAnsi="宋体" w:eastAsia="宋体" w:cs="宋体"/>
                <w:sz w:val="24"/>
                <w:szCs w:val="24"/>
              </w:rPr>
              <w:t>2.3</w:t>
            </w:r>
          </w:p>
        </w:tc>
        <w:tc>
          <w:tcPr>
            <w:tcW w:w="7502" w:type="dxa"/>
            <w:shd w:val="clear" w:color="auto" w:fill="FFFFFF"/>
            <w:noWrap w:val="0"/>
            <w:vAlign w:val="center"/>
          </w:tcPr>
          <w:p w14:paraId="5E0EF77E">
            <w:pPr>
              <w:spacing w:line="360" w:lineRule="auto"/>
              <w:rPr>
                <w:rFonts w:hint="eastAsia" w:ascii="宋体" w:hAnsi="宋体" w:eastAsia="宋体" w:cs="宋体"/>
                <w:sz w:val="24"/>
                <w:szCs w:val="24"/>
              </w:rPr>
            </w:pPr>
            <w:r>
              <w:rPr>
                <w:rFonts w:hint="eastAsia" w:ascii="宋体" w:hAnsi="宋体" w:eastAsia="宋体" w:cs="宋体"/>
                <w:sz w:val="24"/>
                <w:szCs w:val="24"/>
              </w:rPr>
              <w:t>在设备的设计使用寿命周期内，投标单位应尽量能保证使用方更换到原厂的零部件，确保其正常使用。</w:t>
            </w:r>
          </w:p>
        </w:tc>
      </w:tr>
      <w:tr w14:paraId="20353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056" w:type="dxa"/>
            <w:shd w:val="clear" w:color="auto" w:fill="FFFFFF"/>
            <w:noWrap w:val="0"/>
            <w:vAlign w:val="center"/>
          </w:tcPr>
          <w:p w14:paraId="1D41CD69">
            <w:pPr>
              <w:pStyle w:val="4"/>
              <w:spacing w:line="276" w:lineRule="auto"/>
              <w:rPr>
                <w:rFonts w:hint="eastAsia" w:ascii="宋体" w:hAnsi="宋体" w:eastAsia="宋体" w:cs="宋体"/>
                <w:sz w:val="24"/>
                <w:szCs w:val="24"/>
              </w:rPr>
            </w:pPr>
            <w:r>
              <w:rPr>
                <w:rFonts w:hint="eastAsia" w:ascii="宋体" w:hAnsi="宋体" w:eastAsia="宋体" w:cs="宋体"/>
                <w:sz w:val="24"/>
                <w:szCs w:val="24"/>
              </w:rPr>
              <w:t>2.4*</w:t>
            </w:r>
          </w:p>
        </w:tc>
        <w:tc>
          <w:tcPr>
            <w:tcW w:w="7502" w:type="dxa"/>
            <w:shd w:val="clear" w:color="auto" w:fill="FFFFFF"/>
            <w:noWrap w:val="0"/>
            <w:vAlign w:val="center"/>
          </w:tcPr>
          <w:p w14:paraId="323531CC">
            <w:pPr>
              <w:spacing w:line="360" w:lineRule="auto"/>
              <w:rPr>
                <w:rFonts w:hint="eastAsia" w:ascii="宋体" w:hAnsi="宋体" w:eastAsia="宋体" w:cs="宋体"/>
                <w:sz w:val="24"/>
                <w:szCs w:val="24"/>
              </w:rPr>
            </w:pPr>
            <w:r>
              <w:rPr>
                <w:rFonts w:hint="eastAsia" w:ascii="宋体" w:hAnsi="宋体" w:eastAsia="宋体" w:cs="宋体"/>
                <w:sz w:val="24"/>
                <w:szCs w:val="24"/>
              </w:rPr>
              <w:t>进口备品配件，投标单位必须提供所供备品配件的海关报关单及商检报告。</w:t>
            </w:r>
          </w:p>
        </w:tc>
      </w:tr>
      <w:tr w14:paraId="33247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6" w:type="dxa"/>
            <w:shd w:val="clear" w:color="auto" w:fill="FFFFFF"/>
            <w:noWrap w:val="0"/>
            <w:vAlign w:val="center"/>
          </w:tcPr>
          <w:p w14:paraId="2504E873">
            <w:pPr>
              <w:pStyle w:val="4"/>
              <w:spacing w:line="276" w:lineRule="auto"/>
              <w:rPr>
                <w:rFonts w:hint="eastAsia" w:ascii="宋体" w:hAnsi="宋体" w:eastAsia="宋体" w:cs="宋体"/>
                <w:sz w:val="24"/>
                <w:szCs w:val="24"/>
              </w:rPr>
            </w:pPr>
            <w:r>
              <w:rPr>
                <w:rFonts w:hint="eastAsia" w:ascii="宋体" w:hAnsi="宋体" w:eastAsia="宋体" w:cs="宋体"/>
                <w:sz w:val="24"/>
                <w:szCs w:val="24"/>
              </w:rPr>
              <w:t>2.4.1</w:t>
            </w:r>
          </w:p>
        </w:tc>
        <w:tc>
          <w:tcPr>
            <w:tcW w:w="7502" w:type="dxa"/>
            <w:shd w:val="clear" w:color="auto" w:fill="FFFFFF"/>
            <w:noWrap w:val="0"/>
            <w:vAlign w:val="center"/>
          </w:tcPr>
          <w:p w14:paraId="1EAD9330">
            <w:pPr>
              <w:spacing w:line="360" w:lineRule="auto"/>
              <w:rPr>
                <w:rFonts w:hint="eastAsia" w:ascii="宋体" w:hAnsi="宋体" w:eastAsia="宋体" w:cs="宋体"/>
                <w:color w:val="FF0000"/>
                <w:sz w:val="24"/>
                <w:szCs w:val="24"/>
              </w:rPr>
            </w:pPr>
            <w:r>
              <w:rPr>
                <w:rFonts w:hint="eastAsia" w:ascii="宋体" w:hAnsi="宋体" w:eastAsia="宋体" w:cs="宋体"/>
                <w:sz w:val="24"/>
                <w:szCs w:val="24"/>
              </w:rPr>
              <w:t>球管：保内。</w:t>
            </w:r>
          </w:p>
        </w:tc>
      </w:tr>
      <w:tr w14:paraId="61E17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6" w:type="dxa"/>
            <w:shd w:val="clear" w:color="auto" w:fill="FFFFFF"/>
            <w:noWrap w:val="0"/>
            <w:vAlign w:val="center"/>
          </w:tcPr>
          <w:p w14:paraId="741482D4">
            <w:pPr>
              <w:pStyle w:val="4"/>
              <w:spacing w:line="276" w:lineRule="auto"/>
              <w:rPr>
                <w:rFonts w:hint="eastAsia" w:ascii="宋体" w:hAnsi="宋体" w:eastAsia="宋体" w:cs="宋体"/>
                <w:sz w:val="24"/>
                <w:szCs w:val="24"/>
              </w:rPr>
            </w:pPr>
            <w:r>
              <w:rPr>
                <w:rFonts w:hint="eastAsia" w:ascii="宋体" w:hAnsi="宋体" w:eastAsia="宋体" w:cs="宋体"/>
                <w:sz w:val="24"/>
                <w:szCs w:val="24"/>
              </w:rPr>
              <w:t>2.4.2</w:t>
            </w:r>
          </w:p>
        </w:tc>
        <w:tc>
          <w:tcPr>
            <w:tcW w:w="7502" w:type="dxa"/>
            <w:shd w:val="clear" w:color="auto" w:fill="FFFFFF"/>
            <w:noWrap w:val="0"/>
            <w:vAlign w:val="center"/>
          </w:tcPr>
          <w:p w14:paraId="0033D857">
            <w:pPr>
              <w:spacing w:line="360" w:lineRule="auto"/>
              <w:rPr>
                <w:rFonts w:hint="eastAsia" w:ascii="宋体" w:hAnsi="宋体" w:eastAsia="宋体" w:cs="宋体"/>
                <w:sz w:val="24"/>
                <w:szCs w:val="24"/>
              </w:rPr>
            </w:pPr>
            <w:r>
              <w:rPr>
                <w:rFonts w:hint="eastAsia" w:ascii="宋体" w:hAnsi="宋体" w:eastAsia="宋体" w:cs="宋体"/>
                <w:sz w:val="24"/>
                <w:szCs w:val="24"/>
              </w:rPr>
              <w:t>探测器：保内。</w:t>
            </w:r>
          </w:p>
        </w:tc>
      </w:tr>
      <w:tr w14:paraId="6C9CB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6" w:type="dxa"/>
            <w:shd w:val="clear" w:color="auto" w:fill="FFFFFF"/>
            <w:noWrap w:val="0"/>
            <w:vAlign w:val="center"/>
          </w:tcPr>
          <w:p w14:paraId="584FA0B5">
            <w:pPr>
              <w:pStyle w:val="4"/>
              <w:spacing w:line="276" w:lineRule="auto"/>
              <w:rPr>
                <w:rFonts w:hint="eastAsia" w:ascii="宋体" w:hAnsi="宋体" w:eastAsia="宋体" w:cs="宋体"/>
                <w:sz w:val="24"/>
                <w:szCs w:val="24"/>
              </w:rPr>
            </w:pPr>
            <w:r>
              <w:rPr>
                <w:rFonts w:hint="eastAsia" w:ascii="宋体" w:hAnsi="宋体" w:eastAsia="宋体" w:cs="宋体"/>
                <w:sz w:val="24"/>
                <w:szCs w:val="24"/>
              </w:rPr>
              <w:t>2.4.3</w:t>
            </w:r>
          </w:p>
        </w:tc>
        <w:tc>
          <w:tcPr>
            <w:tcW w:w="7502" w:type="dxa"/>
            <w:shd w:val="clear" w:color="auto" w:fill="FFFFFF"/>
            <w:noWrap w:val="0"/>
            <w:vAlign w:val="center"/>
          </w:tcPr>
          <w:p w14:paraId="2D232E02">
            <w:pPr>
              <w:spacing w:line="360" w:lineRule="auto"/>
              <w:rPr>
                <w:rFonts w:hint="eastAsia" w:ascii="宋体" w:hAnsi="宋体" w:eastAsia="宋体" w:cs="宋体"/>
                <w:sz w:val="24"/>
                <w:szCs w:val="24"/>
              </w:rPr>
            </w:pPr>
            <w:r>
              <w:rPr>
                <w:rFonts w:hint="eastAsia" w:ascii="宋体" w:hAnsi="宋体" w:eastAsia="宋体" w:cs="宋体"/>
                <w:sz w:val="24"/>
                <w:szCs w:val="24"/>
              </w:rPr>
              <w:t>工作站：保内。</w:t>
            </w:r>
          </w:p>
        </w:tc>
      </w:tr>
      <w:tr w14:paraId="7F921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6" w:type="dxa"/>
            <w:shd w:val="clear" w:color="auto" w:fill="FFFFFF"/>
            <w:noWrap w:val="0"/>
            <w:vAlign w:val="center"/>
          </w:tcPr>
          <w:p w14:paraId="00D48024">
            <w:pPr>
              <w:pStyle w:val="4"/>
              <w:spacing w:line="276" w:lineRule="auto"/>
              <w:rPr>
                <w:rFonts w:hint="eastAsia" w:ascii="宋体" w:hAnsi="宋体" w:eastAsia="宋体" w:cs="宋体"/>
                <w:sz w:val="24"/>
                <w:szCs w:val="24"/>
              </w:rPr>
            </w:pPr>
            <w:r>
              <w:rPr>
                <w:rFonts w:hint="eastAsia" w:ascii="宋体" w:hAnsi="宋体" w:eastAsia="宋体" w:cs="宋体"/>
                <w:sz w:val="24"/>
                <w:szCs w:val="24"/>
              </w:rPr>
              <w:t>2.4.4</w:t>
            </w:r>
          </w:p>
        </w:tc>
        <w:tc>
          <w:tcPr>
            <w:tcW w:w="7502" w:type="dxa"/>
            <w:shd w:val="clear" w:color="auto" w:fill="FFFFFF"/>
            <w:noWrap w:val="0"/>
            <w:vAlign w:val="center"/>
          </w:tcPr>
          <w:p w14:paraId="238536F0">
            <w:pPr>
              <w:spacing w:line="360" w:lineRule="auto"/>
              <w:rPr>
                <w:rFonts w:hint="eastAsia" w:ascii="宋体" w:hAnsi="宋体" w:eastAsia="宋体" w:cs="宋体"/>
                <w:sz w:val="24"/>
                <w:szCs w:val="24"/>
              </w:rPr>
            </w:pPr>
            <w:r>
              <w:rPr>
                <w:rFonts w:hint="eastAsia" w:ascii="宋体" w:hAnsi="宋体" w:eastAsia="宋体" w:cs="宋体"/>
                <w:sz w:val="24"/>
                <w:szCs w:val="24"/>
              </w:rPr>
              <w:t>其它备件：配件损坏不接受维修，故障后更换原厂配件。</w:t>
            </w:r>
          </w:p>
        </w:tc>
      </w:tr>
      <w:tr w14:paraId="46966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6" w:type="dxa"/>
            <w:shd w:val="clear" w:color="auto" w:fill="FFFFFF"/>
            <w:noWrap w:val="0"/>
            <w:vAlign w:val="center"/>
          </w:tcPr>
          <w:p w14:paraId="1185D795">
            <w:pPr>
              <w:pStyle w:val="4"/>
              <w:spacing w:line="276" w:lineRule="auto"/>
              <w:rPr>
                <w:rFonts w:hint="eastAsia" w:ascii="宋体" w:hAnsi="宋体" w:eastAsia="宋体" w:cs="宋体"/>
                <w:sz w:val="24"/>
                <w:szCs w:val="24"/>
              </w:rPr>
            </w:pPr>
            <w:r>
              <w:rPr>
                <w:rFonts w:hint="eastAsia" w:ascii="宋体" w:hAnsi="宋体" w:eastAsia="宋体" w:cs="宋体"/>
                <w:sz w:val="24"/>
                <w:szCs w:val="24"/>
              </w:rPr>
              <w:t>2.5*</w:t>
            </w:r>
          </w:p>
        </w:tc>
        <w:tc>
          <w:tcPr>
            <w:tcW w:w="7502" w:type="dxa"/>
            <w:shd w:val="clear" w:color="auto" w:fill="FFFFFF"/>
            <w:noWrap w:val="0"/>
            <w:vAlign w:val="center"/>
          </w:tcPr>
          <w:p w14:paraId="2C316B04">
            <w:pPr>
              <w:spacing w:line="360" w:lineRule="auto"/>
              <w:rPr>
                <w:rFonts w:hint="eastAsia" w:ascii="宋体" w:hAnsi="宋体" w:eastAsia="宋体" w:cs="宋体"/>
                <w:sz w:val="24"/>
                <w:szCs w:val="24"/>
              </w:rPr>
            </w:pPr>
            <w:r>
              <w:rPr>
                <w:rFonts w:hint="eastAsia" w:ascii="宋体" w:hAnsi="宋体" w:eastAsia="宋体" w:cs="宋体"/>
                <w:sz w:val="24"/>
                <w:szCs w:val="24"/>
              </w:rPr>
              <w:t>故障所需备品到现场时间：国内≤48小时；国外≤120小时</w:t>
            </w:r>
          </w:p>
        </w:tc>
      </w:tr>
      <w:tr w14:paraId="1F0F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6" w:type="dxa"/>
            <w:shd w:val="clear" w:color="auto" w:fill="FFFFFF"/>
            <w:noWrap w:val="0"/>
            <w:vAlign w:val="center"/>
          </w:tcPr>
          <w:p w14:paraId="032F672D">
            <w:pPr>
              <w:pStyle w:val="4"/>
              <w:spacing w:line="276" w:lineRule="auto"/>
              <w:rPr>
                <w:rFonts w:hint="eastAsia" w:ascii="宋体" w:hAnsi="宋体" w:eastAsia="宋体" w:cs="宋体"/>
                <w:sz w:val="24"/>
                <w:szCs w:val="24"/>
              </w:rPr>
            </w:pPr>
            <w:r>
              <w:rPr>
                <w:rFonts w:hint="eastAsia" w:ascii="宋体" w:hAnsi="宋体" w:eastAsia="宋体" w:cs="宋体"/>
                <w:sz w:val="24"/>
                <w:szCs w:val="24"/>
              </w:rPr>
              <w:t>2.6*</w:t>
            </w:r>
          </w:p>
        </w:tc>
        <w:tc>
          <w:tcPr>
            <w:tcW w:w="7502" w:type="dxa"/>
            <w:shd w:val="clear" w:color="auto" w:fill="FFFFFF"/>
            <w:noWrap w:val="0"/>
            <w:vAlign w:val="center"/>
          </w:tcPr>
          <w:p w14:paraId="4E215241">
            <w:pPr>
              <w:spacing w:line="360" w:lineRule="auto"/>
              <w:rPr>
                <w:rFonts w:hint="eastAsia" w:ascii="宋体" w:hAnsi="宋体" w:eastAsia="宋体" w:cs="宋体"/>
                <w:sz w:val="24"/>
                <w:szCs w:val="24"/>
              </w:rPr>
            </w:pPr>
            <w:r>
              <w:rPr>
                <w:rFonts w:hint="eastAsia" w:ascii="宋体" w:hAnsi="宋体" w:eastAsia="宋体" w:cs="宋体"/>
                <w:sz w:val="24"/>
                <w:szCs w:val="24"/>
              </w:rPr>
              <w:t>故障报修响应时间（小时）≤1小时</w:t>
            </w:r>
          </w:p>
        </w:tc>
      </w:tr>
      <w:tr w14:paraId="39210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6" w:type="dxa"/>
            <w:shd w:val="clear" w:color="auto" w:fill="FFFFFF"/>
            <w:noWrap w:val="0"/>
            <w:vAlign w:val="center"/>
          </w:tcPr>
          <w:p w14:paraId="1E5222B1">
            <w:pPr>
              <w:pStyle w:val="4"/>
              <w:spacing w:line="276" w:lineRule="auto"/>
              <w:rPr>
                <w:rFonts w:hint="eastAsia" w:ascii="宋体" w:hAnsi="宋体" w:eastAsia="宋体" w:cs="宋体"/>
                <w:sz w:val="24"/>
                <w:szCs w:val="24"/>
              </w:rPr>
            </w:pPr>
            <w:r>
              <w:rPr>
                <w:rFonts w:hint="eastAsia" w:ascii="宋体" w:hAnsi="宋体" w:eastAsia="宋体" w:cs="宋体"/>
                <w:sz w:val="24"/>
                <w:szCs w:val="24"/>
              </w:rPr>
              <w:t>2.7*</w:t>
            </w:r>
          </w:p>
        </w:tc>
        <w:tc>
          <w:tcPr>
            <w:tcW w:w="7502" w:type="dxa"/>
            <w:shd w:val="clear" w:color="auto" w:fill="FFFFFF"/>
            <w:noWrap w:val="0"/>
            <w:vAlign w:val="center"/>
          </w:tcPr>
          <w:p w14:paraId="79AE2998">
            <w:pPr>
              <w:spacing w:line="360" w:lineRule="auto"/>
              <w:rPr>
                <w:rFonts w:hint="eastAsia" w:ascii="宋体" w:hAnsi="宋体" w:eastAsia="宋体" w:cs="宋体"/>
                <w:sz w:val="24"/>
                <w:szCs w:val="24"/>
              </w:rPr>
            </w:pPr>
            <w:r>
              <w:rPr>
                <w:rFonts w:hint="eastAsia" w:ascii="宋体" w:hAnsi="宋体" w:eastAsia="宋体" w:cs="宋体"/>
                <w:sz w:val="24"/>
                <w:szCs w:val="24"/>
              </w:rPr>
              <w:t>工程师到场时间（小时）≤24小时</w:t>
            </w:r>
          </w:p>
        </w:tc>
      </w:tr>
      <w:tr w14:paraId="14DEB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6" w:type="dxa"/>
            <w:shd w:val="clear" w:color="auto" w:fill="FFFFFF"/>
            <w:noWrap w:val="0"/>
            <w:vAlign w:val="center"/>
          </w:tcPr>
          <w:p w14:paraId="56861600">
            <w:pPr>
              <w:pStyle w:val="4"/>
              <w:spacing w:line="276" w:lineRule="auto"/>
              <w:rPr>
                <w:rFonts w:hint="eastAsia" w:ascii="宋体" w:hAnsi="宋体" w:eastAsia="宋体" w:cs="宋体"/>
                <w:sz w:val="24"/>
                <w:szCs w:val="24"/>
              </w:rPr>
            </w:pPr>
            <w:r>
              <w:rPr>
                <w:rFonts w:hint="eastAsia" w:ascii="宋体" w:hAnsi="宋体" w:eastAsia="宋体" w:cs="宋体"/>
                <w:sz w:val="24"/>
                <w:szCs w:val="24"/>
              </w:rPr>
              <w:t>2.8*</w:t>
            </w:r>
          </w:p>
        </w:tc>
        <w:tc>
          <w:tcPr>
            <w:tcW w:w="7502" w:type="dxa"/>
            <w:shd w:val="clear" w:color="auto" w:fill="FFFFFF"/>
            <w:noWrap w:val="0"/>
            <w:vAlign w:val="center"/>
          </w:tcPr>
          <w:p w14:paraId="1542A8FF">
            <w:pPr>
              <w:spacing w:line="360" w:lineRule="auto"/>
              <w:rPr>
                <w:rFonts w:hint="eastAsia" w:ascii="宋体" w:hAnsi="宋体" w:eastAsia="宋体" w:cs="宋体"/>
                <w:sz w:val="24"/>
                <w:szCs w:val="24"/>
              </w:rPr>
            </w:pPr>
            <w:r>
              <w:rPr>
                <w:rFonts w:hint="eastAsia" w:ascii="宋体" w:hAnsi="宋体" w:eastAsia="宋体" w:cs="宋体"/>
                <w:sz w:val="24"/>
                <w:szCs w:val="24"/>
              </w:rPr>
              <w:t>最长维修周期：排除故障时限（小时）≤120小时</w:t>
            </w:r>
          </w:p>
        </w:tc>
      </w:tr>
      <w:tr w14:paraId="0FBEC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6" w:type="dxa"/>
            <w:noWrap w:val="0"/>
            <w:vAlign w:val="center"/>
          </w:tcPr>
          <w:p w14:paraId="68812F36">
            <w:pPr>
              <w:pStyle w:val="4"/>
              <w:spacing w:line="276" w:lineRule="auto"/>
              <w:rPr>
                <w:rFonts w:hint="eastAsia" w:ascii="宋体" w:hAnsi="宋体" w:eastAsia="宋体" w:cs="宋体"/>
                <w:sz w:val="24"/>
                <w:szCs w:val="24"/>
              </w:rPr>
            </w:pPr>
            <w:r>
              <w:rPr>
                <w:rFonts w:hint="eastAsia" w:ascii="宋体" w:hAnsi="宋体" w:eastAsia="宋体" w:cs="宋体"/>
                <w:sz w:val="24"/>
                <w:szCs w:val="24"/>
              </w:rPr>
              <w:t>2.9</w:t>
            </w:r>
          </w:p>
        </w:tc>
        <w:tc>
          <w:tcPr>
            <w:tcW w:w="7502" w:type="dxa"/>
            <w:noWrap w:val="0"/>
            <w:vAlign w:val="center"/>
          </w:tcPr>
          <w:p w14:paraId="5F650D2F">
            <w:pPr>
              <w:spacing w:line="360" w:lineRule="auto"/>
              <w:rPr>
                <w:rFonts w:hint="eastAsia" w:ascii="宋体" w:hAnsi="宋体" w:eastAsia="宋体" w:cs="宋体"/>
                <w:sz w:val="24"/>
                <w:szCs w:val="24"/>
              </w:rPr>
            </w:pPr>
            <w:r>
              <w:rPr>
                <w:rFonts w:hint="eastAsia" w:ascii="宋体" w:hAnsi="宋体" w:eastAsia="宋体" w:cs="宋体"/>
                <w:sz w:val="24"/>
                <w:szCs w:val="24"/>
              </w:rPr>
              <w:t>在维修保养期间内投标单位必须为最终用户提供技术服务热线（7*24小时），负责解答用户在设备使用中遇到的问题，并及时提出解决问题的建议和操作方法。技术服务热线支持应是中文。</w:t>
            </w:r>
          </w:p>
        </w:tc>
      </w:tr>
      <w:tr w14:paraId="6C7E4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6" w:type="dxa"/>
            <w:noWrap w:val="0"/>
            <w:vAlign w:val="center"/>
          </w:tcPr>
          <w:p w14:paraId="4DF8B75D">
            <w:pPr>
              <w:pStyle w:val="4"/>
              <w:spacing w:line="276" w:lineRule="auto"/>
              <w:rPr>
                <w:rFonts w:hint="eastAsia" w:ascii="宋体" w:hAnsi="宋体" w:eastAsia="宋体" w:cs="宋体"/>
                <w:sz w:val="24"/>
                <w:szCs w:val="24"/>
              </w:rPr>
            </w:pPr>
            <w:r>
              <w:rPr>
                <w:rFonts w:hint="eastAsia" w:ascii="宋体" w:hAnsi="宋体" w:eastAsia="宋体" w:cs="宋体"/>
                <w:sz w:val="24"/>
                <w:szCs w:val="24"/>
              </w:rPr>
              <w:t>2.10</w:t>
            </w:r>
          </w:p>
        </w:tc>
        <w:tc>
          <w:tcPr>
            <w:tcW w:w="7502" w:type="dxa"/>
            <w:noWrap w:val="0"/>
            <w:vAlign w:val="center"/>
          </w:tcPr>
          <w:p w14:paraId="660A7B12">
            <w:pPr>
              <w:spacing w:line="360" w:lineRule="auto"/>
              <w:rPr>
                <w:rFonts w:hint="eastAsia" w:ascii="宋体" w:hAnsi="宋体" w:eastAsia="宋体" w:cs="宋体"/>
                <w:sz w:val="24"/>
                <w:szCs w:val="24"/>
              </w:rPr>
            </w:pPr>
            <w:r>
              <w:rPr>
                <w:rFonts w:hint="eastAsia" w:ascii="宋体" w:hAnsi="宋体" w:eastAsia="宋体" w:cs="宋体"/>
                <w:sz w:val="24"/>
                <w:szCs w:val="24"/>
              </w:rPr>
              <w:t>当地设有维修站点及备品库，备品库清单</w:t>
            </w:r>
          </w:p>
        </w:tc>
      </w:tr>
      <w:tr w14:paraId="7F867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6" w:type="dxa"/>
            <w:noWrap w:val="0"/>
            <w:vAlign w:val="center"/>
          </w:tcPr>
          <w:p w14:paraId="0BB2826F">
            <w:pPr>
              <w:pStyle w:val="4"/>
              <w:spacing w:line="276" w:lineRule="auto"/>
              <w:rPr>
                <w:rFonts w:hint="eastAsia" w:ascii="宋体" w:hAnsi="宋体" w:eastAsia="宋体" w:cs="宋体"/>
                <w:sz w:val="24"/>
                <w:szCs w:val="24"/>
              </w:rPr>
            </w:pPr>
            <w:r>
              <w:rPr>
                <w:rFonts w:hint="eastAsia" w:ascii="宋体" w:hAnsi="宋体" w:eastAsia="宋体" w:cs="宋体"/>
                <w:sz w:val="24"/>
                <w:szCs w:val="24"/>
              </w:rPr>
              <w:t>2.11*</w:t>
            </w:r>
          </w:p>
        </w:tc>
        <w:tc>
          <w:tcPr>
            <w:tcW w:w="7502" w:type="dxa"/>
            <w:noWrap w:val="0"/>
            <w:vAlign w:val="center"/>
          </w:tcPr>
          <w:p w14:paraId="6FD95F00">
            <w:pPr>
              <w:spacing w:line="360" w:lineRule="auto"/>
              <w:rPr>
                <w:rFonts w:hint="eastAsia" w:ascii="宋体" w:hAnsi="宋体" w:eastAsia="宋体" w:cs="宋体"/>
                <w:sz w:val="24"/>
                <w:szCs w:val="24"/>
              </w:rPr>
            </w:pPr>
            <w:r>
              <w:rPr>
                <w:rFonts w:hint="eastAsia" w:ascii="宋体" w:hAnsi="宋体" w:eastAsia="宋体" w:cs="宋体"/>
                <w:sz w:val="24"/>
                <w:szCs w:val="24"/>
              </w:rPr>
              <w:t>培训:每年度人员2名，地点：国内培训基地。投标单位负责对采购人维修人员和使用人员进行培训。使采购人的维修人员能对设备的日常维护和一般性故障的查找及故障的排除，使用人员能熟练掌握设备的各项操作，并能及时准确的报修。</w:t>
            </w:r>
          </w:p>
        </w:tc>
      </w:tr>
      <w:tr w14:paraId="44BA6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6" w:type="dxa"/>
            <w:noWrap w:val="0"/>
            <w:vAlign w:val="center"/>
          </w:tcPr>
          <w:p w14:paraId="7107E6EA">
            <w:pPr>
              <w:pStyle w:val="4"/>
              <w:spacing w:line="276" w:lineRule="auto"/>
              <w:rPr>
                <w:rFonts w:hint="eastAsia" w:ascii="宋体" w:hAnsi="宋体" w:eastAsia="宋体" w:cs="宋体"/>
                <w:sz w:val="24"/>
                <w:szCs w:val="24"/>
              </w:rPr>
            </w:pPr>
            <w:r>
              <w:rPr>
                <w:rFonts w:hint="eastAsia" w:ascii="宋体" w:hAnsi="宋体" w:eastAsia="宋体" w:cs="宋体"/>
                <w:sz w:val="24"/>
                <w:szCs w:val="24"/>
              </w:rPr>
              <w:t>2.12*</w:t>
            </w:r>
          </w:p>
        </w:tc>
        <w:tc>
          <w:tcPr>
            <w:tcW w:w="7502" w:type="dxa"/>
            <w:noWrap w:val="0"/>
            <w:vAlign w:val="center"/>
          </w:tcPr>
          <w:p w14:paraId="0104C8BC">
            <w:pPr>
              <w:spacing w:line="360" w:lineRule="auto"/>
              <w:rPr>
                <w:rFonts w:hint="eastAsia" w:ascii="宋体" w:hAnsi="宋体" w:eastAsia="宋体" w:cs="宋体"/>
                <w:sz w:val="24"/>
                <w:szCs w:val="24"/>
              </w:rPr>
            </w:pPr>
            <w:r>
              <w:rPr>
                <w:rFonts w:hint="eastAsia" w:ascii="宋体" w:hAnsi="宋体" w:eastAsia="宋体" w:cs="宋体"/>
                <w:sz w:val="24"/>
                <w:szCs w:val="24"/>
              </w:rPr>
              <w:t>免费提供设备所有密码、软件升级服务，保证设备能支持的最新版本。</w:t>
            </w:r>
          </w:p>
        </w:tc>
      </w:tr>
      <w:tr w14:paraId="08018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6" w:type="dxa"/>
            <w:noWrap w:val="0"/>
            <w:vAlign w:val="center"/>
          </w:tcPr>
          <w:p w14:paraId="45F6018F">
            <w:pPr>
              <w:pStyle w:val="4"/>
              <w:spacing w:line="276" w:lineRule="auto"/>
              <w:rPr>
                <w:rFonts w:hint="eastAsia" w:ascii="宋体" w:hAnsi="宋体" w:eastAsia="宋体" w:cs="宋体"/>
                <w:sz w:val="24"/>
                <w:szCs w:val="24"/>
              </w:rPr>
            </w:pPr>
            <w:r>
              <w:rPr>
                <w:rFonts w:hint="eastAsia" w:ascii="宋体" w:hAnsi="宋体" w:eastAsia="宋体" w:cs="宋体"/>
                <w:sz w:val="24"/>
                <w:szCs w:val="24"/>
              </w:rPr>
              <w:t>2.13</w:t>
            </w:r>
          </w:p>
        </w:tc>
        <w:tc>
          <w:tcPr>
            <w:tcW w:w="7502" w:type="dxa"/>
            <w:noWrap w:val="0"/>
            <w:vAlign w:val="center"/>
          </w:tcPr>
          <w:p w14:paraId="1BFAF7B4">
            <w:pPr>
              <w:spacing w:line="360" w:lineRule="auto"/>
              <w:rPr>
                <w:rFonts w:hint="eastAsia" w:ascii="宋体" w:hAnsi="宋体" w:eastAsia="宋体" w:cs="宋体"/>
                <w:sz w:val="24"/>
                <w:szCs w:val="24"/>
              </w:rPr>
            </w:pPr>
            <w:r>
              <w:rPr>
                <w:rFonts w:hint="eastAsia" w:ascii="宋体" w:hAnsi="宋体" w:eastAsia="宋体" w:cs="宋体"/>
                <w:sz w:val="24"/>
                <w:szCs w:val="24"/>
              </w:rPr>
              <w:t>提供设备质控支持（包括质控的培训）。无论维修保养期内外，中标单位应协助采购人建立医疗器械维修保养管理制度。并按照产品说明书的要求进行检查、检验、校准、保养、维修并记录；协助采购人进行分析、评估，确保医疗器械处于良好状态。</w:t>
            </w:r>
          </w:p>
        </w:tc>
      </w:tr>
      <w:tr w14:paraId="5E37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6" w:type="dxa"/>
            <w:noWrap w:val="0"/>
            <w:vAlign w:val="center"/>
          </w:tcPr>
          <w:p w14:paraId="007395AB">
            <w:pPr>
              <w:pStyle w:val="4"/>
              <w:spacing w:line="276"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2.14*</w:t>
            </w:r>
          </w:p>
        </w:tc>
        <w:tc>
          <w:tcPr>
            <w:tcW w:w="7502" w:type="dxa"/>
            <w:noWrap w:val="0"/>
            <w:vAlign w:val="center"/>
          </w:tcPr>
          <w:p w14:paraId="65DE8D1A">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每年设备保养次数</w:t>
            </w:r>
            <w:r>
              <w:rPr>
                <w:rFonts w:hint="eastAsia" w:ascii="宋体" w:hAnsi="宋体" w:eastAsia="宋体" w:cs="宋体"/>
                <w:b/>
                <w:sz w:val="24"/>
                <w:szCs w:val="24"/>
                <w:highlight w:val="none"/>
              </w:rPr>
              <w:t>≥4</w:t>
            </w:r>
            <w:r>
              <w:rPr>
                <w:rFonts w:hint="eastAsia" w:ascii="宋体" w:hAnsi="宋体" w:eastAsia="宋体" w:cs="宋体"/>
                <w:sz w:val="24"/>
                <w:szCs w:val="24"/>
                <w:highlight w:val="none"/>
              </w:rPr>
              <w:t>次，并提供保养记录。保养及维修记录单必须三方（投标方、采购方的使用科室和医疗器械中心）签字并交予采购方医疗器械中心备案。</w:t>
            </w:r>
          </w:p>
        </w:tc>
      </w:tr>
      <w:tr w14:paraId="5BC87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6" w:type="dxa"/>
            <w:noWrap w:val="0"/>
            <w:vAlign w:val="center"/>
          </w:tcPr>
          <w:p w14:paraId="3DC7EF87">
            <w:pPr>
              <w:pStyle w:val="4"/>
              <w:spacing w:line="276"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2.15*</w:t>
            </w:r>
          </w:p>
        </w:tc>
        <w:tc>
          <w:tcPr>
            <w:tcW w:w="7502" w:type="dxa"/>
            <w:noWrap w:val="0"/>
            <w:vAlign w:val="center"/>
          </w:tcPr>
          <w:p w14:paraId="2881B2C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保证设备开机率（正常工作日/法定工作日）95%以上</w:t>
            </w:r>
          </w:p>
        </w:tc>
      </w:tr>
      <w:tr w14:paraId="699C1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6" w:type="dxa"/>
            <w:noWrap w:val="0"/>
            <w:vAlign w:val="center"/>
          </w:tcPr>
          <w:p w14:paraId="171779A1">
            <w:pPr>
              <w:pStyle w:val="4"/>
              <w:spacing w:line="276"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2.16*</w:t>
            </w:r>
          </w:p>
        </w:tc>
        <w:tc>
          <w:tcPr>
            <w:tcW w:w="7502" w:type="dxa"/>
            <w:noWrap w:val="0"/>
            <w:vAlign w:val="center"/>
          </w:tcPr>
          <w:p w14:paraId="7D668B69">
            <w:pPr>
              <w:pStyle w:val="4"/>
              <w:spacing w:line="276"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保修设备在保修期内，停止使用或报废，甲方有权终止合同，并按照已保修的时间按月（超过15天以一个月计算）支付保修费。</w:t>
            </w:r>
          </w:p>
        </w:tc>
      </w:tr>
    </w:tbl>
    <w:p w14:paraId="665455ED">
      <w:pPr>
        <w:rPr>
          <w:highlight w:val="yellow"/>
        </w:rPr>
      </w:pPr>
    </w:p>
    <w:p w14:paraId="14728F80">
      <w:pPr>
        <w:rPr>
          <w:highlight w:val="yellow"/>
        </w:rPr>
      </w:pPr>
    </w:p>
    <w:p w14:paraId="42BFBCB0">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left"/>
        <w:textAlignment w:val="auto"/>
        <w:rPr>
          <w:rFonts w:hint="eastAsia" w:ascii="宋体" w:hAnsi="宋体" w:eastAsia="宋体" w:cs="宋体"/>
          <w:b/>
          <w:sz w:val="24"/>
          <w:szCs w:val="24"/>
          <w:lang w:eastAsia="zh-CN"/>
        </w:rPr>
      </w:pPr>
      <w:r>
        <w:rPr>
          <w:rFonts w:hint="eastAsia" w:ascii="宋体" w:hAnsi="宋体" w:cs="宋体"/>
          <w:b/>
          <w:sz w:val="24"/>
          <w:szCs w:val="24"/>
          <w:lang w:eastAsia="zh-CN"/>
        </w:rPr>
        <w:t>四</w:t>
      </w:r>
      <w:r>
        <w:rPr>
          <w:rFonts w:hint="eastAsia" w:ascii="宋体" w:hAnsi="宋体" w:eastAsia="宋体" w:cs="宋体"/>
          <w:b/>
          <w:sz w:val="24"/>
          <w:szCs w:val="24"/>
        </w:rPr>
        <w:t>、</w:t>
      </w:r>
      <w:r>
        <w:rPr>
          <w:rFonts w:hint="eastAsia" w:ascii="宋体" w:hAnsi="宋体" w:cs="宋体"/>
          <w:b/>
          <w:sz w:val="24"/>
          <w:szCs w:val="24"/>
          <w:lang w:eastAsia="zh-CN"/>
        </w:rPr>
        <w:t>服务要求</w:t>
      </w:r>
    </w:p>
    <w:p w14:paraId="2262AF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可及时获取并实施原厂系统安全性软硬件改版通知能力的证明，维护保养期内免费提供设备（含独立工作站）的系统软件升级补丁和技术支持（符合《医疗器械软件注册技术审查指导原则》（2015年第50号）要求，属于21-医用软件</w:t>
      </w:r>
      <w:r>
        <w:rPr>
          <w:rFonts w:hint="eastAsia" w:ascii="宋体" w:hAnsi="宋体" w:eastAsia="宋体" w:cs="宋体"/>
          <w:color w:val="000000"/>
          <w:spacing w:val="20"/>
          <w:kern w:val="0"/>
          <w:sz w:val="24"/>
          <w:szCs w:val="24"/>
        </w:rPr>
        <w:t>Ⅱ</w:t>
      </w:r>
      <w:r>
        <w:rPr>
          <w:rFonts w:hint="eastAsia" w:ascii="宋体" w:hAnsi="宋体" w:eastAsia="宋体" w:cs="宋体"/>
          <w:bCs/>
          <w:sz w:val="24"/>
          <w:szCs w:val="24"/>
        </w:rPr>
        <w:t>类管理类别范畴的必须提供相关软件资质证明）。</w:t>
      </w:r>
    </w:p>
    <w:p w14:paraId="24371A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2、维修工程师有能力对诊断软件及设备故障给予解决。</w:t>
      </w:r>
    </w:p>
    <w:p w14:paraId="442E91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3、所更换的备件为原设备零配件同一生产厂家和同一型号的全新零配件，并提供零配件的相关材料，包括但不限于：生产厂家质量证明（国内供货），进口产品须提供报关单（国外供货）备件供应100%保障</w:t>
      </w:r>
      <w:r>
        <w:rPr>
          <w:rFonts w:hint="eastAsia" w:ascii="宋体" w:hAnsi="宋体" w:eastAsia="宋体" w:cs="宋体"/>
          <w:bCs/>
          <w:sz w:val="24"/>
          <w:szCs w:val="24"/>
        </w:rPr>
        <w:t>。</w:t>
      </w:r>
    </w:p>
    <w:p w14:paraId="164B2A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4、本项目的投标报价为人民币。</w:t>
      </w:r>
    </w:p>
    <w:p w14:paraId="5A14C5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5、投标文件对每一种型号及规格的投标产品只允许有一个报价，采购人不接受有任何选择的报价。</w:t>
      </w:r>
    </w:p>
    <w:p w14:paraId="784F73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6、投标报价是履行合同的最终价格，应包括为完成本次招标项目议标范围内所有维护、保养、更换配件、基于宽带连接的远程实时监测硬件及软件、税金及其它附带服务的全部费用。</w:t>
      </w:r>
    </w:p>
    <w:p w14:paraId="7848FF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7、投标人漏报的单价或每项单价报价中漏报、少报的费用，视为此项费用已隐含在其他报价中，中标后不予调整。</w:t>
      </w:r>
    </w:p>
    <w:p w14:paraId="55D153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8、投标单位在投标报价时需根据自身实力及市场实际情况进行投标报价，此报价即为最终报价，在合同实施过程中不予调整。</w:t>
      </w:r>
    </w:p>
    <w:p w14:paraId="433344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9、采购人不保证将合同授予最低投标报价的投标单位</w:t>
      </w:r>
    </w:p>
    <w:p w14:paraId="142199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维修保养要求投标单位提供标准服务具体项目，不得低于标的设备的制造商中国总部售后服务部门对外公众网站上公布的维保服务标准（投标单位不得另行制作网页）在标准服务基础上，投标单位还应达到以下标准：</w:t>
      </w:r>
    </w:p>
    <w:p w14:paraId="4C78A8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（1）投标单位应具有完善的维修保养保障体系；维修保养的质量由投标单位对采购人和最终用户负责;</w:t>
      </w:r>
    </w:p>
    <w:p w14:paraId="3FEF4B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（2）投标单位应在维护保养保证措施及方案中明确说明此次投标的维修保养计划、方案及更换配件的保证措施。提供此次投标的服务计划及承诺（服务内容、等级、相关服务指标等）；</w:t>
      </w:r>
    </w:p>
    <w:p w14:paraId="660571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（3）在维修保养期间内投标单位必须为最终用户提供技术服务热线（7*24小时），负责解答用户在设备使用中遇到的问题，并及时提出解决问题的建议和操作方法。技术服务热线支持应是中文；</w:t>
      </w:r>
    </w:p>
    <w:p w14:paraId="08463B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在维修保养期内，投标单位应提供1小时故障响应，提供第二个工作日前上门服务（24小时内上门响应）。如果投标单位在接到通知后的1小时内未作出响应及第二个工作日未提供上门服务，则由于故障所造成的全部损失由投标单位承担；</w:t>
      </w:r>
    </w:p>
    <w:p w14:paraId="3C8AAE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投标单位在维修保养期内安装的任何零配件，必须是其设备生产厂家原产的或是经其认可的或是在国家标准或国际标准中可以达到替换要求的，其质量和性能等同于或高于原厂替换件质量和性能的；维修保养后的设备应是可正常使用的，符合临床要求的，合格的设备；更换核心部件，有规定需要计量检测，必须提供检测合格报告；属于6831医用X射线附属设备及部件</w:t>
      </w:r>
      <w:r>
        <w:rPr>
          <w:rFonts w:hint="eastAsia" w:ascii="宋体" w:hAnsi="宋体" w:eastAsia="宋体" w:cs="宋体"/>
          <w:bCs/>
          <w:sz w:val="24"/>
          <w:szCs w:val="24"/>
        </w:rPr>
        <w:t>Ⅱ类管理类别</w:t>
      </w:r>
      <w:r>
        <w:rPr>
          <w:rFonts w:hint="eastAsia" w:ascii="宋体" w:hAnsi="宋体" w:eastAsia="宋体" w:cs="宋体"/>
          <w:sz w:val="24"/>
          <w:szCs w:val="24"/>
        </w:rPr>
        <w:t>范畴的注册证必须提供。</w:t>
      </w:r>
    </w:p>
    <w:p w14:paraId="339CF9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（6）所有的替代零配件必须是新的未使用和未经修复的，除非最终用户提供书面许可，否则不可使用此范围外的其他（非新的）配件，未经许可使用，采购人可以终止合同并扣除尾款。</w:t>
      </w:r>
    </w:p>
    <w:p w14:paraId="4D3B26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（7）进口备品配件，投标单位必须提供所供备品配件海关报关单及商检报告。否则由此产生的一切后果和使用方的损失由投标单位负责，采购人可以终止合同。</w:t>
      </w:r>
    </w:p>
    <w:p w14:paraId="394E3B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（8）所有耗材、备品备件的供应以原投标货物相同品牌为主，适用其他品牌耗材、备品备件的以最终用户自愿选择认可为辅。</w:t>
      </w:r>
    </w:p>
    <w:p w14:paraId="00A986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（9）在维修保养期内，投标单位有责任解决所提供的维修保养服务所造成的任何问题，维修保养期结束后，因在维修保养期内由投标单位原因造成的对维修保养的设备故障、损害，投标单位应对其负责；</w:t>
      </w:r>
    </w:p>
    <w:p w14:paraId="51D752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（10）对维修保养要求的有效响应将被视为投标单位的服务承诺，如果中标，必须服务承诺列入合同的相关条款。</w:t>
      </w:r>
    </w:p>
    <w:p w14:paraId="4A0025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无论维修保养期内外，中标单位应协助采购人建立医疗器械维修保养管理制度。并按照产品说明书的要求进行检查、检验、校准、保养、维修并记录；协助采购人进行分析、评估，确保医疗器械处于良好状态。</w:t>
      </w:r>
    </w:p>
    <w:p w14:paraId="3220C06E">
      <w:pPr>
        <w:keepNext w:val="0"/>
        <w:keepLines w:val="0"/>
        <w:pageBreakBefore w:val="0"/>
        <w:widowControl w:val="0"/>
        <w:kinsoku/>
        <w:wordWrap/>
        <w:overflowPunct/>
        <w:topLinePunct w:val="0"/>
        <w:autoSpaceDE/>
        <w:autoSpaceDN/>
        <w:bidi w:val="0"/>
        <w:adjustRightInd/>
        <w:snapToGrid/>
        <w:spacing w:before="156" w:before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11、维护保养的验收：</w:t>
      </w:r>
    </w:p>
    <w:p w14:paraId="5C45479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在更换核心部件、设备调试结束后，由中标单位和采购人双方共同组织验收，中标单位提供自治区计量测试研究院、特种设备检验研究院、卫生监督所或原厂质量认证等相关检测单位出具的合格的检测证明，进口配件提供相关资料（资质文件、合格证、部件详细信息、海关报关单等）。</w:t>
      </w:r>
    </w:p>
    <w:p w14:paraId="717A6172">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维保到期验收按国家有关的规定、规范及不低于设备原厂家的维修保养标准进行。验收时若设备维修保养后不符合设备原厂家或本合同维修保养的要求，由中标单位和采购人双方签署备忘录，做为补充、缺失和更换损坏部件的有效证据。中标单位负责对该设备进行维修，直至确保该设备可正常使用且运行良好，由此产生的有关费用及设备维修保养期间对采购人造成的损失由中标单位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0B1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2025-03-25T07:28:23Z</dcterms:created>
  <dc:creator>admin</dc:creator>
  <cp:lastModifiedBy>To be a better man.</cp:lastModifiedBy>
  <dcterms:modified xsi:type="dcterms:W3CDTF">2025-03-25T07:29:00Z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eyJoZGlkIjoiMDA0OTgxM2QzYmFlYTgzZDUxNzc0MzNmN2JhMDcxNGYiLCJ1c2VySWQiOiI0NTA2OTM4OTAifQ==</vt:lpwstr>
  </property>
  <property fmtid="{D5CDD505-2E9C-101B-9397-08002B2CF9AE}" pid="4" name="ICV">
    <vt:lpwstr>0F0DA2A91F6E4759A61C7C9C3D7AE588_13</vt:lpwstr>
  </property>
</Properties>
</file>