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52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托克逊县人民</w:t>
      </w:r>
      <w:r>
        <w:rPr>
          <w:rFonts w:hint="eastAsia" w:ascii="仿宋_GB2312" w:hAnsi="仿宋_GB2312" w:eastAsia="仿宋_GB2312" w:cs="仿宋_GB2312"/>
          <w:sz w:val="36"/>
          <w:szCs w:val="36"/>
        </w:rPr>
        <w:t>医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新院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新能源车辆充电桩和电动车         充电桩</w:t>
      </w:r>
      <w:r>
        <w:rPr>
          <w:rFonts w:hint="eastAsia" w:ascii="仿宋_GB2312" w:hAnsi="仿宋_GB2312" w:eastAsia="仿宋_GB2312" w:cs="仿宋_GB2312"/>
          <w:sz w:val="36"/>
          <w:szCs w:val="36"/>
        </w:rPr>
        <w:t>服务采购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需求</w:t>
      </w:r>
    </w:p>
    <w:p w14:paraId="5C9131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</w:pPr>
    </w:p>
    <w:p w14:paraId="5AF5F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项目名称</w:t>
      </w:r>
    </w:p>
    <w:p w14:paraId="7A5A53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托克逊县人民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新能源车辆充电桩和电动车充电桩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服务采购项目</w:t>
      </w:r>
    </w:p>
    <w:p w14:paraId="57A21E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  <w:t>二、项目概况</w:t>
      </w:r>
    </w:p>
    <w:p w14:paraId="72949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托克逊县人民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新院即将</w:t>
      </w:r>
      <w:r>
        <w:rPr>
          <w:rFonts w:hint="eastAsia" w:ascii="仿宋_GB2312" w:hAnsi="仿宋_GB2312" w:eastAsia="仿宋_GB2312" w:cs="仿宋_GB2312"/>
          <w:sz w:val="32"/>
          <w:szCs w:val="32"/>
        </w:rPr>
        <w:t>正式投入使用，为提升医院保障管理水平和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满足患者需求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，结合医院实际，现拟开展面向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患者</w:t>
      </w:r>
      <w:r>
        <w:rPr>
          <w:rFonts w:hint="eastAsia" w:ascii="仿宋_GB2312" w:hAnsi="仿宋_GB2312" w:eastAsia="仿宋_GB2312" w:cs="仿宋_GB2312"/>
          <w:sz w:val="32"/>
          <w:szCs w:val="32"/>
        </w:rPr>
        <w:t>和陪护人员开放的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新能源车辆充电桩和电动车充电桩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服务项目，以满足基本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。需投放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新能源车辆7KW交流充电桩1组（2个充电头）、60KW直流充电桩1组（2个充电头）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电动车充电桩2组，每组6个充电插孔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投放数量按照采购单位实际需求投放，服务暂定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贰</w:t>
      </w:r>
      <w:r>
        <w:rPr>
          <w:rFonts w:hint="eastAsia" w:ascii="仿宋_GB2312" w:hAnsi="仿宋_GB2312" w:eastAsia="仿宋_GB2312" w:cs="仿宋_GB2312"/>
          <w:sz w:val="32"/>
          <w:szCs w:val="32"/>
        </w:rPr>
        <w:t>年,合同实行一年一签，满意度达标则进行续签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17BF0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  <w:t>三、方案要求</w:t>
      </w:r>
    </w:p>
    <w:p w14:paraId="5918A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1.设备采购、运输、安装调试等费用均需中选方自行解决，医院负责监督管理。</w:t>
      </w:r>
    </w:p>
    <w:p w14:paraId="05E43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2.监管服务费：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新能源车辆充电桩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不低于500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电动车充电桩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不得低于800</w:t>
      </w:r>
      <w:r>
        <w:rPr>
          <w:rFonts w:hint="eastAsia" w:ascii="仿宋_GB2312" w:hAnsi="仿宋_GB2312" w:eastAsia="仿宋_GB2312" w:cs="仿宋_GB2312"/>
          <w:sz w:val="32"/>
          <w:szCs w:val="32"/>
        </w:rPr>
        <w:t>元/月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当月监管服务费按照实际投放的数量×中选监管服务费缴纳，投放数量在合同期满前根据最终投放数量核增或核减。</w:t>
      </w:r>
    </w:p>
    <w:p w14:paraId="6DE74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3.有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现场踏勘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需求的，甲方在工作时间段无条件提供支持；</w:t>
      </w:r>
    </w:p>
    <w:p w14:paraId="56ABD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4.设备所有权及管理均属中选方所有，医院作为监督管理。</w:t>
      </w:r>
    </w:p>
    <w:p w14:paraId="55AAC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5.中选方需单独安装电表，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并每半年向甲方缴纳电费，缴纳电费金额应按照市场价实行独立核算。</w:t>
      </w:r>
    </w:p>
    <w:p w14:paraId="59406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6.中选方所安装充电桩均需为合格产品，做到质量安全可靠；</w:t>
      </w:r>
    </w:p>
    <w:p w14:paraId="28664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违约责任：中选方需在医院监督管理下执行，由于中选方产品达不到国家标准和产品安全质量不达标，医院有权对中选方作出相应的处罚，同时中选方需全额承担所有损失（包含但不限于行政处罚、诉讼费用、赔偿金额）并无条件终止合同。</w:t>
      </w:r>
    </w:p>
    <w:p w14:paraId="6C5112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  <w:t>四、性能与技术要求</w:t>
      </w:r>
    </w:p>
    <w:p w14:paraId="32B8E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兼容性：需兼容市场上主流的新能源汽车品牌和车型，确保不同车辆和电动车都能顺利充电。</w:t>
      </w:r>
    </w:p>
    <w:p w14:paraId="225ED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充电效率：直流充电桩的充电功率要能满足快速充电的需求，缩短患者及家属的充电等待时间；交流充电桩的充电速度也要符合慢充的标准效率。</w:t>
      </w:r>
    </w:p>
    <w:p w14:paraId="5F3A3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安全性：具备过压、过流、过热、漏电等多重保护功能，保障充电过程的安全可靠，防止发生安全事故，设备应具有良好的接地系统，以及阻燃、防水、防尘等性能。</w:t>
      </w:r>
    </w:p>
    <w:p w14:paraId="43060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稳定性：能够在医院的复杂环境下稳定运行，减少故障发生率，确保设备运行安全稳定。</w:t>
      </w:r>
    </w:p>
    <w:p w14:paraId="721EF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智能性：支持智能充电管理，如远程监控、预约充电、自动计费等功能，方便患者使用。</w:t>
      </w:r>
    </w:p>
    <w:p w14:paraId="4C50E5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  <w:t>五、安装与服务</w:t>
      </w:r>
    </w:p>
    <w:p w14:paraId="17AC8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安装调试：中选方需自行负责充电桩的安装调试工作，包括电缆敷设、配电箱安装、充电桩固定等工作，确保设备能够正常运行。</w:t>
      </w:r>
    </w:p>
    <w:p w14:paraId="20669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售后服务：中选方要确保有效的售后服务，包括设备的维护、保养、更换零部件等，保障设备的长期稳定使用。</w:t>
      </w:r>
    </w:p>
    <w:p w14:paraId="5EB0C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培训服务：为医院相关人员提供充电桩操作和维护的培训，使其能够熟练掌握设备的使用方法和简单故障的处理方法。</w:t>
      </w:r>
    </w:p>
    <w:p w14:paraId="2508E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  <w:t>六、其他要求</w:t>
      </w:r>
    </w:p>
    <w:p w14:paraId="1B92F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外观设计：充电桩的外观应简洁大方，与医院的整体环境相协调，不影响医院的美观度。</w:t>
      </w:r>
    </w:p>
    <w:p w14:paraId="13913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噪音控制：在运行过程中应尽可能降低噪音，避免对医院的患者和医护人员造成干扰。</w:t>
      </w:r>
    </w:p>
    <w:p w14:paraId="64FC1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符合标准：设备需符合国家和地方相关的充电桩标准和规范，以及医院的特殊要求。</w:t>
      </w:r>
    </w:p>
    <w:p w14:paraId="160E2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  <w:t>七、投标供应商资格条件</w:t>
      </w:r>
    </w:p>
    <w:p w14:paraId="1F4EC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符合《中华人民共和国政府采购法》第二十二条资格条件：</w:t>
      </w:r>
    </w:p>
    <w:p w14:paraId="796F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1.具有独立承担民事责任的能力【提供营业执照等证明文件】；</w:t>
      </w:r>
    </w:p>
    <w:p w14:paraId="5127E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.具有履行合同所必需的设备和专业技术能力；</w:t>
      </w:r>
    </w:p>
    <w:p w14:paraId="10C7D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.参加政府采购活动前3年内，在经营活动中没有重大违法记录；</w:t>
      </w:r>
    </w:p>
    <w:p w14:paraId="5D00BF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  <w:t>八、报名时间及方式</w:t>
      </w:r>
    </w:p>
    <w:p w14:paraId="541A4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（一）报名时间：2025年3月 28日至 4 月 2 日</w:t>
      </w:r>
    </w:p>
    <w:p w14:paraId="433A3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报名，可采取电话、微信等方式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电话：0995-8828633，微信：AAK1010。</w:t>
      </w:r>
    </w:p>
    <w:p w14:paraId="71CB6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（三）报名须知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报名时请将有资质的公司全名、项目联系人及电话和营业执照电子版发至微信。</w:t>
      </w:r>
    </w:p>
    <w:p w14:paraId="0900A0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  <w:t>九、评选方式及地点</w:t>
      </w:r>
    </w:p>
    <w:p w14:paraId="75380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（一）评选方式：院内比选评审。</w:t>
      </w:r>
      <w:bookmarkStart w:id="0" w:name="_GoBack"/>
      <w:bookmarkEnd w:id="0"/>
    </w:p>
    <w:p w14:paraId="09124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（二）评选地点：托克逊县人民医院急诊综合楼四楼（现场比选）。</w:t>
      </w:r>
    </w:p>
    <w:p w14:paraId="00479AE8">
      <w:pPr>
        <w:pStyle w:val="10"/>
        <w:numPr>
          <w:ilvl w:val="0"/>
          <w:numId w:val="1"/>
        </w:numPr>
        <w:bidi w:val="0"/>
        <w:spacing w:before="0" w:after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  <w:t>结果公示</w:t>
      </w:r>
    </w:p>
    <w:p w14:paraId="6C401D38">
      <w:pPr>
        <w:pStyle w:val="10"/>
        <w:numPr>
          <w:numId w:val="0"/>
        </w:numPr>
        <w:bidi w:val="0"/>
        <w:spacing w:before="0" w:after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hi-I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hi-I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hi-IN"/>
          <w14:textFill>
            <w14:solidFill>
              <w14:schemeClr w14:val="tx1"/>
            </w14:solidFill>
          </w14:textFill>
        </w:rPr>
        <w:t>现场公布中选结果。</w:t>
      </w:r>
    </w:p>
    <w:p w14:paraId="63014291">
      <w:pPr>
        <w:pStyle w:val="10"/>
        <w:numPr>
          <w:numId w:val="0"/>
        </w:numPr>
        <w:bidi w:val="0"/>
        <w:spacing w:before="0" w:after="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 w:bidi="hi-I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hi-IN"/>
          <w14:textFill>
            <w14:solidFill>
              <w14:schemeClr w14:val="tx1"/>
            </w14:solidFill>
          </w14:textFill>
        </w:rPr>
        <w:t xml:space="preserve">     （二）医院内网及公示墙公示。</w:t>
      </w:r>
    </w:p>
    <w:sectPr>
      <w:pgSz w:w="12240" w:h="15840"/>
      <w:pgMar w:top="1440" w:right="1800" w:bottom="1440" w:left="1800" w:header="0" w:footer="0" w:gutter="0"/>
      <w:pgNumType w:fmt="decimal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Mono CJK SC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D5011"/>
    <w:multiLevelType w:val="singleLevel"/>
    <w:tmpl w:val="03ED5011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9"/>
  <w:autoHyphenation/>
  <w:compat>
    <w:useFELayout/>
    <w:compatSetting w:name="compatibilityMode" w:uri="http://schemas.microsoft.com/office/word" w:val="15"/>
  </w:compat>
  <w:rsids>
    <w:rsidRoot w:val="00000000"/>
    <w:rsid w:val="05114B22"/>
    <w:rsid w:val="11190FAE"/>
    <w:rsid w:val="14FC1476"/>
    <w:rsid w:val="188E5DAC"/>
    <w:rsid w:val="2BA8419D"/>
    <w:rsid w:val="35BE6F0F"/>
    <w:rsid w:val="4B6B3D3A"/>
    <w:rsid w:val="58E07C6A"/>
    <w:rsid w:val="5ABD370C"/>
    <w:rsid w:val="5DC16A62"/>
    <w:rsid w:val="67AA618F"/>
    <w:rsid w:val="6999210F"/>
    <w:rsid w:val="6B3B3FCD"/>
    <w:rsid w:val="6CD81741"/>
    <w:rsid w:val="7DE97E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Noto Sans Mono CJK SC" w:hAnsi="Noto Sans Mono CJK SC" w:eastAsia="Noto Sans Mono CJK SC" w:cs="Noto Sans Mono CJK SC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</w:pPr>
    <w:rPr>
      <w:rFonts w:ascii="Noto Sans Mono CJK SC" w:hAnsi="Noto Sans Mono CJK SC" w:eastAsia="Noto Sans Mono CJK SC" w:cs="Noto Sans Mono CJK SC"/>
      <w:color w:val="auto"/>
      <w:sz w:val="24"/>
      <w:szCs w:val="24"/>
      <w:lang w:val="en-US" w:eastAsia="zh-CN" w:bidi="hi-IN"/>
    </w:rPr>
  </w:style>
  <w:style w:type="paragraph" w:styleId="2">
    <w:name w:val="heading 2"/>
    <w:basedOn w:val="1"/>
    <w:next w:val="1"/>
    <w:qFormat/>
    <w:uiPriority w:val="99"/>
    <w:pPr>
      <w:outlineLvl w:val="1"/>
    </w:pPr>
    <w:rPr>
      <w:w w:val="10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List"/>
    <w:basedOn w:val="4"/>
    <w:qFormat/>
    <w:uiPriority w:val="0"/>
  </w:style>
  <w:style w:type="paragraph" w:customStyle="1" w:styleId="8">
    <w:name w:val="Heading"/>
    <w:basedOn w:val="1"/>
    <w:next w:val="4"/>
    <w:qFormat/>
    <w:uiPriority w:val="0"/>
    <w:pPr>
      <w:keepNext/>
      <w:spacing w:before="240" w:after="120"/>
    </w:pPr>
    <w:rPr>
      <w:rFonts w:ascii="Noto Sans Mono CJK SC" w:hAnsi="Noto Sans Mono CJK SC" w:eastAsia="Noto Sans Mono CJK SC" w:cs="Noto Sans Mono CJK SC"/>
      <w:sz w:val="28"/>
      <w:szCs w:val="28"/>
    </w:rPr>
  </w:style>
  <w:style w:type="paragraph" w:customStyle="1" w:styleId="9">
    <w:name w:val="Index"/>
    <w:basedOn w:val="1"/>
    <w:qFormat/>
    <w:uiPriority w:val="0"/>
    <w:pPr>
      <w:suppressLineNumbers/>
    </w:pPr>
    <w:rPr>
      <w:lang w:val="zh-CN" w:eastAsia="zh-CN" w:bidi="zh-CN"/>
    </w:rPr>
  </w:style>
  <w:style w:type="paragraph" w:customStyle="1" w:styleId="10">
    <w:name w:val="Preformatted Text"/>
    <w:basedOn w:val="1"/>
    <w:qFormat/>
    <w:uiPriority w:val="0"/>
    <w:pPr>
      <w:spacing w:before="0" w:after="0"/>
    </w:pPr>
    <w:rPr>
      <w:rFonts w:ascii="Noto Sans Mono CJK SC" w:hAnsi="Noto Sans Mono CJK SC" w:eastAsia="Noto Sans Mono CJK SC" w:cs="Noto Sans Mono CJK SC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1457</Words>
  <Characters>1497</Characters>
  <TotalTime>41</TotalTime>
  <ScaleCrop>false</ScaleCrop>
  <LinksUpToDate>false</LinksUpToDate>
  <CharactersWithSpaces>1511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2025-03-25T10:03:00Z</dcterms:created>
  <dc:creator>Administrator</dc:creator>
  <cp:lastModifiedBy>阿不都外力</cp:lastModifiedBy>
  <dcterms:modified xsi:type="dcterms:W3CDTF">2025-03-27T12:34:02Z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eyJoZGlkIjoiNTIyYWIxNjYxMzdiOTNjMjNhNjE4ZjYxYjRiZTNkMWYiLCJ1c2VySWQiOiIzODI5NTk5MjEifQ==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6C4300F82D704CDCB7783E188733BDBF_13</vt:lpwstr>
  </property>
</Properties>
</file>