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95137">
      <w:pPr>
        <w:pStyle w:val="5"/>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rPr>
        <w:t>托克逊县人民医院</w:t>
      </w:r>
      <w:r>
        <w:rPr>
          <w:rFonts w:hint="eastAsia" w:asciiTheme="minorEastAsia" w:hAnsiTheme="minorEastAsia" w:eastAsiaTheme="minorEastAsia" w:cstheme="minorEastAsia"/>
          <w:b w:val="0"/>
          <w:bCs/>
          <w:color w:val="auto"/>
          <w:highlight w:val="none"/>
          <w:lang w:val="en-US" w:eastAsia="zh-CN"/>
        </w:rPr>
        <w:t xml:space="preserve">老院区房屋结构、质量 </w:t>
      </w:r>
    </w:p>
    <w:p w14:paraId="61006135">
      <w:pPr>
        <w:pStyle w:val="5"/>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b w:val="0"/>
          <w:bCs/>
          <w:color w:val="auto"/>
          <w:highlight w:val="none"/>
          <w:lang w:val="en-US" w:eastAsia="zh-CN"/>
        </w:rPr>
        <w:t>鉴定服务项目采购需求</w:t>
      </w:r>
    </w:p>
    <w:p w14:paraId="36E7A4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p>
    <w:p w14:paraId="6C3367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一、项目概况</w:t>
      </w:r>
    </w:p>
    <w:p w14:paraId="3381D3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1.项目名称:托克逊县人民医院老院区房屋结构、质量</w:t>
      </w:r>
    </w:p>
    <w:p w14:paraId="285590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32"/>
          <w:szCs w:val="32"/>
          <w:highlight w:val="none"/>
          <w:lang w:val="en-US"/>
        </w:rPr>
      </w:pPr>
      <w:r>
        <w:rPr>
          <w:rFonts w:hint="eastAsia" w:asciiTheme="minorEastAsia" w:hAnsiTheme="minorEastAsia" w:eastAsiaTheme="minorEastAsia" w:cstheme="minorEastAsia"/>
          <w:color w:val="auto"/>
          <w:sz w:val="32"/>
          <w:szCs w:val="32"/>
          <w:highlight w:val="none"/>
        </w:rPr>
        <w:t>鉴定服务项目</w:t>
      </w:r>
      <w:r>
        <w:rPr>
          <w:rFonts w:hint="eastAsia" w:asciiTheme="minorEastAsia" w:hAnsiTheme="minorEastAsia" w:eastAsiaTheme="minorEastAsia" w:cstheme="minorEastAsia"/>
          <w:color w:val="auto"/>
          <w:sz w:val="32"/>
          <w:szCs w:val="32"/>
          <w:highlight w:val="none"/>
          <w:lang w:val="en-US" w:eastAsia="zh-CN"/>
        </w:rPr>
        <w:t>。</w:t>
      </w:r>
    </w:p>
    <w:p w14:paraId="3DDFAA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2.项目基本情况:</w:t>
      </w:r>
      <w:r>
        <w:rPr>
          <w:rFonts w:hint="eastAsia" w:asciiTheme="minorEastAsia" w:hAnsiTheme="minorEastAsia" w:eastAsiaTheme="minorEastAsia" w:cstheme="minorEastAsia"/>
          <w:color w:val="auto"/>
          <w:sz w:val="32"/>
          <w:szCs w:val="32"/>
          <w:highlight w:val="none"/>
          <w:lang w:val="en-US" w:eastAsia="zh-CN"/>
        </w:rPr>
        <w:t>五官科楼（原急救中心综合楼）2379㎡、传染病房楼1290.6㎡、急诊综合楼4686.96㎡，</w:t>
      </w:r>
      <w:r>
        <w:rPr>
          <w:rFonts w:hint="eastAsia" w:asciiTheme="minorEastAsia" w:hAnsiTheme="minorEastAsia" w:eastAsiaTheme="minorEastAsia" w:cstheme="minorEastAsia"/>
          <w:color w:val="auto"/>
          <w:sz w:val="32"/>
          <w:szCs w:val="32"/>
          <w:highlight w:val="none"/>
        </w:rPr>
        <w:t>位于托克逊县</w:t>
      </w:r>
      <w:r>
        <w:rPr>
          <w:rFonts w:hint="eastAsia" w:asciiTheme="minorEastAsia" w:hAnsiTheme="minorEastAsia" w:eastAsiaTheme="minorEastAsia" w:cstheme="minorEastAsia"/>
          <w:color w:val="auto"/>
          <w:sz w:val="32"/>
          <w:szCs w:val="32"/>
          <w:highlight w:val="none"/>
          <w:lang w:val="en-US" w:eastAsia="zh-CN"/>
        </w:rPr>
        <w:t>友好东路托克逊县人民医院老院区内</w:t>
      </w:r>
      <w:r>
        <w:rPr>
          <w:rFonts w:hint="eastAsia" w:asciiTheme="minorEastAsia" w:hAnsiTheme="minorEastAsia" w:eastAsiaTheme="minorEastAsia" w:cstheme="minorEastAsia"/>
          <w:color w:val="auto"/>
          <w:sz w:val="32"/>
          <w:szCs w:val="32"/>
          <w:highlight w:val="none"/>
          <w:lang w:eastAsia="zh-CN"/>
        </w:rPr>
        <w:t>。</w:t>
      </w:r>
    </w:p>
    <w:p w14:paraId="5F6440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w:t>
      </w:r>
      <w:r>
        <w:rPr>
          <w:rFonts w:hint="eastAsia" w:asciiTheme="minorEastAsia" w:hAnsiTheme="minorEastAsia" w:eastAsiaTheme="minorEastAsia" w:cstheme="minorEastAsia"/>
          <w:color w:val="auto"/>
          <w:sz w:val="32"/>
          <w:szCs w:val="32"/>
          <w:highlight w:val="none"/>
          <w:lang w:val="en-US" w:eastAsia="zh-CN"/>
        </w:rPr>
        <w:t>预算价</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val="en-US" w:eastAsia="zh-CN"/>
        </w:rPr>
        <w:t>10万元</w:t>
      </w:r>
      <w:r>
        <w:rPr>
          <w:rFonts w:hint="eastAsia" w:asciiTheme="minorEastAsia" w:hAnsiTheme="minorEastAsia" w:eastAsiaTheme="minorEastAsia" w:cstheme="minorEastAsia"/>
          <w:color w:val="auto"/>
          <w:sz w:val="32"/>
          <w:szCs w:val="32"/>
          <w:highlight w:val="none"/>
        </w:rPr>
        <w:t>。</w:t>
      </w:r>
    </w:p>
    <w:p w14:paraId="07361D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二、申请人的资格要求</w:t>
      </w:r>
    </w:p>
    <w:p w14:paraId="03CB8960">
      <w:pPr>
        <w:keepNext w:val="0"/>
        <w:keepLines w:val="0"/>
        <w:pageBreakBefore w:val="0"/>
        <w:widowControl w:val="0"/>
        <w:tabs>
          <w:tab w:val="left" w:pos="1134"/>
        </w:tabs>
        <w:kinsoku/>
        <w:wordWrap/>
        <w:overflowPunct/>
        <w:topLinePunct w:val="0"/>
        <w:autoSpaceDE/>
        <w:autoSpaceDN/>
        <w:bidi w:val="0"/>
        <w:adjustRightInd/>
        <w:snapToGrid w:val="0"/>
        <w:spacing w:line="560" w:lineRule="exact"/>
        <w:ind w:firstLine="643" w:firstLineChars="200"/>
        <w:textAlignment w:val="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（一）</w:t>
      </w:r>
      <w:bookmarkStart w:id="0" w:name="_GoBack"/>
      <w:bookmarkEnd w:id="0"/>
      <w:r>
        <w:rPr>
          <w:rFonts w:hint="eastAsia" w:asciiTheme="minorEastAsia" w:hAnsiTheme="minorEastAsia" w:eastAsiaTheme="minorEastAsia" w:cstheme="minorEastAsia"/>
          <w:b/>
          <w:bCs/>
          <w:color w:val="auto"/>
          <w:sz w:val="32"/>
          <w:szCs w:val="32"/>
          <w:highlight w:val="none"/>
        </w:rPr>
        <w:t>一般资格条件</w:t>
      </w:r>
    </w:p>
    <w:p w14:paraId="4D9099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1.报价人须是在中华人民共和国境内注册并取得营业执照的独立法人</w:t>
      </w:r>
      <w:r>
        <w:rPr>
          <w:rFonts w:hint="eastAsia" w:asciiTheme="minorEastAsia" w:hAnsiTheme="minorEastAsia" w:eastAsiaTheme="minorEastAsia" w:cstheme="minorEastAsia"/>
          <w:color w:val="auto"/>
          <w:sz w:val="32"/>
          <w:szCs w:val="32"/>
          <w:highlight w:val="none"/>
          <w:lang w:eastAsia="zh-CN"/>
        </w:rPr>
        <w:t>。</w:t>
      </w:r>
    </w:p>
    <w:p w14:paraId="426556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2.</w:t>
      </w:r>
      <w:r>
        <w:rPr>
          <w:rFonts w:hint="eastAsia" w:asciiTheme="minorEastAsia" w:hAnsiTheme="minorEastAsia" w:eastAsiaTheme="minorEastAsia" w:cstheme="minorEastAsia"/>
          <w:color w:val="auto"/>
          <w:sz w:val="32"/>
          <w:szCs w:val="32"/>
          <w:highlight w:val="none"/>
        </w:rPr>
        <w:t>参加政府采购活动前三年内，未因违法经营受到刑事处罚或者责令停产停业、吊销许可证或者执照、较大数额罚款等行政处罚。</w:t>
      </w:r>
      <w:r>
        <w:rPr>
          <w:rFonts w:hint="eastAsia" w:asciiTheme="minorEastAsia" w:hAnsiTheme="minorEastAsia" w:eastAsiaTheme="minorEastAsia" w:cstheme="minorEastAsia"/>
          <w:color w:val="auto"/>
          <w:sz w:val="32"/>
          <w:szCs w:val="32"/>
          <w:highlight w:val="none"/>
        </w:rPr>
        <w:tab/>
      </w:r>
    </w:p>
    <w:p w14:paraId="43E73B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rPr>
        <w:t xml:space="preserve">凡是被纳入“信用中国”网站信用记录失信被执行人、重大税收违法案件当事人名单的投标人不允许参加本项目的采购活动。（请提供网上截图资料并加盖单位公章）。 </w:t>
      </w:r>
    </w:p>
    <w:p w14:paraId="59E477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4.</w:t>
      </w:r>
      <w:r>
        <w:rPr>
          <w:rFonts w:hint="eastAsia" w:asciiTheme="minorEastAsia" w:hAnsiTheme="minorEastAsia" w:eastAsiaTheme="minorEastAsia" w:cstheme="minorEastAsia"/>
          <w:color w:val="auto"/>
          <w:sz w:val="32"/>
          <w:szCs w:val="32"/>
          <w:highlight w:val="none"/>
        </w:rPr>
        <w:t>落实政府采购政策需满足的资格要求。</w:t>
      </w:r>
      <w:r>
        <w:rPr>
          <w:rFonts w:hint="eastAsia" w:asciiTheme="minorEastAsia" w:hAnsiTheme="minorEastAsia" w:eastAsiaTheme="minorEastAsia" w:cstheme="minorEastAsia"/>
          <w:b w:val="0"/>
          <w:bCs w:val="0"/>
          <w:color w:val="auto"/>
          <w:sz w:val="32"/>
          <w:szCs w:val="32"/>
          <w:highlight w:val="none"/>
        </w:rPr>
        <w:t xml:space="preserve">  </w:t>
      </w:r>
    </w:p>
    <w:p w14:paraId="57638C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eastAsia="zh-CN"/>
        </w:rPr>
      </w:pPr>
      <w:r>
        <w:rPr>
          <w:rStyle w:val="10"/>
          <w:rFonts w:hint="eastAsia" w:asciiTheme="minorEastAsia" w:hAnsiTheme="minorEastAsia" w:eastAsiaTheme="minorEastAsia" w:cstheme="minorEastAsia"/>
          <w:b w:val="0"/>
          <w:bCs/>
          <w:i w:val="0"/>
          <w:iCs w:val="0"/>
          <w:caps w:val="0"/>
          <w:color w:val="auto"/>
          <w:spacing w:val="0"/>
          <w:sz w:val="32"/>
          <w:szCs w:val="32"/>
          <w:highlight w:val="none"/>
          <w:lang w:val="en-US" w:eastAsia="zh-CN"/>
        </w:rPr>
        <w:t>5.</w:t>
      </w:r>
      <w:r>
        <w:rPr>
          <w:rFonts w:hint="eastAsia" w:asciiTheme="minorEastAsia" w:hAnsiTheme="minorEastAsia" w:eastAsiaTheme="minorEastAsia" w:cstheme="minorEastAsia"/>
          <w:color w:val="auto"/>
          <w:sz w:val="32"/>
          <w:szCs w:val="32"/>
          <w:highlight w:val="none"/>
        </w:rPr>
        <w:t>具有履行合同所必需的人员、设备和专业技术能力</w:t>
      </w:r>
      <w:r>
        <w:rPr>
          <w:rFonts w:hint="eastAsia" w:asciiTheme="minorEastAsia" w:hAnsiTheme="minorEastAsia" w:eastAsiaTheme="minorEastAsia" w:cstheme="minorEastAsia"/>
          <w:color w:val="auto"/>
          <w:sz w:val="32"/>
          <w:szCs w:val="32"/>
          <w:highlight w:val="none"/>
          <w:lang w:eastAsia="zh-CN"/>
        </w:rPr>
        <w:t>。</w:t>
      </w:r>
    </w:p>
    <w:p w14:paraId="0688834B">
      <w:pPr>
        <w:pStyle w:val="2"/>
        <w:keepNext w:val="0"/>
        <w:keepLines w:val="0"/>
        <w:pageBreakBefore w:val="0"/>
        <w:kinsoku/>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color w:val="auto"/>
          <w:sz w:val="32"/>
          <w:szCs w:val="32"/>
          <w:highlight w:val="none"/>
          <w:lang w:val="en-US" w:eastAsia="zh-CN"/>
        </w:rPr>
        <w:t>6、可提供新疆政府采购云平台链接，用于中选后下单。</w:t>
      </w:r>
    </w:p>
    <w:p w14:paraId="16CE823D">
      <w:pPr>
        <w:keepNext w:val="0"/>
        <w:keepLines w:val="0"/>
        <w:pageBreakBefore w:val="0"/>
        <w:widowControl w:val="0"/>
        <w:tabs>
          <w:tab w:val="left" w:pos="1134"/>
        </w:tabs>
        <w:kinsoku/>
        <w:wordWrap/>
        <w:overflowPunct/>
        <w:topLinePunct w:val="0"/>
        <w:autoSpaceDE/>
        <w:autoSpaceDN/>
        <w:bidi w:val="0"/>
        <w:adjustRightInd/>
        <w:snapToGrid w:val="0"/>
        <w:spacing w:line="560" w:lineRule="exact"/>
        <w:ind w:firstLine="643" w:firstLineChars="200"/>
        <w:textAlignment w:val="auto"/>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rPr>
        <w:t>（二）</w:t>
      </w:r>
      <w:r>
        <w:rPr>
          <w:rFonts w:hint="eastAsia" w:asciiTheme="minorEastAsia" w:hAnsiTheme="minorEastAsia" w:eastAsiaTheme="minorEastAsia" w:cstheme="minorEastAsia"/>
          <w:b/>
          <w:bCs/>
          <w:color w:val="auto"/>
          <w:sz w:val="32"/>
          <w:szCs w:val="32"/>
          <w:highlight w:val="none"/>
          <w:lang w:val="en-US" w:eastAsia="zh-CN"/>
        </w:rPr>
        <w:t>特定资格要求</w:t>
      </w:r>
    </w:p>
    <w:p w14:paraId="36D22606">
      <w:pPr>
        <w:keepNext w:val="0"/>
        <w:keepLines w:val="0"/>
        <w:pageBreakBefore w:val="0"/>
        <w:widowControl w:val="0"/>
        <w:tabs>
          <w:tab w:val="left" w:pos="1134"/>
        </w:tabs>
        <w:kinsoku/>
        <w:wordWrap/>
        <w:overflowPunct/>
        <w:topLinePunct w:val="0"/>
        <w:autoSpaceDE/>
        <w:autoSpaceDN/>
        <w:bidi w:val="0"/>
        <w:adjustRightInd/>
        <w:snapToGrid w:val="0"/>
        <w:spacing w:line="560" w:lineRule="exact"/>
        <w:ind w:firstLine="640" w:firstLineChars="200"/>
        <w:textAlignment w:val="auto"/>
        <w:rPr>
          <w:rStyle w:val="10"/>
          <w:rFonts w:hint="eastAsia" w:asciiTheme="minorEastAsia" w:hAnsiTheme="minorEastAsia" w:eastAsiaTheme="minorEastAsia" w:cstheme="minorEastAsia"/>
          <w:b w:val="0"/>
          <w:bCs/>
          <w:i w:val="0"/>
          <w:iCs w:val="0"/>
          <w:caps w:val="0"/>
          <w:color w:val="auto"/>
          <w:spacing w:val="0"/>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1.</w:t>
      </w:r>
      <w:r>
        <w:rPr>
          <w:rStyle w:val="10"/>
          <w:rFonts w:hint="eastAsia" w:asciiTheme="minorEastAsia" w:hAnsiTheme="minorEastAsia" w:eastAsiaTheme="minorEastAsia" w:cstheme="minorEastAsia"/>
          <w:b w:val="0"/>
          <w:bCs/>
          <w:i w:val="0"/>
          <w:iCs w:val="0"/>
          <w:caps w:val="0"/>
          <w:color w:val="auto"/>
          <w:spacing w:val="0"/>
          <w:sz w:val="32"/>
          <w:szCs w:val="32"/>
          <w:highlight w:val="none"/>
        </w:rPr>
        <w:t>鉴定机构（检测机构）应具备有效期内省级</w:t>
      </w:r>
      <w:r>
        <w:rPr>
          <w:rStyle w:val="10"/>
          <w:rFonts w:hint="eastAsia" w:asciiTheme="minorEastAsia" w:hAnsiTheme="minorEastAsia" w:eastAsiaTheme="minorEastAsia" w:cstheme="minorEastAsia"/>
          <w:b w:val="0"/>
          <w:bCs/>
          <w:i w:val="0"/>
          <w:iCs w:val="0"/>
          <w:caps w:val="0"/>
          <w:color w:val="auto"/>
          <w:spacing w:val="0"/>
          <w:sz w:val="32"/>
          <w:szCs w:val="32"/>
          <w:highlight w:val="none"/>
          <w:lang w:eastAsia="zh-CN"/>
        </w:rPr>
        <w:t>（</w:t>
      </w:r>
      <w:r>
        <w:rPr>
          <w:rStyle w:val="10"/>
          <w:rFonts w:hint="eastAsia" w:asciiTheme="minorEastAsia" w:hAnsiTheme="minorEastAsia" w:eastAsiaTheme="minorEastAsia" w:cstheme="minorEastAsia"/>
          <w:b w:val="0"/>
          <w:bCs/>
          <w:i w:val="0"/>
          <w:iCs w:val="0"/>
          <w:caps w:val="0"/>
          <w:color w:val="auto"/>
          <w:spacing w:val="0"/>
          <w:sz w:val="32"/>
          <w:szCs w:val="32"/>
          <w:highlight w:val="none"/>
          <w:lang w:val="en-US" w:eastAsia="zh-CN"/>
        </w:rPr>
        <w:t>自治区</w:t>
      </w:r>
      <w:r>
        <w:rPr>
          <w:rStyle w:val="10"/>
          <w:rFonts w:hint="eastAsia" w:asciiTheme="minorEastAsia" w:hAnsiTheme="minorEastAsia" w:eastAsiaTheme="minorEastAsia" w:cstheme="minorEastAsia"/>
          <w:b w:val="0"/>
          <w:bCs/>
          <w:i w:val="0"/>
          <w:iCs w:val="0"/>
          <w:caps w:val="0"/>
          <w:color w:val="auto"/>
          <w:spacing w:val="0"/>
          <w:sz w:val="32"/>
          <w:szCs w:val="32"/>
          <w:highlight w:val="none"/>
          <w:lang w:eastAsia="zh-CN"/>
        </w:rPr>
        <w:t>）</w:t>
      </w:r>
      <w:r>
        <w:rPr>
          <w:rStyle w:val="10"/>
          <w:rFonts w:hint="eastAsia" w:asciiTheme="minorEastAsia" w:hAnsiTheme="minorEastAsia" w:eastAsiaTheme="minorEastAsia" w:cstheme="minorEastAsia"/>
          <w:b w:val="0"/>
          <w:bCs/>
          <w:i w:val="0"/>
          <w:iCs w:val="0"/>
          <w:caps w:val="0"/>
          <w:color w:val="auto"/>
          <w:spacing w:val="0"/>
          <w:sz w:val="32"/>
          <w:szCs w:val="32"/>
          <w:highlight w:val="none"/>
        </w:rPr>
        <w:t>及以上</w:t>
      </w:r>
      <w:r>
        <w:rPr>
          <w:rStyle w:val="10"/>
          <w:rFonts w:hint="eastAsia" w:asciiTheme="minorEastAsia" w:hAnsiTheme="minorEastAsia" w:eastAsiaTheme="minorEastAsia" w:cstheme="minorEastAsia"/>
          <w:b w:val="0"/>
          <w:bCs/>
          <w:i w:val="0"/>
          <w:iCs w:val="0"/>
          <w:caps w:val="0"/>
          <w:color w:val="auto"/>
          <w:spacing w:val="0"/>
          <w:sz w:val="32"/>
          <w:szCs w:val="32"/>
          <w:highlight w:val="none"/>
          <w:lang w:val="en-US" w:eastAsia="zh-CN"/>
        </w:rPr>
        <w:t>市场监督管理</w:t>
      </w:r>
      <w:r>
        <w:rPr>
          <w:rStyle w:val="10"/>
          <w:rFonts w:hint="eastAsia" w:asciiTheme="minorEastAsia" w:hAnsiTheme="minorEastAsia" w:eastAsiaTheme="minorEastAsia" w:cstheme="minorEastAsia"/>
          <w:b w:val="0"/>
          <w:bCs/>
          <w:i w:val="0"/>
          <w:iCs w:val="0"/>
          <w:caps w:val="0"/>
          <w:color w:val="auto"/>
          <w:spacing w:val="0"/>
          <w:sz w:val="32"/>
          <w:szCs w:val="32"/>
          <w:highlight w:val="none"/>
        </w:rPr>
        <w:t>局颁发的检验检测机构资质认定证书，并同时具有建设行政主管部门颁发的建设工程质量检测机构资质证书（检测范围包括地基基础、主体结构、见证取样</w:t>
      </w:r>
      <w:r>
        <w:rPr>
          <w:rStyle w:val="10"/>
          <w:rFonts w:hint="eastAsia" w:asciiTheme="minorEastAsia" w:hAnsiTheme="minorEastAsia" w:eastAsiaTheme="minorEastAsia" w:cstheme="minorEastAsia"/>
          <w:b w:val="0"/>
          <w:bCs/>
          <w:i w:val="0"/>
          <w:iCs w:val="0"/>
          <w:caps w:val="0"/>
          <w:color w:val="auto"/>
          <w:spacing w:val="0"/>
          <w:sz w:val="32"/>
          <w:szCs w:val="32"/>
          <w:highlight w:val="none"/>
          <w:lang w:val="en-US" w:eastAsia="zh-CN"/>
        </w:rPr>
        <w:t>等</w:t>
      </w:r>
      <w:r>
        <w:rPr>
          <w:rStyle w:val="10"/>
          <w:rFonts w:hint="eastAsia" w:asciiTheme="minorEastAsia" w:hAnsiTheme="minorEastAsia" w:eastAsiaTheme="minorEastAsia" w:cstheme="minorEastAsia"/>
          <w:b w:val="0"/>
          <w:bCs/>
          <w:i w:val="0"/>
          <w:iCs w:val="0"/>
          <w:caps w:val="0"/>
          <w:color w:val="auto"/>
          <w:spacing w:val="0"/>
          <w:sz w:val="32"/>
          <w:szCs w:val="32"/>
          <w:highlight w:val="none"/>
        </w:rPr>
        <w:t>）。</w:t>
      </w:r>
    </w:p>
    <w:p w14:paraId="534230E9">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Style w:val="10"/>
          <w:rFonts w:hint="eastAsia" w:asciiTheme="minorEastAsia" w:hAnsiTheme="minorEastAsia" w:eastAsiaTheme="minorEastAsia" w:cstheme="minorEastAsia"/>
          <w:b w:val="0"/>
          <w:bCs/>
          <w:i w:val="0"/>
          <w:iCs w:val="0"/>
          <w:caps w:val="0"/>
          <w:color w:val="auto"/>
          <w:spacing w:val="0"/>
          <w:sz w:val="32"/>
          <w:szCs w:val="32"/>
          <w:highlight w:val="none"/>
        </w:rPr>
      </w:pPr>
      <w:r>
        <w:rPr>
          <w:rStyle w:val="10"/>
          <w:rFonts w:hint="eastAsia" w:asciiTheme="minorEastAsia" w:hAnsiTheme="minorEastAsia" w:eastAsiaTheme="minorEastAsia" w:cstheme="minorEastAsia"/>
          <w:b w:val="0"/>
          <w:bCs/>
          <w:i w:val="0"/>
          <w:iCs w:val="0"/>
          <w:caps w:val="0"/>
          <w:color w:val="auto"/>
          <w:spacing w:val="0"/>
          <w:sz w:val="32"/>
          <w:szCs w:val="32"/>
          <w:highlight w:val="none"/>
          <w:lang w:val="en-US" w:eastAsia="zh-CN"/>
        </w:rPr>
        <w:t>2.</w:t>
      </w:r>
      <w:r>
        <w:rPr>
          <w:rStyle w:val="10"/>
          <w:rFonts w:hint="eastAsia" w:asciiTheme="minorEastAsia" w:hAnsiTheme="minorEastAsia" w:eastAsiaTheme="minorEastAsia" w:cstheme="minorEastAsia"/>
          <w:b w:val="0"/>
          <w:bCs/>
          <w:i w:val="0"/>
          <w:iCs w:val="0"/>
          <w:caps w:val="0"/>
          <w:color w:val="auto"/>
          <w:spacing w:val="0"/>
          <w:sz w:val="32"/>
          <w:szCs w:val="32"/>
          <w:highlight w:val="none"/>
        </w:rPr>
        <w:t>项目负责人应当</w:t>
      </w:r>
      <w:r>
        <w:rPr>
          <w:rFonts w:hint="eastAsia" w:asciiTheme="minorEastAsia" w:hAnsiTheme="minorEastAsia" w:eastAsiaTheme="minorEastAsia" w:cstheme="minorEastAsia"/>
          <w:color w:val="auto"/>
          <w:sz w:val="32"/>
          <w:szCs w:val="32"/>
          <w:highlight w:val="none"/>
          <w:lang w:val="en-US" w:eastAsia="zh-CN"/>
        </w:rPr>
        <w:t>具备结构工程专业中级及以上专业技术职称或二级及以上注册结构工程师</w:t>
      </w:r>
      <w:r>
        <w:rPr>
          <w:rStyle w:val="10"/>
          <w:rFonts w:hint="eastAsia" w:asciiTheme="minorEastAsia" w:hAnsiTheme="minorEastAsia" w:eastAsiaTheme="minorEastAsia" w:cstheme="minorEastAsia"/>
          <w:b w:val="0"/>
          <w:bCs/>
          <w:i w:val="0"/>
          <w:iCs w:val="0"/>
          <w:caps w:val="0"/>
          <w:color w:val="auto"/>
          <w:spacing w:val="0"/>
          <w:sz w:val="32"/>
          <w:szCs w:val="32"/>
          <w:highlight w:val="none"/>
        </w:rPr>
        <w:t>职业资格证书。（且在本单位注册）</w:t>
      </w:r>
    </w:p>
    <w:p w14:paraId="7FC85718">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3.至少提供三项近三年内类似业绩。 </w:t>
      </w:r>
    </w:p>
    <w:p w14:paraId="171C47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val="en-US" w:eastAsia="zh-CN"/>
        </w:rPr>
        <w:t>三</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服务</w:t>
      </w:r>
      <w:r>
        <w:rPr>
          <w:rFonts w:hint="eastAsia" w:asciiTheme="minorEastAsia" w:hAnsiTheme="minorEastAsia" w:eastAsiaTheme="minorEastAsia" w:cstheme="minorEastAsia"/>
          <w:color w:val="auto"/>
          <w:sz w:val="32"/>
          <w:szCs w:val="32"/>
          <w:highlight w:val="none"/>
          <w:lang w:eastAsia="zh-CN"/>
        </w:rPr>
        <w:t>范围</w:t>
      </w:r>
    </w:p>
    <w:p w14:paraId="37065C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1.服务内容：中选单位在成交日期3个工作日内，完成合同签订事宜，30日内完成房屋鉴定工作，并在5日内出具房屋鉴定报告；</w:t>
      </w:r>
    </w:p>
    <w:p w14:paraId="4AB463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2.服务费用支付：自合同签订后，乙方开展工作后20个工作日内支付总费用的30%，乙方完成现场全部工作后，支付至总费用的60%，乙方提交全部纸质版及电子版报告，确认无误后15工作日内支付合同总额的100%。</w:t>
      </w:r>
    </w:p>
    <w:p w14:paraId="6D3A82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3.为保障服务质量及合法性，出具检测鉴定报告后需加盖单位公章及检测专用章。</w:t>
      </w:r>
    </w:p>
    <w:p w14:paraId="3F4DF2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四、服务要求</w:t>
      </w:r>
    </w:p>
    <w:p w14:paraId="2968FC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1、出具的鉴定报告应符合办理房屋不动产权属证书的相关要求；</w:t>
      </w:r>
    </w:p>
    <w:p w14:paraId="2A0657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2.按时出具检测报告，及时归整资料。</w:t>
      </w:r>
    </w:p>
    <w:p w14:paraId="7F1CD7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3.对出具的鉴定报告内容的真实性、完整性负责。 </w:t>
      </w:r>
    </w:p>
    <w:p w14:paraId="3C2F32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4.服务周期：30天。</w:t>
      </w:r>
    </w:p>
    <w:p w14:paraId="32B814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5.验收标准：按照合同约定，依法依规，合格完成本项目房屋鉴定报告（包含电子版一份，纸质版五份）。</w:t>
      </w:r>
    </w:p>
    <w:p w14:paraId="080752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lang w:eastAsia="zh-CN"/>
        </w:rPr>
        <w:t>、保密要求</w:t>
      </w:r>
    </w:p>
    <w:p w14:paraId="6019A2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乙方应保守机密，不得擅自与有利害关系的人员私下接触或透露有关情况，不得向与本项目无关的单位和个人透露相关情况，不得遗失采购单位认为必须返还的相关资料，乙方需要的资料均需与院方有交接记录，服务提供完毕后，所有资料均全部返还院方。对于院方提供的电子及纸质资料，乙方有严格保密的义务，不得随意复制、传播，一经发现视为严重违约。</w:t>
      </w:r>
    </w:p>
    <w:p w14:paraId="2A31FB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bCs/>
          <w:color w:val="0000FF"/>
          <w:sz w:val="32"/>
          <w:szCs w:val="32"/>
          <w:highlight w:val="none"/>
          <w:lang w:val="en-US" w:eastAsia="zh-CN"/>
        </w:rPr>
      </w:pPr>
      <w:r>
        <w:rPr>
          <w:rFonts w:hint="eastAsia" w:asciiTheme="minorEastAsia" w:hAnsiTheme="minorEastAsia" w:eastAsiaTheme="minorEastAsia" w:cstheme="minorEastAsia"/>
          <w:b/>
          <w:bCs/>
          <w:color w:val="0000FF"/>
          <w:sz w:val="32"/>
          <w:szCs w:val="32"/>
          <w:highlight w:val="none"/>
          <w:lang w:val="en-US" w:eastAsia="zh-CN"/>
        </w:rPr>
        <w:t>六、报名时间及方式</w:t>
      </w:r>
    </w:p>
    <w:p w14:paraId="56D414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FF"/>
          <w:sz w:val="32"/>
          <w:szCs w:val="32"/>
          <w:highlight w:val="none"/>
          <w:lang w:val="en-US" w:eastAsia="zh-CN"/>
        </w:rPr>
      </w:pPr>
      <w:r>
        <w:rPr>
          <w:rFonts w:hint="eastAsia" w:asciiTheme="minorEastAsia" w:hAnsiTheme="minorEastAsia" w:eastAsiaTheme="minorEastAsia" w:cstheme="minorEastAsia"/>
          <w:color w:val="0000FF"/>
          <w:sz w:val="32"/>
          <w:szCs w:val="32"/>
          <w:highlight w:val="none"/>
          <w:lang w:val="en-US" w:eastAsia="zh-CN"/>
        </w:rPr>
        <w:t>1.报名时间：2025年5月 14日至 5 月16日</w:t>
      </w:r>
    </w:p>
    <w:p w14:paraId="3EDA7A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FF"/>
          <w:sz w:val="32"/>
          <w:szCs w:val="32"/>
          <w:highlight w:val="none"/>
          <w:lang w:val="en-US" w:eastAsia="zh-CN"/>
        </w:rPr>
      </w:pPr>
      <w:r>
        <w:rPr>
          <w:rFonts w:hint="eastAsia" w:asciiTheme="minorEastAsia" w:hAnsiTheme="minorEastAsia" w:eastAsiaTheme="minorEastAsia" w:cstheme="minorEastAsia"/>
          <w:color w:val="0000FF"/>
          <w:sz w:val="32"/>
          <w:szCs w:val="32"/>
          <w:highlight w:val="none"/>
          <w:lang w:val="en-US" w:eastAsia="zh-CN"/>
        </w:rPr>
        <w:t>2.报名方式：线下报名，可采取电话、微信等方式。电话：0995-8828633，微信：AAK1010。</w:t>
      </w:r>
    </w:p>
    <w:p w14:paraId="4476B6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FF"/>
          <w:sz w:val="32"/>
          <w:szCs w:val="32"/>
          <w:highlight w:val="none"/>
          <w:lang w:val="en-US" w:eastAsia="zh-CN"/>
        </w:rPr>
      </w:pPr>
      <w:r>
        <w:rPr>
          <w:rFonts w:hint="eastAsia" w:asciiTheme="minorEastAsia" w:hAnsiTheme="minorEastAsia" w:eastAsiaTheme="minorEastAsia" w:cstheme="minorEastAsia"/>
          <w:color w:val="0000FF"/>
          <w:sz w:val="32"/>
          <w:szCs w:val="32"/>
          <w:highlight w:val="none"/>
          <w:lang w:val="en-US" w:eastAsia="zh-CN"/>
        </w:rPr>
        <w:t>3.报名须知：报名时请将有资质的公司全名、项目联系人及电话和营业执照电子版发至微信。</w:t>
      </w:r>
    </w:p>
    <w:p w14:paraId="5B8AFC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bCs/>
          <w:color w:val="0000FF"/>
          <w:sz w:val="32"/>
          <w:szCs w:val="32"/>
          <w:highlight w:val="none"/>
          <w:lang w:val="en-US" w:eastAsia="zh-CN"/>
        </w:rPr>
      </w:pPr>
      <w:r>
        <w:rPr>
          <w:rFonts w:hint="eastAsia" w:asciiTheme="minorEastAsia" w:hAnsiTheme="minorEastAsia" w:eastAsiaTheme="minorEastAsia" w:cstheme="minorEastAsia"/>
          <w:b/>
          <w:bCs/>
          <w:color w:val="0000FF"/>
          <w:sz w:val="32"/>
          <w:szCs w:val="32"/>
          <w:highlight w:val="none"/>
          <w:lang w:val="en-US" w:eastAsia="zh-CN"/>
        </w:rPr>
        <w:t>七、评选方式及地点</w:t>
      </w:r>
    </w:p>
    <w:p w14:paraId="1B0D8C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FF"/>
          <w:sz w:val="32"/>
          <w:szCs w:val="32"/>
          <w:highlight w:val="none"/>
          <w:lang w:val="en-US" w:eastAsia="zh-CN"/>
        </w:rPr>
      </w:pPr>
      <w:r>
        <w:rPr>
          <w:rFonts w:hint="eastAsia" w:asciiTheme="minorEastAsia" w:hAnsiTheme="minorEastAsia" w:eastAsiaTheme="minorEastAsia" w:cstheme="minorEastAsia"/>
          <w:color w:val="0000FF"/>
          <w:sz w:val="32"/>
          <w:szCs w:val="32"/>
          <w:highlight w:val="none"/>
          <w:lang w:val="en-US" w:eastAsia="zh-CN"/>
        </w:rPr>
        <w:t>1.评选方式：院内比选评审。</w:t>
      </w:r>
    </w:p>
    <w:p w14:paraId="0BA0DD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FF"/>
          <w:sz w:val="32"/>
          <w:szCs w:val="32"/>
          <w:highlight w:val="none"/>
          <w:lang w:val="en-US" w:eastAsia="zh-CN"/>
        </w:rPr>
      </w:pPr>
      <w:r>
        <w:rPr>
          <w:rFonts w:hint="eastAsia" w:asciiTheme="minorEastAsia" w:hAnsiTheme="minorEastAsia" w:eastAsiaTheme="minorEastAsia" w:cstheme="minorEastAsia"/>
          <w:color w:val="0000FF"/>
          <w:sz w:val="32"/>
          <w:szCs w:val="32"/>
          <w:highlight w:val="none"/>
          <w:lang w:val="en-US" w:eastAsia="zh-CN"/>
        </w:rPr>
        <w:t>2.评选地点：托克逊县人民医院新院行政楼二楼会议室。</w:t>
      </w:r>
    </w:p>
    <w:p w14:paraId="4B92B0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bCs/>
          <w:color w:val="0000FF"/>
          <w:sz w:val="32"/>
          <w:szCs w:val="32"/>
          <w:highlight w:val="none"/>
          <w:lang w:val="en-US" w:eastAsia="zh-CN"/>
        </w:rPr>
      </w:pPr>
      <w:r>
        <w:rPr>
          <w:rFonts w:hint="eastAsia" w:asciiTheme="minorEastAsia" w:hAnsiTheme="minorEastAsia" w:eastAsiaTheme="minorEastAsia" w:cstheme="minorEastAsia"/>
          <w:b/>
          <w:bCs/>
          <w:color w:val="0000FF"/>
          <w:sz w:val="32"/>
          <w:szCs w:val="32"/>
          <w:highlight w:val="none"/>
          <w:lang w:val="en-US" w:eastAsia="zh-CN"/>
        </w:rPr>
        <w:t>八、结果公示</w:t>
      </w:r>
    </w:p>
    <w:p w14:paraId="3D579B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FF"/>
          <w:sz w:val="32"/>
          <w:szCs w:val="32"/>
          <w:highlight w:val="none"/>
          <w:lang w:val="en-US" w:eastAsia="zh-CN"/>
        </w:rPr>
      </w:pPr>
      <w:r>
        <w:rPr>
          <w:rFonts w:hint="eastAsia" w:asciiTheme="minorEastAsia" w:hAnsiTheme="minorEastAsia" w:eastAsiaTheme="minorEastAsia" w:cstheme="minorEastAsia"/>
          <w:color w:val="0000FF"/>
          <w:sz w:val="32"/>
          <w:szCs w:val="32"/>
          <w:highlight w:val="none"/>
          <w:lang w:val="en-US" w:eastAsia="zh-CN"/>
        </w:rPr>
        <w:t xml:space="preserve">    1.现场公布中选结果。</w:t>
      </w:r>
    </w:p>
    <w:p w14:paraId="52F4DC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FF"/>
          <w:sz w:val="32"/>
          <w:szCs w:val="32"/>
          <w:highlight w:val="none"/>
          <w:lang w:val="en-US" w:eastAsia="zh-CN"/>
        </w:rPr>
      </w:pPr>
      <w:r>
        <w:rPr>
          <w:rFonts w:hint="eastAsia" w:asciiTheme="minorEastAsia" w:hAnsiTheme="minorEastAsia" w:eastAsiaTheme="minorEastAsia" w:cstheme="minorEastAsia"/>
          <w:color w:val="0000FF"/>
          <w:sz w:val="32"/>
          <w:szCs w:val="32"/>
          <w:highlight w:val="none"/>
          <w:lang w:val="en-US" w:eastAsia="zh-CN"/>
        </w:rPr>
        <w:t xml:space="preserve">    2.新疆政府采购网采购公示中查询。</w:t>
      </w:r>
    </w:p>
    <w:p w14:paraId="00D768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0000FF"/>
          <w:sz w:val="32"/>
          <w:szCs w:val="32"/>
          <w:highlight w:val="none"/>
          <w:lang w:val="en-US" w:eastAsia="zh-CN"/>
        </w:rPr>
        <w:t xml:space="preserve">    3.医院内网及公示墙公示。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D0CCB"/>
    <w:rsid w:val="1A892E94"/>
    <w:rsid w:val="1E7D46BB"/>
    <w:rsid w:val="2311781E"/>
    <w:rsid w:val="27547F29"/>
    <w:rsid w:val="42F95053"/>
    <w:rsid w:val="440E76BA"/>
    <w:rsid w:val="4B954C64"/>
    <w:rsid w:val="5ADF1011"/>
    <w:rsid w:val="636206C4"/>
    <w:rsid w:val="6D526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99"/>
    <w:pPr>
      <w:outlineLvl w:val="1"/>
    </w:pPr>
    <w:rPr>
      <w:w w:val="10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1"/>
    <w:basedOn w:val="3"/>
    <w:next w:val="4"/>
    <w:qFormat/>
    <w:uiPriority w:val="0"/>
    <w:pPr>
      <w:spacing w:line="300" w:lineRule="auto"/>
      <w:jc w:val="center"/>
    </w:pPr>
    <w:rPr>
      <w:rFonts w:ascii="宋体" w:hAnsi="宋体"/>
      <w:spacing w:val="-20"/>
    </w:rPr>
  </w:style>
  <w:style w:type="paragraph" w:styleId="3">
    <w:name w:val="toc 1"/>
    <w:basedOn w:val="1"/>
    <w:next w:val="1"/>
    <w:unhideWhenUsed/>
    <w:qFormat/>
    <w:uiPriority w:val="39"/>
    <w:pPr>
      <w:spacing w:before="120" w:after="120"/>
      <w:jc w:val="left"/>
    </w:pPr>
    <w:rPr>
      <w:rFonts w:cs="Calibri"/>
      <w:b/>
      <w:bCs/>
      <w:caps/>
      <w:sz w:val="20"/>
      <w:szCs w:val="20"/>
    </w:rPr>
  </w:style>
  <w:style w:type="paragraph" w:styleId="4">
    <w:name w:val="Body Text 2"/>
    <w:basedOn w:val="1"/>
    <w:qFormat/>
    <w:uiPriority w:val="0"/>
    <w:pPr>
      <w:spacing w:line="360" w:lineRule="auto"/>
    </w:pPr>
    <w:rPr>
      <w:b/>
      <w:sz w:val="28"/>
      <w:szCs w:val="21"/>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1250</Words>
  <Characters>1325</Characters>
  <Lines>0</Lines>
  <Paragraphs>0</Paragraphs>
  <TotalTime>17</TotalTime>
  <ScaleCrop>false</ScaleCrop>
  <LinksUpToDate>false</LinksUpToDate>
  <CharactersWithSpaces>1347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2025-05-12T08:49:00Z</dcterms:created>
  <dc:creator>Administrator</dc:creator>
  <cp:lastModifiedBy>黑药</cp:lastModifiedBy>
  <cp:lastPrinted>2025-05-13T03:21:00Z</cp:lastPrinted>
  <dcterms:modified xsi:type="dcterms:W3CDTF">2025-05-13T11:51:31Z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eyJoZGlkIjoiZWEyYzMwOTA5NTBjMTI3YmNlMzY1NTA1YzFlMGM0MzgiLCJ1c2VySWQiOiI3MTY2MTA5NDkifQ==</vt:lpwstr>
  </property>
  <property fmtid="{D5CDD505-2E9C-101B-9397-08002B2CF9AE}" pid="4" name="ICV">
    <vt:lpwstr>202D9DCDEBAA4387B34A1944F7E16A17_13</vt:lpwstr>
  </property>
</Properties>
</file>