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CA6F6A">
      <w:pPr>
        <w:pStyle w:val="2"/>
        <w:keepNext/>
        <w:keepLines/>
        <w:pageBreakBefore w:val="0"/>
        <w:widowControl w:val="0"/>
        <w:kinsoku/>
        <w:wordWrap/>
        <w:overflowPunct/>
        <w:topLinePunct w:val="0"/>
        <w:autoSpaceDE/>
        <w:autoSpaceDN/>
        <w:bidi w:val="0"/>
        <w:adjustRightInd/>
        <w:snapToGrid/>
        <w:spacing w:before="0" w:beforeLines="0" w:after="0" w:afterLines="0" w:line="560" w:lineRule="exact"/>
        <w:jc w:val="center"/>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b w:val="0"/>
          <w:bCs/>
          <w:color w:val="auto"/>
          <w:highlight w:val="none"/>
        </w:rPr>
        <w:t>托克逊县人民医院综合业务用房二期建设项目竣工结算审核服务</w:t>
      </w:r>
      <w:r>
        <w:rPr>
          <w:rFonts w:hint="eastAsia" w:ascii="宋体" w:hAnsi="宋体" w:eastAsia="宋体" w:cs="宋体"/>
          <w:b w:val="0"/>
          <w:bCs/>
          <w:color w:val="auto"/>
          <w:highlight w:val="none"/>
          <w:lang w:val="en-US" w:eastAsia="zh-CN"/>
        </w:rPr>
        <w:t>项目</w:t>
      </w:r>
      <w:r>
        <w:rPr>
          <w:rFonts w:hint="eastAsia" w:ascii="宋体" w:hAnsi="宋体" w:eastAsia="宋体" w:cs="宋体"/>
          <w:b w:val="0"/>
          <w:bCs/>
          <w:color w:val="auto"/>
          <w:highlight w:val="none"/>
        </w:rPr>
        <w:t>采购</w:t>
      </w:r>
      <w:r>
        <w:rPr>
          <w:rFonts w:hint="eastAsia" w:ascii="宋体" w:hAnsi="宋体" w:eastAsia="宋体" w:cs="宋体"/>
          <w:b w:val="0"/>
          <w:bCs/>
          <w:color w:val="auto"/>
          <w:highlight w:val="none"/>
          <w:lang w:val="en-US" w:eastAsia="zh-CN"/>
        </w:rPr>
        <w:t>需求</w:t>
      </w:r>
    </w:p>
    <w:p w14:paraId="50DE192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lang w:val="en-US" w:eastAsia="zh-CN"/>
        </w:rPr>
      </w:pPr>
    </w:p>
    <w:p w14:paraId="5BBA5A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一、项目概况</w:t>
      </w:r>
    </w:p>
    <w:p w14:paraId="30EF16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rPr>
        <w:t>1.项目名称:</w:t>
      </w:r>
      <w:r>
        <w:rPr>
          <w:rFonts w:hint="eastAsia" w:ascii="仿宋_GB2312" w:hAnsi="仿宋_GB2312" w:eastAsia="仿宋_GB2312" w:cs="仿宋_GB2312"/>
          <w:color w:val="auto"/>
          <w:sz w:val="32"/>
          <w:szCs w:val="32"/>
          <w:highlight w:val="none"/>
          <w:lang w:val="en-US" w:eastAsia="zh-CN"/>
        </w:rPr>
        <w:t>托克逊县人民医院综合业务用房二期建设项目</w:t>
      </w:r>
      <w:r>
        <w:rPr>
          <w:rFonts w:hint="eastAsia" w:ascii="仿宋_GB2312" w:hAnsi="仿宋_GB2312" w:eastAsia="仿宋_GB2312" w:cs="仿宋_GB2312"/>
          <w:b w:val="0"/>
          <w:bCs w:val="0"/>
          <w:color w:val="auto"/>
          <w:sz w:val="32"/>
          <w:szCs w:val="32"/>
          <w:highlight w:val="none"/>
          <w:lang w:val="en-US" w:eastAsia="zh-CN"/>
        </w:rPr>
        <w:t>竣工结算审核服务项目</w:t>
      </w:r>
    </w:p>
    <w:p w14:paraId="747A7B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2.项目基本情况:托克逊县人民医院综合业务用房二期建设项目采购特殊科室、附属设施施工及设备-（第一包：手术室工程）</w:t>
      </w:r>
      <w:r>
        <w:rPr>
          <w:rFonts w:hint="eastAsia" w:ascii="仿宋_GB2312" w:hAnsi="仿宋_GB2312" w:eastAsia="仿宋_GB2312" w:cs="仿宋_GB2312"/>
          <w:color w:val="auto"/>
          <w:sz w:val="32"/>
          <w:szCs w:val="32"/>
          <w:highlight w:val="none"/>
          <w:lang w:val="en-US" w:eastAsia="zh-CN"/>
        </w:rPr>
        <w:t>1052万元，托克逊县人民医院综合业务用房二期建设项目采购特殊科室、附属设施施工及设备-（第二包：供应室工程及检验科、ICU净化工程）479.36万元，托克逊县人民医院综合业务用房二期建设项目采购特殊科室、附属设施施工及设备-（第三包：放射科工程）372.2万元，托克逊县人民医院综合业务用房二期建设项目采购特殊科室、附属设施施工及设备-（第四包：污水处理设备）300.88万元</w:t>
      </w:r>
      <w:r>
        <w:rPr>
          <w:rFonts w:hint="eastAsia" w:ascii="仿宋_GB2312" w:hAnsi="仿宋_GB2312" w:eastAsia="仿宋_GB2312" w:cs="仿宋_GB2312"/>
          <w:color w:val="auto"/>
          <w:sz w:val="32"/>
          <w:szCs w:val="32"/>
          <w:highlight w:val="none"/>
          <w:lang w:eastAsia="zh-CN"/>
        </w:rPr>
        <w:t>。</w:t>
      </w:r>
    </w:p>
    <w:p w14:paraId="175261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FF"/>
          <w:sz w:val="32"/>
          <w:szCs w:val="32"/>
          <w:highlight w:val="none"/>
          <w:lang w:val="en-US" w:eastAsia="zh-CN"/>
        </w:rPr>
      </w:pPr>
      <w:r>
        <w:rPr>
          <w:rFonts w:hint="eastAsia" w:ascii="仿宋_GB2312" w:hAnsi="仿宋_GB2312" w:eastAsia="仿宋_GB2312" w:cs="仿宋_GB2312"/>
          <w:color w:val="0000FF"/>
          <w:sz w:val="32"/>
          <w:szCs w:val="32"/>
          <w:highlight w:val="none"/>
          <w:lang w:val="en-US" w:eastAsia="zh-CN"/>
        </w:rPr>
        <w:t>*</w:t>
      </w:r>
      <w:r>
        <w:rPr>
          <w:rFonts w:hint="eastAsia" w:ascii="仿宋_GB2312" w:hAnsi="仿宋_GB2312" w:eastAsia="仿宋_GB2312" w:cs="仿宋_GB2312"/>
          <w:color w:val="0000FF"/>
          <w:sz w:val="32"/>
          <w:szCs w:val="32"/>
          <w:highlight w:val="none"/>
        </w:rPr>
        <w:t>3.</w:t>
      </w:r>
      <w:r>
        <w:rPr>
          <w:rFonts w:hint="eastAsia" w:ascii="仿宋_GB2312" w:hAnsi="仿宋_GB2312" w:eastAsia="仿宋_GB2312" w:cs="仿宋_GB2312"/>
          <w:color w:val="0000FF"/>
          <w:sz w:val="32"/>
          <w:szCs w:val="32"/>
          <w:highlight w:val="none"/>
          <w:lang w:val="en-US" w:eastAsia="zh-CN"/>
        </w:rPr>
        <w:t>预算价</w:t>
      </w:r>
      <w:r>
        <w:rPr>
          <w:rFonts w:hint="eastAsia" w:ascii="仿宋_GB2312" w:hAnsi="仿宋_GB2312" w:eastAsia="仿宋_GB2312" w:cs="仿宋_GB2312"/>
          <w:color w:val="0000FF"/>
          <w:sz w:val="32"/>
          <w:szCs w:val="32"/>
          <w:highlight w:val="none"/>
        </w:rPr>
        <w:t>:</w:t>
      </w:r>
      <w:r>
        <w:rPr>
          <w:rFonts w:hint="eastAsia" w:ascii="仿宋_GB2312" w:hAnsi="仿宋_GB2312" w:eastAsia="仿宋_GB2312" w:cs="仿宋_GB2312"/>
          <w:color w:val="0000FF"/>
          <w:sz w:val="32"/>
          <w:szCs w:val="32"/>
          <w:highlight w:val="none"/>
          <w:lang w:val="en-US" w:eastAsia="zh-CN"/>
        </w:rPr>
        <w:t>总金额不得超过12万元</w:t>
      </w:r>
    </w:p>
    <w:p w14:paraId="60C784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FF"/>
          <w:sz w:val="32"/>
          <w:szCs w:val="32"/>
          <w:highlight w:val="none"/>
        </w:rPr>
      </w:pPr>
      <w:r>
        <w:rPr>
          <w:rFonts w:hint="eastAsia" w:ascii="仿宋_GB2312" w:hAnsi="仿宋_GB2312" w:eastAsia="仿宋_GB2312" w:cs="仿宋_GB2312"/>
          <w:color w:val="0000FF"/>
          <w:sz w:val="32"/>
          <w:szCs w:val="32"/>
          <w:highlight w:val="none"/>
          <w:lang w:val="en-US" w:eastAsia="zh-CN"/>
        </w:rPr>
        <w:t>*4.报价方式：项目施工结算报告送审价+核减额</w:t>
      </w:r>
      <w:r>
        <w:rPr>
          <w:rFonts w:hint="eastAsia" w:ascii="仿宋_GB2312" w:hAnsi="仿宋_GB2312" w:eastAsia="仿宋_GB2312" w:cs="仿宋_GB2312"/>
          <w:color w:val="0000FF"/>
          <w:sz w:val="32"/>
          <w:szCs w:val="32"/>
          <w:highlight w:val="none"/>
        </w:rPr>
        <w:t>。</w:t>
      </w:r>
    </w:p>
    <w:p w14:paraId="1B99C25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二、申请人的资格要求</w:t>
      </w:r>
    </w:p>
    <w:p w14:paraId="0208D585">
      <w:pPr>
        <w:keepNext w:val="0"/>
        <w:keepLines w:val="0"/>
        <w:pageBreakBefore w:val="0"/>
        <w:widowControl w:val="0"/>
        <w:tabs>
          <w:tab w:val="left" w:pos="1134"/>
        </w:tabs>
        <w:kinsoku/>
        <w:wordWrap/>
        <w:overflowPunct/>
        <w:topLinePunct w:val="0"/>
        <w:autoSpaceDE/>
        <w:autoSpaceDN/>
        <w:bidi w:val="0"/>
        <w:adjustRightInd/>
        <w:snapToGrid w:val="0"/>
        <w:spacing w:line="560" w:lineRule="exact"/>
        <w:ind w:firstLine="643" w:firstLineChars="200"/>
        <w:textAlignment w:val="auto"/>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（一）一般资格条件</w:t>
      </w:r>
      <w:bookmarkStart w:id="0" w:name="_GoBack"/>
      <w:bookmarkEnd w:id="0"/>
    </w:p>
    <w:p w14:paraId="418C68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rPr>
        <w:t>1.报价人须是在中华人民共和国境内注册并取得营业执照的独立法人</w:t>
      </w:r>
      <w:r>
        <w:rPr>
          <w:rFonts w:hint="eastAsia" w:ascii="仿宋_GB2312" w:hAnsi="仿宋_GB2312" w:eastAsia="仿宋_GB2312" w:cs="仿宋_GB2312"/>
          <w:b w:val="0"/>
          <w:bCs w:val="0"/>
          <w:color w:val="auto"/>
          <w:sz w:val="32"/>
          <w:szCs w:val="32"/>
          <w:highlight w:val="none"/>
          <w:lang w:eastAsia="zh-CN"/>
        </w:rPr>
        <w:t>。</w:t>
      </w:r>
    </w:p>
    <w:p w14:paraId="783235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rPr>
        <w:t>2.具有履行合同所必需的人员、设备和专业技术能力</w:t>
      </w:r>
      <w:r>
        <w:rPr>
          <w:rFonts w:hint="eastAsia" w:ascii="仿宋_GB2312" w:hAnsi="仿宋_GB2312" w:eastAsia="仿宋_GB2312" w:cs="仿宋_GB2312"/>
          <w:b w:val="0"/>
          <w:bCs w:val="0"/>
          <w:color w:val="auto"/>
          <w:sz w:val="32"/>
          <w:szCs w:val="32"/>
          <w:highlight w:val="none"/>
          <w:lang w:eastAsia="zh-CN"/>
        </w:rPr>
        <w:t>。</w:t>
      </w:r>
    </w:p>
    <w:p w14:paraId="2A28F8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rPr>
        <w:t>参加政府采购活动前三年内，未因违法经营受到刑事处罚或者责令停产停业、吊销许可证或者执照、较大数额罚款等行政处罚。</w:t>
      </w:r>
      <w:r>
        <w:rPr>
          <w:rFonts w:hint="eastAsia" w:ascii="仿宋_GB2312" w:hAnsi="仿宋_GB2312" w:eastAsia="仿宋_GB2312" w:cs="仿宋_GB2312"/>
          <w:b w:val="0"/>
          <w:bCs w:val="0"/>
          <w:color w:val="auto"/>
          <w:sz w:val="32"/>
          <w:szCs w:val="32"/>
          <w:highlight w:val="none"/>
        </w:rPr>
        <w:tab/>
      </w:r>
    </w:p>
    <w:p w14:paraId="5401E0CD">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4.</w:t>
      </w:r>
      <w:r>
        <w:rPr>
          <w:rFonts w:hint="eastAsia" w:ascii="仿宋_GB2312" w:hAnsi="仿宋_GB2312" w:eastAsia="仿宋_GB2312" w:cs="仿宋_GB2312"/>
          <w:b w:val="0"/>
          <w:bCs w:val="0"/>
          <w:color w:val="auto"/>
          <w:sz w:val="32"/>
          <w:szCs w:val="32"/>
          <w:highlight w:val="none"/>
        </w:rPr>
        <w:t>凡是被纳入“信用中国”网站信用记录失信被执行人、</w:t>
      </w:r>
    </w:p>
    <w:p w14:paraId="717EB2C0">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xml:space="preserve">重大税收违法案件当事人名单的投标人不允许参加本项目的采购活动。（请提供网上截图资料并加盖单位公章）。 </w:t>
      </w:r>
    </w:p>
    <w:p w14:paraId="3B035CA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5.</w:t>
      </w:r>
      <w:r>
        <w:rPr>
          <w:rFonts w:hint="eastAsia" w:ascii="仿宋_GB2312" w:hAnsi="仿宋_GB2312" w:eastAsia="仿宋_GB2312" w:cs="仿宋_GB2312"/>
          <w:b w:val="0"/>
          <w:bCs w:val="0"/>
          <w:color w:val="auto"/>
          <w:sz w:val="32"/>
          <w:szCs w:val="32"/>
          <w:highlight w:val="none"/>
        </w:rPr>
        <w:t xml:space="preserve">落实政府采购政策需满足的资格要求。           </w:t>
      </w:r>
    </w:p>
    <w:p w14:paraId="2B884A18">
      <w:pPr>
        <w:keepNext w:val="0"/>
        <w:keepLines w:val="0"/>
        <w:pageBreakBefore w:val="0"/>
        <w:widowControl w:val="0"/>
        <w:tabs>
          <w:tab w:val="left" w:pos="1134"/>
        </w:tabs>
        <w:kinsoku/>
        <w:wordWrap/>
        <w:overflowPunct/>
        <w:topLinePunct w:val="0"/>
        <w:autoSpaceDE/>
        <w:autoSpaceDN/>
        <w:bidi w:val="0"/>
        <w:adjustRightInd/>
        <w:snapToGrid w:val="0"/>
        <w:spacing w:line="600"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b/>
          <w:bCs/>
          <w:color w:val="auto"/>
          <w:sz w:val="32"/>
          <w:szCs w:val="32"/>
          <w:highlight w:val="none"/>
        </w:rPr>
        <w:t>（二）</w:t>
      </w:r>
      <w:r>
        <w:rPr>
          <w:rFonts w:hint="eastAsia" w:ascii="楷体_GB2312" w:hAnsi="楷体_GB2312" w:eastAsia="楷体_GB2312" w:cs="楷体_GB2312"/>
          <w:b/>
          <w:bCs/>
          <w:color w:val="auto"/>
          <w:sz w:val="32"/>
          <w:szCs w:val="32"/>
          <w:highlight w:val="none"/>
          <w:lang w:val="en-US" w:eastAsia="zh-CN"/>
        </w:rPr>
        <w:t>特定资格要求</w:t>
      </w:r>
    </w:p>
    <w:p w14:paraId="76D1D74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1.拟派项目负责人须具备有效的一级注册造价工程师证书（需在本单位注册）；</w:t>
      </w:r>
    </w:p>
    <w:p w14:paraId="3CC53ED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2.至少提供一项近三年内类似业绩； </w:t>
      </w:r>
    </w:p>
    <w:p w14:paraId="17D45F2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val="en-US" w:eastAsia="zh-CN"/>
        </w:rPr>
        <w:t>三</w:t>
      </w:r>
      <w:r>
        <w:rPr>
          <w:rFonts w:hint="eastAsia" w:ascii="黑体" w:hAnsi="黑体" w:eastAsia="黑体" w:cs="黑体"/>
          <w:color w:val="auto"/>
          <w:sz w:val="32"/>
          <w:szCs w:val="32"/>
          <w:highlight w:val="none"/>
          <w:lang w:eastAsia="zh-CN"/>
        </w:rPr>
        <w:t>、</w:t>
      </w:r>
      <w:r>
        <w:rPr>
          <w:rFonts w:hint="eastAsia" w:ascii="黑体" w:hAnsi="黑体" w:eastAsia="黑体" w:cs="黑体"/>
          <w:color w:val="auto"/>
          <w:sz w:val="32"/>
          <w:szCs w:val="32"/>
          <w:highlight w:val="none"/>
          <w:lang w:val="en-US" w:eastAsia="zh-CN"/>
        </w:rPr>
        <w:t>服务</w:t>
      </w:r>
      <w:r>
        <w:rPr>
          <w:rFonts w:hint="eastAsia" w:ascii="黑体" w:hAnsi="黑体" w:eastAsia="黑体" w:cs="黑体"/>
          <w:color w:val="auto"/>
          <w:sz w:val="32"/>
          <w:szCs w:val="32"/>
          <w:highlight w:val="none"/>
          <w:lang w:eastAsia="zh-CN"/>
        </w:rPr>
        <w:t>范围</w:t>
      </w:r>
    </w:p>
    <w:p w14:paraId="6DD624A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1.服务内容：完成项目竣工结算审核服务，并出具项目结算审计报告。</w:t>
      </w:r>
    </w:p>
    <w:p w14:paraId="4F5E6C3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2.审计费用支付：双方签订的合同约定。</w:t>
      </w:r>
    </w:p>
    <w:p w14:paraId="568A8FD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3.为保障服务质量及合法性，出具审计报告后需加盖单位公章和注册造价工程师执业印章。</w:t>
      </w:r>
    </w:p>
    <w:p w14:paraId="7B2B5AB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四、工作内容</w:t>
      </w:r>
    </w:p>
    <w:p w14:paraId="2A095CCF">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color w:val="auto"/>
          <w:sz w:val="32"/>
          <w:highlight w:val="none"/>
          <w:lang w:eastAsia="zh-CN"/>
        </w:rPr>
      </w:pPr>
      <w:r>
        <w:rPr>
          <w:rFonts w:ascii="仿宋" w:hAnsi="仿宋" w:eastAsia="仿宋" w:cs="仿宋"/>
          <w:color w:val="auto"/>
          <w:sz w:val="32"/>
          <w:highlight w:val="none"/>
        </w:rPr>
        <w:t>严格按照工程造价及财务管理</w:t>
      </w:r>
      <w:r>
        <w:rPr>
          <w:rFonts w:hint="eastAsia" w:ascii="仿宋" w:hAnsi="仿宋" w:eastAsia="仿宋" w:cs="仿宋"/>
          <w:color w:val="auto"/>
          <w:sz w:val="32"/>
          <w:highlight w:val="none"/>
          <w:lang w:val="en-US" w:eastAsia="zh-CN"/>
        </w:rPr>
        <w:t>相关</w:t>
      </w:r>
      <w:r>
        <w:rPr>
          <w:rFonts w:ascii="仿宋" w:hAnsi="仿宋" w:eastAsia="仿宋" w:cs="仿宋"/>
          <w:color w:val="auto"/>
          <w:sz w:val="32"/>
          <w:highlight w:val="none"/>
        </w:rPr>
        <w:t>法律、法规及规定，坚持客观、公正、实事求是的原则审核，对</w:t>
      </w:r>
      <w:r>
        <w:rPr>
          <w:rFonts w:hint="eastAsia" w:ascii="仿宋" w:hAnsi="仿宋" w:eastAsia="仿宋" w:cs="仿宋"/>
          <w:color w:val="auto"/>
          <w:sz w:val="32"/>
          <w:highlight w:val="none"/>
          <w:lang w:val="en-US" w:eastAsia="zh-CN"/>
        </w:rPr>
        <w:t>我单位新院项目附属工程</w:t>
      </w:r>
      <w:r>
        <w:rPr>
          <w:rFonts w:ascii="仿宋" w:hAnsi="仿宋" w:eastAsia="仿宋" w:cs="仿宋"/>
          <w:color w:val="auto"/>
          <w:sz w:val="32"/>
          <w:highlight w:val="none"/>
        </w:rPr>
        <w:t>进行竣工</w:t>
      </w:r>
      <w:r>
        <w:rPr>
          <w:rFonts w:hint="eastAsia" w:ascii="仿宋" w:hAnsi="仿宋" w:eastAsia="仿宋" w:cs="仿宋"/>
          <w:color w:val="auto"/>
          <w:sz w:val="32"/>
          <w:highlight w:val="none"/>
          <w:lang w:val="en-US" w:eastAsia="zh-CN"/>
        </w:rPr>
        <w:t>结算审计</w:t>
      </w:r>
      <w:r>
        <w:rPr>
          <w:rFonts w:ascii="仿宋" w:hAnsi="仿宋" w:eastAsia="仿宋" w:cs="仿宋"/>
          <w:color w:val="auto"/>
          <w:sz w:val="32"/>
          <w:highlight w:val="none"/>
        </w:rPr>
        <w:t>，并出具</w:t>
      </w:r>
      <w:r>
        <w:rPr>
          <w:rFonts w:hint="eastAsia" w:ascii="仿宋" w:hAnsi="仿宋" w:eastAsia="仿宋" w:cs="仿宋"/>
          <w:color w:val="auto"/>
          <w:sz w:val="32"/>
          <w:highlight w:val="none"/>
          <w:lang w:val="en-US" w:eastAsia="zh-CN"/>
        </w:rPr>
        <w:t>具有法律效力的</w:t>
      </w:r>
      <w:r>
        <w:rPr>
          <w:rFonts w:ascii="仿宋" w:hAnsi="仿宋" w:eastAsia="仿宋" w:cs="仿宋"/>
          <w:color w:val="auto"/>
          <w:sz w:val="32"/>
          <w:highlight w:val="none"/>
        </w:rPr>
        <w:t>项目竣工</w:t>
      </w:r>
      <w:r>
        <w:rPr>
          <w:rFonts w:hint="eastAsia" w:ascii="仿宋" w:hAnsi="仿宋" w:eastAsia="仿宋" w:cs="仿宋"/>
          <w:color w:val="auto"/>
          <w:sz w:val="32"/>
          <w:highlight w:val="none"/>
          <w:lang w:val="en-US" w:eastAsia="zh-CN"/>
        </w:rPr>
        <w:t>结算审计</w:t>
      </w:r>
      <w:r>
        <w:rPr>
          <w:rFonts w:ascii="仿宋" w:hAnsi="仿宋" w:eastAsia="仿宋" w:cs="仿宋"/>
          <w:color w:val="auto"/>
          <w:sz w:val="32"/>
          <w:highlight w:val="none"/>
        </w:rPr>
        <w:t>报告</w:t>
      </w:r>
      <w:r>
        <w:rPr>
          <w:rFonts w:hint="eastAsia" w:ascii="仿宋" w:hAnsi="仿宋" w:eastAsia="仿宋" w:cs="仿宋"/>
          <w:color w:val="auto"/>
          <w:sz w:val="32"/>
          <w:highlight w:val="none"/>
          <w:lang w:eastAsia="zh-CN"/>
        </w:rPr>
        <w:t>。</w:t>
      </w:r>
    </w:p>
    <w:p w14:paraId="475C02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五、服务要求</w:t>
      </w:r>
    </w:p>
    <w:p w14:paraId="034EA5F4">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color w:val="auto"/>
          <w:sz w:val="32"/>
          <w:highlight w:val="none"/>
          <w:lang w:val="en-US" w:eastAsia="zh-CN"/>
        </w:rPr>
      </w:pPr>
      <w:r>
        <w:rPr>
          <w:rFonts w:hint="eastAsia" w:ascii="仿宋" w:hAnsi="仿宋" w:eastAsia="仿宋" w:cs="仿宋"/>
          <w:snapToGrid w:val="0"/>
          <w:color w:val="auto"/>
          <w:kern w:val="0"/>
          <w:sz w:val="32"/>
          <w:szCs w:val="32"/>
          <w:highlight w:val="none"/>
          <w:lang w:val="en-US" w:eastAsia="zh-CN" w:bidi="ar"/>
        </w:rPr>
        <w:t>1.质量要求：</w:t>
      </w:r>
      <w:r>
        <w:rPr>
          <w:rFonts w:ascii="仿宋" w:hAnsi="仿宋" w:eastAsia="仿宋" w:cs="仿宋"/>
          <w:color w:val="auto"/>
          <w:sz w:val="32"/>
          <w:highlight w:val="none"/>
        </w:rPr>
        <w:t>报告应符合</w:t>
      </w:r>
      <w:r>
        <w:rPr>
          <w:rFonts w:hint="eastAsia" w:ascii="仿宋" w:hAnsi="仿宋" w:eastAsia="仿宋" w:cs="仿宋"/>
          <w:color w:val="auto"/>
          <w:sz w:val="32"/>
          <w:highlight w:val="none"/>
        </w:rPr>
        <w:t>《中华人民共和国民法典》、《中华人民共和国建筑法》</w:t>
      </w:r>
      <w:r>
        <w:rPr>
          <w:rFonts w:hint="eastAsia" w:ascii="仿宋" w:hAnsi="仿宋" w:eastAsia="仿宋" w:cs="仿宋"/>
          <w:color w:val="auto"/>
          <w:sz w:val="32"/>
          <w:highlight w:val="none"/>
          <w:lang w:eastAsia="zh-CN"/>
        </w:rPr>
        <w:t>、</w:t>
      </w:r>
      <w:r>
        <w:rPr>
          <w:rFonts w:hint="eastAsia" w:ascii="仿宋" w:hAnsi="仿宋" w:eastAsia="仿宋" w:cs="仿宋"/>
          <w:color w:val="auto"/>
          <w:sz w:val="32"/>
          <w:highlight w:val="none"/>
        </w:rPr>
        <w:t>财政部、建设部财建字[2004]36</w:t>
      </w:r>
      <w:r>
        <w:rPr>
          <w:rFonts w:hint="eastAsia" w:ascii="仿宋" w:hAnsi="仿宋" w:eastAsia="仿宋" w:cs="仿宋"/>
          <w:color w:val="auto"/>
          <w:sz w:val="32"/>
          <w:highlight w:val="none"/>
          <w:lang w:val="en-US" w:eastAsia="zh-CN"/>
        </w:rPr>
        <w:t>9</w:t>
      </w:r>
      <w:r>
        <w:rPr>
          <w:rFonts w:hint="eastAsia" w:ascii="仿宋" w:hAnsi="仿宋" w:eastAsia="仿宋" w:cs="仿宋"/>
          <w:color w:val="auto"/>
          <w:sz w:val="32"/>
          <w:highlight w:val="none"/>
        </w:rPr>
        <w:t>号《关于印发&lt;建设工程价款结算暂行办法&gt;的通知》</w:t>
      </w:r>
      <w:r>
        <w:rPr>
          <w:rFonts w:hint="eastAsia" w:ascii="仿宋" w:hAnsi="仿宋" w:eastAsia="仿宋" w:cs="仿宋"/>
          <w:color w:val="auto"/>
          <w:sz w:val="32"/>
          <w:highlight w:val="none"/>
          <w:lang w:eastAsia="zh-CN"/>
        </w:rPr>
        <w:t>、</w:t>
      </w:r>
      <w:r>
        <w:rPr>
          <w:rFonts w:hint="eastAsia" w:ascii="仿宋" w:hAnsi="仿宋" w:eastAsia="仿宋" w:cs="仿宋"/>
          <w:color w:val="auto"/>
          <w:sz w:val="32"/>
          <w:highlight w:val="none"/>
        </w:rPr>
        <w:t>建设部令第16号《建筑工程施工发包和承包计价管理办法》</w:t>
      </w:r>
      <w:r>
        <w:rPr>
          <w:rFonts w:hint="eastAsia" w:ascii="仿宋" w:hAnsi="仿宋" w:eastAsia="仿宋" w:cs="仿宋"/>
          <w:color w:val="auto"/>
          <w:sz w:val="32"/>
          <w:highlight w:val="none"/>
          <w:lang w:eastAsia="zh-CN"/>
        </w:rPr>
        <w:t>、</w:t>
      </w:r>
      <w:r>
        <w:rPr>
          <w:rFonts w:hint="eastAsia" w:ascii="仿宋" w:hAnsi="仿宋" w:eastAsia="仿宋" w:cs="仿宋"/>
          <w:color w:val="auto"/>
          <w:sz w:val="32"/>
          <w:highlight w:val="none"/>
        </w:rPr>
        <w:t>新疆维吾尔自治区人民政府令第138号《建设工程造价管理办法》</w:t>
      </w:r>
      <w:r>
        <w:rPr>
          <w:rFonts w:hint="eastAsia" w:ascii="仿宋" w:hAnsi="仿宋" w:eastAsia="仿宋" w:cs="仿宋"/>
          <w:color w:val="auto"/>
          <w:sz w:val="32"/>
          <w:highlight w:val="none"/>
          <w:lang w:eastAsia="zh-CN"/>
        </w:rPr>
        <w:t>、</w:t>
      </w:r>
      <w:r>
        <w:rPr>
          <w:rFonts w:hint="eastAsia" w:ascii="仿宋" w:hAnsi="仿宋" w:eastAsia="仿宋" w:cs="仿宋"/>
          <w:color w:val="auto"/>
          <w:sz w:val="32"/>
          <w:highlight w:val="none"/>
        </w:rPr>
        <w:t>中国建设工程造价管理协会标准 CECA/GC3-2010《建设项目工程结算编审规程》的相关规定</w:t>
      </w:r>
      <w:r>
        <w:rPr>
          <w:rFonts w:ascii="仿宋" w:hAnsi="仿宋" w:eastAsia="仿宋" w:cs="仿宋"/>
          <w:color w:val="auto"/>
          <w:sz w:val="32"/>
          <w:highlight w:val="none"/>
        </w:rPr>
        <w:t>要求，报告内容真实、准确、完整，不弄虚作假。</w:t>
      </w:r>
      <w:r>
        <w:rPr>
          <w:rFonts w:hint="eastAsia" w:ascii="仿宋" w:hAnsi="仿宋" w:eastAsia="仿宋" w:cs="仿宋"/>
          <w:color w:val="auto"/>
          <w:sz w:val="32"/>
          <w:highlight w:val="none"/>
          <w:lang w:val="en-US" w:eastAsia="zh-CN"/>
        </w:rPr>
        <w:t xml:space="preserve"> </w:t>
      </w:r>
    </w:p>
    <w:p w14:paraId="4DE27CF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napToGrid w:val="0"/>
          <w:color w:val="auto"/>
          <w:kern w:val="0"/>
          <w:sz w:val="32"/>
          <w:szCs w:val="32"/>
          <w:highlight w:val="none"/>
          <w:lang w:val="en-US" w:eastAsia="zh-CN" w:bidi="ar"/>
        </w:rPr>
      </w:pPr>
      <w:r>
        <w:rPr>
          <w:rFonts w:hint="eastAsia" w:ascii="仿宋" w:hAnsi="仿宋" w:eastAsia="仿宋" w:cs="仿宋"/>
          <w:snapToGrid w:val="0"/>
          <w:color w:val="auto"/>
          <w:kern w:val="0"/>
          <w:sz w:val="32"/>
          <w:szCs w:val="32"/>
          <w:highlight w:val="none"/>
          <w:lang w:val="en-US" w:eastAsia="zh-CN" w:bidi="ar"/>
        </w:rPr>
        <w:t>2.服务周期：60</w:t>
      </w:r>
      <w:r>
        <w:rPr>
          <w:rFonts w:hint="eastAsia" w:cs="仿宋"/>
          <w:snapToGrid w:val="0"/>
          <w:color w:val="auto"/>
          <w:kern w:val="0"/>
          <w:sz w:val="32"/>
          <w:szCs w:val="32"/>
          <w:highlight w:val="none"/>
          <w:lang w:val="en-US" w:eastAsia="zh-CN" w:bidi="ar"/>
        </w:rPr>
        <w:t>天</w:t>
      </w:r>
      <w:r>
        <w:rPr>
          <w:rFonts w:hint="eastAsia" w:ascii="仿宋" w:hAnsi="仿宋" w:eastAsia="仿宋" w:cs="仿宋"/>
          <w:snapToGrid w:val="0"/>
          <w:color w:val="auto"/>
          <w:kern w:val="0"/>
          <w:sz w:val="32"/>
          <w:szCs w:val="32"/>
          <w:highlight w:val="none"/>
          <w:lang w:val="en-US" w:eastAsia="zh-CN" w:bidi="ar"/>
        </w:rPr>
        <w:t>。</w:t>
      </w:r>
    </w:p>
    <w:p w14:paraId="4AF897F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z w:val="32"/>
          <w:highlight w:val="none"/>
          <w:lang w:val="en-US" w:eastAsia="zh-CN"/>
        </w:rPr>
      </w:pPr>
      <w:r>
        <w:rPr>
          <w:rFonts w:hint="eastAsia" w:ascii="仿宋" w:hAnsi="仿宋" w:eastAsia="仿宋" w:cs="仿宋"/>
          <w:snapToGrid w:val="0"/>
          <w:color w:val="auto"/>
          <w:kern w:val="0"/>
          <w:sz w:val="32"/>
          <w:szCs w:val="32"/>
          <w:highlight w:val="none"/>
          <w:lang w:val="en-US" w:eastAsia="zh-CN" w:bidi="ar"/>
        </w:rPr>
        <w:t>3.验收标准：按照合同约定，依法依规，合格完成本项目竣工结算审计报告</w:t>
      </w:r>
      <w:r>
        <w:rPr>
          <w:rFonts w:ascii="仿宋" w:hAnsi="仿宋" w:eastAsia="仿宋" w:cs="仿宋"/>
          <w:color w:val="auto"/>
          <w:sz w:val="32"/>
          <w:highlight w:val="none"/>
        </w:rPr>
        <w:t>（包含电子版一份，纸质版</w:t>
      </w:r>
      <w:r>
        <w:rPr>
          <w:rFonts w:hint="eastAsia" w:ascii="仿宋" w:hAnsi="仿宋" w:eastAsia="仿宋" w:cs="仿宋"/>
          <w:color w:val="auto"/>
          <w:sz w:val="32"/>
          <w:highlight w:val="none"/>
          <w:lang w:val="en-US" w:eastAsia="zh-CN"/>
        </w:rPr>
        <w:t>五</w:t>
      </w:r>
      <w:r>
        <w:rPr>
          <w:rFonts w:ascii="仿宋" w:hAnsi="仿宋" w:eastAsia="仿宋" w:cs="仿宋"/>
          <w:color w:val="auto"/>
          <w:sz w:val="32"/>
          <w:highlight w:val="none"/>
        </w:rPr>
        <w:t>份）</w:t>
      </w:r>
      <w:r>
        <w:rPr>
          <w:rFonts w:hint="eastAsia" w:ascii="仿宋" w:hAnsi="仿宋" w:eastAsia="仿宋" w:cs="仿宋"/>
          <w:color w:val="auto"/>
          <w:sz w:val="32"/>
          <w:highlight w:val="none"/>
          <w:lang w:eastAsia="zh-CN"/>
        </w:rPr>
        <w:t>。</w:t>
      </w:r>
    </w:p>
    <w:p w14:paraId="5B42C5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val="en-US" w:eastAsia="zh-CN"/>
        </w:rPr>
        <w:t>六</w:t>
      </w:r>
      <w:r>
        <w:rPr>
          <w:rFonts w:hint="eastAsia" w:ascii="黑体" w:hAnsi="黑体" w:eastAsia="黑体" w:cs="黑体"/>
          <w:color w:val="auto"/>
          <w:sz w:val="32"/>
          <w:szCs w:val="32"/>
          <w:highlight w:val="none"/>
          <w:lang w:eastAsia="zh-CN"/>
        </w:rPr>
        <w:t>、保密要求</w:t>
      </w:r>
    </w:p>
    <w:p w14:paraId="35200FE7">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 w:hAnsi="仿宋" w:eastAsia="仿宋" w:cs="仿宋"/>
          <w:color w:val="auto"/>
          <w:sz w:val="32"/>
          <w:highlight w:val="none"/>
        </w:rPr>
      </w:pPr>
      <w:r>
        <w:rPr>
          <w:rFonts w:ascii="仿宋" w:hAnsi="仿宋" w:eastAsia="仿宋" w:cs="仿宋"/>
          <w:color w:val="auto"/>
          <w:sz w:val="32"/>
          <w:highlight w:val="none"/>
        </w:rPr>
        <w:t>乙方应保守机密，不得擅自与有利害关系的人员私下接触或透露有关情况，不得向与本项目无关的单位和个人透露相关情况，不得遗失采购单位认为必须返还的相关资料，乙方需要的资料均需与院方有交接记录，服务提供完毕后，所有资料均全部返还院方。对于院方提供的电子及纸质资料，乙方有严格保密的义务，不得随意复制、传播，一经发现视为严重违约。</w:t>
      </w:r>
      <w:r>
        <w:rPr>
          <w:rFonts w:hint="eastAsia" w:ascii="仿宋" w:hAnsi="仿宋" w:eastAsia="仿宋" w:cs="仿宋"/>
          <w:color w:val="auto"/>
          <w:sz w:val="32"/>
          <w:highlight w:val="none"/>
          <w:lang w:eastAsia="zh-CN"/>
        </w:rPr>
        <w:t>（</w:t>
      </w:r>
      <w:r>
        <w:rPr>
          <w:rFonts w:hint="eastAsia" w:ascii="仿宋" w:hAnsi="仿宋" w:eastAsia="仿宋" w:cs="仿宋"/>
          <w:color w:val="auto"/>
          <w:sz w:val="32"/>
          <w:highlight w:val="none"/>
          <w:lang w:val="en-US" w:eastAsia="zh-CN"/>
        </w:rPr>
        <w:t>签订合同后需</w:t>
      </w:r>
      <w:r>
        <w:rPr>
          <w:rFonts w:hint="eastAsia" w:ascii="仿宋" w:hAnsi="仿宋" w:eastAsia="仿宋" w:cs="仿宋"/>
          <w:color w:val="auto"/>
          <w:sz w:val="32"/>
          <w:highlight w:val="none"/>
          <w:lang w:eastAsia="zh-CN"/>
        </w:rPr>
        <w:t>提供承诺书）</w:t>
      </w:r>
    </w:p>
    <w:p w14:paraId="0A841E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val="en-US" w:eastAsia="zh-CN"/>
        </w:rPr>
        <w:t>七</w:t>
      </w:r>
      <w:r>
        <w:rPr>
          <w:rFonts w:hint="eastAsia" w:ascii="黑体" w:hAnsi="黑体" w:eastAsia="黑体" w:cs="黑体"/>
          <w:color w:val="auto"/>
          <w:sz w:val="32"/>
          <w:szCs w:val="32"/>
          <w:highlight w:val="none"/>
          <w:lang w:eastAsia="zh-CN"/>
        </w:rPr>
        <w:t>、人员要求</w:t>
      </w:r>
    </w:p>
    <w:p w14:paraId="2E668286">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color w:val="auto"/>
          <w:sz w:val="32"/>
          <w:highlight w:val="none"/>
          <w:lang w:val="en-US" w:eastAsia="zh-CN"/>
        </w:rPr>
      </w:pPr>
      <w:r>
        <w:rPr>
          <w:rFonts w:hint="eastAsia" w:ascii="仿宋" w:hAnsi="仿宋" w:eastAsia="仿宋" w:cs="仿宋"/>
          <w:color w:val="auto"/>
          <w:sz w:val="32"/>
          <w:highlight w:val="none"/>
          <w:lang w:val="en-US" w:eastAsia="zh-CN"/>
        </w:rPr>
        <w:t>1.承包单位人员资质应具备工程竣工结算审核要求，项目成员人数不得低于2人，其中注册造价工程师不低于1人。成交后，根据项目实际情况采购人有权要求乙方增加或调整相关专业人员，费用不予调整。</w:t>
      </w:r>
    </w:p>
    <w:p w14:paraId="27ACCF5B">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color w:val="auto"/>
          <w:sz w:val="32"/>
          <w:highlight w:val="none"/>
          <w:lang w:val="en-US" w:eastAsia="zh-CN"/>
        </w:rPr>
      </w:pPr>
      <w:r>
        <w:rPr>
          <w:rFonts w:hint="eastAsia" w:ascii="仿宋" w:hAnsi="仿宋" w:eastAsia="仿宋" w:cs="仿宋"/>
          <w:color w:val="auto"/>
          <w:sz w:val="32"/>
          <w:highlight w:val="none"/>
          <w:lang w:val="en-US" w:eastAsia="zh-CN"/>
        </w:rPr>
        <w:t>2.所有拟派人员须为本公司员工（提供拟派人员2025年近三月人员在本公司缴纳社保明细和在本公司注册证书等证明文件）。</w:t>
      </w:r>
    </w:p>
    <w:p w14:paraId="5E5DB441">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color w:val="auto"/>
          <w:sz w:val="32"/>
          <w:highlight w:val="none"/>
          <w:lang w:val="en-US" w:eastAsia="zh-CN"/>
        </w:rPr>
      </w:pPr>
      <w:r>
        <w:rPr>
          <w:rFonts w:hint="eastAsia" w:ascii="仿宋" w:hAnsi="仿宋" w:eastAsia="仿宋" w:cs="仿宋"/>
          <w:color w:val="auto"/>
          <w:sz w:val="32"/>
          <w:highlight w:val="none"/>
          <w:lang w:val="en-US" w:eastAsia="zh-CN"/>
        </w:rPr>
        <w:t>3.乙方项目管理机构人员应保证随叫随到（2小时内），提交相应的成果及有关技术资料，并提供相应的后续服务。</w:t>
      </w:r>
    </w:p>
    <w:p w14:paraId="3190AD73">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color w:val="auto"/>
          <w:sz w:val="32"/>
          <w:highlight w:val="none"/>
          <w:lang w:val="en-US" w:eastAsia="zh-CN"/>
        </w:rPr>
      </w:pPr>
      <w:r>
        <w:rPr>
          <w:rFonts w:hint="eastAsia" w:ascii="仿宋" w:hAnsi="仿宋" w:eastAsia="仿宋" w:cs="仿宋"/>
          <w:color w:val="auto"/>
          <w:sz w:val="32"/>
          <w:highlight w:val="none"/>
          <w:lang w:val="en-US" w:eastAsia="zh-CN"/>
        </w:rPr>
        <w:t>4.成交后所有配备人员均不能更换，必须与响应文件中的人员配备相一致，如确实因特殊情况必须更换人员时需经委托人同意，更换具有相应资格和经验的项目负责人。</w:t>
      </w:r>
    </w:p>
    <w:p w14:paraId="2A31FB1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宋体" w:cs="宋体"/>
          <w:b/>
          <w:bCs/>
          <w:color w:val="0000FF"/>
          <w:sz w:val="32"/>
          <w:szCs w:val="32"/>
          <w:highlight w:val="none"/>
          <w:lang w:val="en-US" w:eastAsia="zh-CN"/>
        </w:rPr>
      </w:pPr>
      <w:r>
        <w:rPr>
          <w:rFonts w:hint="eastAsia" w:ascii="宋体" w:hAnsi="宋体" w:eastAsia="宋体" w:cs="宋体"/>
          <w:b/>
          <w:bCs/>
          <w:color w:val="0000FF"/>
          <w:sz w:val="32"/>
          <w:szCs w:val="32"/>
          <w:highlight w:val="none"/>
          <w:lang w:val="en-US" w:eastAsia="zh-CN"/>
        </w:rPr>
        <w:t>八、报名时间及方式</w:t>
      </w:r>
    </w:p>
    <w:p w14:paraId="56D414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FF"/>
          <w:sz w:val="32"/>
          <w:szCs w:val="32"/>
          <w:highlight w:val="none"/>
          <w:lang w:val="en-US" w:eastAsia="zh-CN"/>
        </w:rPr>
      </w:pPr>
      <w:r>
        <w:rPr>
          <w:rFonts w:hint="eastAsia" w:ascii="仿宋_GB2312" w:hAnsi="仿宋_GB2312" w:eastAsia="仿宋_GB2312" w:cs="仿宋_GB2312"/>
          <w:color w:val="0000FF"/>
          <w:sz w:val="32"/>
          <w:szCs w:val="32"/>
          <w:highlight w:val="none"/>
          <w:lang w:val="en-US" w:eastAsia="zh-CN"/>
        </w:rPr>
        <w:t>1.报名时间：2025年5月 14日至 5 月16日</w:t>
      </w:r>
    </w:p>
    <w:p w14:paraId="3EDA7A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FF"/>
          <w:sz w:val="32"/>
          <w:szCs w:val="32"/>
          <w:highlight w:val="none"/>
          <w:lang w:val="en-US" w:eastAsia="zh-CN"/>
        </w:rPr>
      </w:pPr>
      <w:r>
        <w:rPr>
          <w:rFonts w:hint="eastAsia" w:ascii="仿宋_GB2312" w:hAnsi="仿宋_GB2312" w:eastAsia="仿宋_GB2312" w:cs="仿宋_GB2312"/>
          <w:color w:val="0000FF"/>
          <w:sz w:val="32"/>
          <w:szCs w:val="32"/>
          <w:highlight w:val="none"/>
          <w:lang w:val="en-US" w:eastAsia="zh-CN"/>
        </w:rPr>
        <w:t>2.报名方式：线下报名，可采取电话、微信等方式。电话：0995-8828633，微信：AAK1010。</w:t>
      </w:r>
    </w:p>
    <w:p w14:paraId="4476B6B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FF"/>
          <w:sz w:val="32"/>
          <w:szCs w:val="32"/>
          <w:highlight w:val="none"/>
          <w:lang w:val="en-US" w:eastAsia="zh-CN"/>
        </w:rPr>
      </w:pPr>
      <w:r>
        <w:rPr>
          <w:rFonts w:hint="eastAsia" w:ascii="仿宋_GB2312" w:hAnsi="仿宋_GB2312" w:eastAsia="仿宋_GB2312" w:cs="仿宋_GB2312"/>
          <w:color w:val="0000FF"/>
          <w:sz w:val="32"/>
          <w:szCs w:val="32"/>
          <w:highlight w:val="none"/>
          <w:lang w:val="en-US" w:eastAsia="zh-CN"/>
        </w:rPr>
        <w:t>3.报名须知：报名时请将有资质的公司全名、项目联系人及电话和营业执照电子版发至微信。</w:t>
      </w:r>
    </w:p>
    <w:p w14:paraId="5B8AFCD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宋体" w:cs="宋体"/>
          <w:b/>
          <w:bCs/>
          <w:color w:val="0000FF"/>
          <w:sz w:val="32"/>
          <w:szCs w:val="32"/>
          <w:highlight w:val="none"/>
          <w:lang w:val="en-US" w:eastAsia="zh-CN"/>
        </w:rPr>
      </w:pPr>
      <w:r>
        <w:rPr>
          <w:rFonts w:hint="eastAsia" w:ascii="宋体" w:hAnsi="宋体" w:eastAsia="宋体" w:cs="宋体"/>
          <w:b/>
          <w:bCs/>
          <w:color w:val="0000FF"/>
          <w:sz w:val="32"/>
          <w:szCs w:val="32"/>
          <w:highlight w:val="none"/>
          <w:lang w:val="en-US" w:eastAsia="zh-CN"/>
        </w:rPr>
        <w:t>九、评选方式及地点</w:t>
      </w:r>
    </w:p>
    <w:p w14:paraId="1B0D8C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FF"/>
          <w:sz w:val="32"/>
          <w:szCs w:val="32"/>
          <w:highlight w:val="none"/>
          <w:lang w:val="en-US" w:eastAsia="zh-CN"/>
        </w:rPr>
      </w:pPr>
      <w:r>
        <w:rPr>
          <w:rFonts w:hint="eastAsia" w:ascii="仿宋_GB2312" w:hAnsi="仿宋_GB2312" w:eastAsia="仿宋_GB2312" w:cs="仿宋_GB2312"/>
          <w:color w:val="0000FF"/>
          <w:sz w:val="32"/>
          <w:szCs w:val="32"/>
          <w:highlight w:val="none"/>
          <w:lang w:val="en-US" w:eastAsia="zh-CN"/>
        </w:rPr>
        <w:t>1.评选方式：院内比选评审。</w:t>
      </w:r>
    </w:p>
    <w:p w14:paraId="0BA0DDF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FF"/>
          <w:sz w:val="32"/>
          <w:szCs w:val="32"/>
          <w:highlight w:val="none"/>
          <w:lang w:val="en-US" w:eastAsia="zh-CN"/>
        </w:rPr>
      </w:pPr>
      <w:r>
        <w:rPr>
          <w:rFonts w:hint="eastAsia" w:ascii="仿宋_GB2312" w:hAnsi="仿宋_GB2312" w:eastAsia="仿宋_GB2312" w:cs="仿宋_GB2312"/>
          <w:color w:val="0000FF"/>
          <w:sz w:val="32"/>
          <w:szCs w:val="32"/>
          <w:highlight w:val="none"/>
          <w:lang w:val="en-US" w:eastAsia="zh-CN"/>
        </w:rPr>
        <w:t>2.评选地点：托克逊县人民医院新院区行政楼二楼会议室。</w:t>
      </w:r>
    </w:p>
    <w:p w14:paraId="4B92B02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宋体" w:cs="宋体"/>
          <w:b/>
          <w:bCs/>
          <w:color w:val="0000FF"/>
          <w:sz w:val="32"/>
          <w:szCs w:val="32"/>
          <w:highlight w:val="none"/>
          <w:lang w:val="en-US" w:eastAsia="zh-CN"/>
        </w:rPr>
      </w:pPr>
      <w:r>
        <w:rPr>
          <w:rFonts w:hint="eastAsia" w:ascii="宋体" w:hAnsi="宋体" w:eastAsia="宋体" w:cs="宋体"/>
          <w:b/>
          <w:bCs/>
          <w:color w:val="0000FF"/>
          <w:sz w:val="32"/>
          <w:szCs w:val="32"/>
          <w:highlight w:val="none"/>
          <w:lang w:val="en-US" w:eastAsia="zh-CN"/>
        </w:rPr>
        <w:t>十、结果公示</w:t>
      </w:r>
    </w:p>
    <w:p w14:paraId="3D579B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FF"/>
          <w:sz w:val="32"/>
          <w:szCs w:val="32"/>
          <w:highlight w:val="none"/>
          <w:lang w:val="en-US" w:eastAsia="zh-CN"/>
        </w:rPr>
      </w:pPr>
      <w:r>
        <w:rPr>
          <w:rFonts w:hint="eastAsia" w:ascii="仿宋_GB2312" w:hAnsi="仿宋_GB2312" w:eastAsia="仿宋_GB2312" w:cs="仿宋_GB2312"/>
          <w:color w:val="0000FF"/>
          <w:sz w:val="32"/>
          <w:szCs w:val="32"/>
          <w:highlight w:val="none"/>
          <w:lang w:val="en-US" w:eastAsia="zh-CN"/>
        </w:rPr>
        <w:t xml:space="preserve">    1.现场公布中选结果。</w:t>
      </w:r>
    </w:p>
    <w:p w14:paraId="52F4DC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FF"/>
          <w:sz w:val="32"/>
          <w:szCs w:val="32"/>
          <w:highlight w:val="none"/>
          <w:lang w:val="en-US" w:eastAsia="zh-CN"/>
        </w:rPr>
      </w:pPr>
      <w:r>
        <w:rPr>
          <w:rFonts w:hint="eastAsia" w:ascii="仿宋_GB2312" w:hAnsi="仿宋_GB2312" w:eastAsia="仿宋_GB2312" w:cs="仿宋_GB2312"/>
          <w:color w:val="0000FF"/>
          <w:sz w:val="32"/>
          <w:szCs w:val="32"/>
          <w:highlight w:val="none"/>
          <w:lang w:val="en-US" w:eastAsia="zh-CN"/>
        </w:rPr>
        <w:t xml:space="preserve">    2.新疆政府采购网采购公示中查询。</w:t>
      </w:r>
    </w:p>
    <w:p w14:paraId="3AEBA3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FF"/>
          <w:sz w:val="32"/>
          <w:szCs w:val="32"/>
          <w:highlight w:val="none"/>
          <w:lang w:val="en-US" w:eastAsia="zh-CN"/>
        </w:rPr>
      </w:pPr>
      <w:r>
        <w:rPr>
          <w:rFonts w:hint="eastAsia" w:ascii="仿宋_GB2312" w:hAnsi="仿宋_GB2312" w:eastAsia="仿宋_GB2312" w:cs="仿宋_GB2312"/>
          <w:color w:val="0000FF"/>
          <w:sz w:val="32"/>
          <w:szCs w:val="32"/>
          <w:highlight w:val="none"/>
          <w:lang w:val="en-US" w:eastAsia="zh-CN"/>
        </w:rPr>
        <w:t xml:space="preserve">    3.医院内网及公示墙公示。</w:t>
      </w:r>
    </w:p>
    <w:p w14:paraId="5ECC7762">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eastAsia" w:ascii="仿宋_GB2312" w:hAnsi="仿宋_GB2312" w:eastAsia="仿宋_GB2312" w:cs="仿宋_GB2312"/>
          <w:color w:val="0000FF"/>
          <w:sz w:val="32"/>
          <w:szCs w:val="32"/>
          <w:highlight w:val="none"/>
          <w:lang w:val="en-US" w:eastAsia="zh-CN"/>
        </w:rPr>
      </w:pPr>
      <w:r>
        <w:rPr>
          <w:rFonts w:hint="eastAsia" w:ascii="仿宋_GB2312" w:hAnsi="仿宋_GB2312" w:eastAsia="仿宋_GB2312" w:cs="仿宋_GB2312"/>
          <w:color w:val="0000FF"/>
          <w:sz w:val="32"/>
          <w:szCs w:val="32"/>
          <w:highlight w:val="none"/>
          <w:lang w:val="en-US" w:eastAsia="zh-CN"/>
        </w:rPr>
        <w:t>托克逊县人民医院</w:t>
      </w:r>
    </w:p>
    <w:p w14:paraId="3B5443E2">
      <w:pPr>
        <w:keepNext w:val="0"/>
        <w:keepLines w:val="0"/>
        <w:pageBreakBefore w:val="0"/>
        <w:widowControl w:val="0"/>
        <w:kinsoku/>
        <w:wordWrap/>
        <w:overflowPunct/>
        <w:topLinePunct w:val="0"/>
        <w:autoSpaceDE/>
        <w:autoSpaceDN/>
        <w:bidi w:val="0"/>
        <w:adjustRightInd/>
        <w:snapToGrid/>
        <w:spacing w:line="560" w:lineRule="exact"/>
        <w:ind w:firstLine="5600" w:firstLineChars="2000"/>
        <w:textAlignment w:val="auto"/>
        <w:rPr>
          <w:rFonts w:hint="default" w:ascii="仿宋_GB2312" w:hAnsi="仿宋_GB2312" w:eastAsia="仿宋_GB2312" w:cs="仿宋_GB2312"/>
          <w:color w:val="0000FF"/>
          <w:sz w:val="32"/>
          <w:szCs w:val="32"/>
          <w:highlight w:val="none"/>
          <w:lang w:val="en-US" w:eastAsia="zh-CN"/>
        </w:rPr>
      </w:pPr>
      <w:r>
        <w:rPr>
          <w:rFonts w:hint="eastAsia" w:ascii="仿宋_GB2312" w:hAnsi="仿宋_GB2312" w:eastAsia="仿宋_GB2312" w:cs="仿宋_GB2312"/>
          <w:color w:val="0000FF"/>
          <w:sz w:val="28"/>
          <w:szCs w:val="28"/>
          <w:highlight w:val="none"/>
          <w:lang w:val="en-US" w:eastAsia="zh-CN"/>
        </w:rPr>
        <w:t>2025年5月13日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创艺简仿宋">
    <w:altName w:val="黑体"/>
    <w:panose1 w:val="00000000000000000000"/>
    <w:charset w:val="86"/>
    <w:family w:val="auto"/>
    <w:pitch w:val="default"/>
    <w:sig w:usb0="00000000" w:usb1="00000000" w:usb2="00000010" w:usb3="00000000" w:csb0="00040000" w:csb1="00000000"/>
  </w:font>
  <w:font w:name="Noto Sans Mono CJK SC">
    <w:altName w:val="Segoe Print"/>
    <w:panose1 w:val="00000000000000000000"/>
    <w:charset w:val="01"/>
    <w:family w:val="roma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0NWExM2IyNmJkODIzNTZlYzE1YTNlZDBmYjFjMjAifQ=="/>
  </w:docVars>
  <w:rsids>
    <w:rsidRoot w:val="00000000"/>
    <w:rsid w:val="04751C28"/>
    <w:rsid w:val="04770DF5"/>
    <w:rsid w:val="0F782CBE"/>
    <w:rsid w:val="188C33DD"/>
    <w:rsid w:val="196315DB"/>
    <w:rsid w:val="1A2878E8"/>
    <w:rsid w:val="1DD70E18"/>
    <w:rsid w:val="20DB5030"/>
    <w:rsid w:val="218146FC"/>
    <w:rsid w:val="22F474A5"/>
    <w:rsid w:val="238575C8"/>
    <w:rsid w:val="23C10881"/>
    <w:rsid w:val="25D66AED"/>
    <w:rsid w:val="30F10614"/>
    <w:rsid w:val="314A59AA"/>
    <w:rsid w:val="359B700F"/>
    <w:rsid w:val="390E5CB1"/>
    <w:rsid w:val="3CE5069E"/>
    <w:rsid w:val="3ED12683"/>
    <w:rsid w:val="414B2CC4"/>
    <w:rsid w:val="4CD9638C"/>
    <w:rsid w:val="5C4C6B7A"/>
    <w:rsid w:val="5F4977AF"/>
    <w:rsid w:val="61E055B5"/>
    <w:rsid w:val="721D27C5"/>
    <w:rsid w:val="7D53655F"/>
    <w:rsid w:val="7EDE08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semiHidden/>
    <w:qFormat/>
    <w:uiPriority w:val="0"/>
    <w:pPr>
      <w:autoSpaceDE w:val="0"/>
      <w:autoSpaceDN w:val="0"/>
      <w:adjustRightInd w:val="0"/>
      <w:spacing w:before="40" w:after="40" w:line="320" w:lineRule="atLeast"/>
      <w:ind w:firstLine="357"/>
      <w:textAlignment w:val="baseline"/>
    </w:pPr>
    <w:rPr>
      <w:sz w:val="18"/>
    </w:rPr>
  </w:style>
  <w:style w:type="paragraph" w:styleId="4">
    <w:name w:val="Body Text Indent"/>
    <w:basedOn w:val="1"/>
    <w:next w:val="1"/>
    <w:autoRedefine/>
    <w:qFormat/>
    <w:uiPriority w:val="0"/>
    <w:pPr>
      <w:spacing w:line="520" w:lineRule="exact"/>
      <w:ind w:left="570"/>
    </w:pPr>
    <w:rPr>
      <w:rFonts w:ascii="方正仿宋简体" w:hAnsi="创艺简仿宋" w:eastAsia="方正仿宋简体" w:cs="Times New Roman"/>
      <w:sz w:val="24"/>
      <w:szCs w:val="20"/>
    </w:rPr>
  </w:style>
  <w:style w:type="paragraph" w:customStyle="1" w:styleId="7">
    <w:name w:val="Preformatted Text"/>
    <w:basedOn w:val="1"/>
    <w:qFormat/>
    <w:uiPriority w:val="0"/>
    <w:pPr>
      <w:spacing w:before="0" w:after="0"/>
    </w:pPr>
    <w:rPr>
      <w:rFonts w:ascii="Noto Sans Mono CJK SC" w:hAnsi="Noto Sans Mono CJK SC" w:eastAsia="Noto Sans Mono CJK SC" w:cs="Noto Sans Mono CJK SC"/>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1719</Words>
  <Characters>1823</Characters>
  <Lines>0</Lines>
  <Paragraphs>0</Paragraphs>
  <TotalTime>67</TotalTime>
  <ScaleCrop>false</ScaleCrop>
  <LinksUpToDate>false</LinksUpToDate>
  <CharactersWithSpaces>1854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2025-01-24T12:06:00Z</dcterms:created>
  <dc:creator>Administrator</dc:creator>
  <cp:lastModifiedBy>石头</cp:lastModifiedBy>
  <cp:lastPrinted>2025-01-27T10:48:00Z</cp:lastPrinted>
  <dcterms:modified xsi:type="dcterms:W3CDTF">2025-05-13T13:22:50Z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eyJoZGlkIjoiNTIyYWIxNjYxMzdiOTNjMjNhNjE4ZjYxYjRiZTNkMWYiLCJ1c2VySWQiOiIxMDg3MTQxNDQwIn0=</vt:lpwstr>
  </property>
  <property fmtid="{D5CDD505-2E9C-101B-9397-08002B2CF9AE}" pid="4" name="ICV">
    <vt:lpwstr>6AC002D0EAF44043A531F138ED28A657_13</vt:lpwstr>
  </property>
</Properties>
</file>