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3F21A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44"/>
          <w:szCs w:val="44"/>
          <w:lang w:val="en-US" w:eastAsia="zh-CN" w:bidi="ar"/>
        </w:rPr>
        <w:t>信息化设备维护服务</w:t>
      </w:r>
      <w:bookmarkStart w:id="4" w:name="_GoBack"/>
      <w:bookmarkEnd w:id="4"/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44"/>
          <w:szCs w:val="44"/>
          <w:lang w:val="en-US" w:eastAsia="zh-CN" w:bidi="ar"/>
        </w:rPr>
        <w:t>采购需求</w:t>
      </w:r>
    </w:p>
    <w:p w14:paraId="214D09B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44"/>
          <w:szCs w:val="44"/>
          <w:lang w:val="en-US" w:eastAsia="zh-CN" w:bidi="ar"/>
        </w:rPr>
      </w:pPr>
    </w:p>
    <w:p w14:paraId="5A3528F5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项目名称：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 w:bidi="ar"/>
        </w:rPr>
        <w:t>新疆准东经济技术开发区管理委员会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信息化设备维护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服务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eastAsia="zh-CN"/>
        </w:rPr>
        <w:t>项目</w:t>
      </w:r>
    </w:p>
    <w:p w14:paraId="54DD66DE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预算金额：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39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元；</w:t>
      </w:r>
    </w:p>
    <w:p w14:paraId="55E19B29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最高限价：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39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元。</w:t>
      </w:r>
    </w:p>
    <w:p w14:paraId="4641ED60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简要规格描述：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对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 w:bidi="ar"/>
        </w:rPr>
        <w:t>新疆准东经济技术开发区管理委员会中心机房、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指挥大厅设备、前端感知设备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进行维护维保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服务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；保障设备、网络、电路安全，并将维护工作形成相关报告，印证材料等。</w:t>
      </w:r>
    </w:p>
    <w:p w14:paraId="7E4CCF8D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合同履约期限：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合同签订后按约定完成相关项目服务工作。</w:t>
      </w:r>
    </w:p>
    <w:p w14:paraId="689E3FAA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本项目不接受联合体投标。</w:t>
      </w:r>
    </w:p>
    <w:p w14:paraId="129F338C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3" w:firstLineChars="200"/>
        <w:textAlignment w:val="auto"/>
        <w:outlineLvl w:val="1"/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</w:pPr>
      <w:bookmarkStart w:id="0" w:name="_Toc16229"/>
      <w:bookmarkStart w:id="1" w:name="_Toc31290"/>
      <w:bookmarkStart w:id="2" w:name="_Toc5044"/>
      <w:r>
        <w:rPr>
          <w:rStyle w:val="7"/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一、</w:t>
      </w:r>
      <w:r>
        <w:rPr>
          <w:rStyle w:val="7"/>
          <w:rFonts w:hint="eastAsia" w:ascii="黑体" w:hAnsi="黑体" w:eastAsia="黑体" w:cs="黑体"/>
          <w:color w:val="auto"/>
          <w:sz w:val="32"/>
          <w:szCs w:val="32"/>
          <w:highlight w:val="none"/>
        </w:rPr>
        <w:t>申请人的资格要求：</w:t>
      </w:r>
      <w:bookmarkEnd w:id="0"/>
      <w:bookmarkEnd w:id="1"/>
      <w:bookmarkEnd w:id="2"/>
    </w:p>
    <w:p w14:paraId="3DB68908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1.满足《中华人民共和国政府采购法》第二十二条规定；</w:t>
      </w:r>
    </w:p>
    <w:p w14:paraId="3FFC409B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2.落实政府采购政策需满足的资格要求：本项目专门面向中小企业采购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；</w:t>
      </w:r>
    </w:p>
    <w:p w14:paraId="3F8026D3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.本项目的特定资格要求：</w:t>
      </w:r>
    </w:p>
    <w:p w14:paraId="64B99195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（1）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服务商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需在中华人民共和国境内注册；</w:t>
      </w:r>
    </w:p>
    <w:p w14:paraId="1AC0E834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服务商需具备维护作业必备的特种车辆（高空作业15米）；</w:t>
      </w:r>
    </w:p>
    <w:p w14:paraId="7FF043AC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（3）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服务商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参与维护工作的人员须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具备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国家认证的行业特种车辆与特殊作业资格证（上岗证）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；</w:t>
      </w:r>
    </w:p>
    <w:p w14:paraId="11BF6D39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（4）服务商须提供现场勘察证明文件（业主盖章或签字）；</w:t>
      </w:r>
    </w:p>
    <w:p w14:paraId="7023D556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textAlignment w:val="auto"/>
        <w:rPr>
          <w:rStyle w:val="7"/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（5）服务商须需提供两名驻场运维人员，不少于8个月的履约保证书（加盖公章及附人员证书）。</w:t>
      </w:r>
    </w:p>
    <w:p w14:paraId="47D9E09A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3" w:firstLineChars="200"/>
        <w:textAlignment w:val="auto"/>
        <w:outlineLvl w:val="1"/>
        <w:rPr>
          <w:rStyle w:val="7"/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bookmarkStart w:id="3" w:name="OLE_LINK1"/>
      <w:r>
        <w:rPr>
          <w:rStyle w:val="7"/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二、运维需求概述</w:t>
      </w:r>
    </w:p>
    <w:bookmarkEnd w:id="3"/>
    <w:p w14:paraId="0DA3418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</w:rPr>
        <w:t>卡点设施维护：确保各检查站点的道闸系统、车辆抓拍装置等终端基础设备正常运行。</w:t>
      </w:r>
    </w:p>
    <w:p w14:paraId="65BB98E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</w:rPr>
        <w:t>高空监控维护：维护全区域鹰眼全景摄像头、高点球型摄像机及人脸识别系统的线路畅通与网络稳定性。</w:t>
      </w:r>
    </w:p>
    <w:p w14:paraId="4621D9A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（三）</w:t>
      </w:r>
      <w:r>
        <w:rPr>
          <w:rFonts w:hint="eastAsia" w:ascii="仿宋_GB2312" w:hAnsi="仿宋_GB2312" w:eastAsia="仿宋_GB2312" w:cs="仿宋_GB2312"/>
          <w:sz w:val="32"/>
          <w:szCs w:val="32"/>
        </w:rPr>
        <w:t>办公场所设施保养：涵盖公共区域监控、存储设备、网络交换及路由设备的常规检查与维护。</w:t>
      </w:r>
    </w:p>
    <w:p w14:paraId="3EDD214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（四）</w:t>
      </w:r>
      <w:r>
        <w:rPr>
          <w:rFonts w:hint="eastAsia" w:ascii="仿宋_GB2312" w:hAnsi="仿宋_GB2312" w:eastAsia="仿宋_GB2312" w:cs="仿宋_GB2312"/>
          <w:sz w:val="32"/>
          <w:szCs w:val="32"/>
        </w:rPr>
        <w:t>指挥中心设备维护：保障指挥大厅内LED大屏幕、液晶拼接显示系统、视频及音频矩阵设备等核心系统的可靠运行。</w:t>
      </w:r>
    </w:p>
    <w:p w14:paraId="5E5A772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（五）</w:t>
      </w:r>
      <w:r>
        <w:rPr>
          <w:rFonts w:hint="eastAsia" w:ascii="仿宋_GB2312" w:hAnsi="仿宋_GB2312" w:eastAsia="仿宋_GB2312" w:cs="仿宋_GB2312"/>
          <w:sz w:val="32"/>
          <w:szCs w:val="32"/>
        </w:rPr>
        <w:t>机房运维服务：政务网与互联网机房进行全面的安全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巡检</w:t>
      </w:r>
      <w:r>
        <w:rPr>
          <w:rFonts w:hint="eastAsia" w:ascii="仿宋_GB2312" w:hAnsi="仿宋_GB2312" w:eastAsia="仿宋_GB2312" w:cs="仿宋_GB2312"/>
          <w:sz w:val="32"/>
          <w:szCs w:val="32"/>
        </w:rPr>
        <w:t>、数据备份、系统升级，并提供紧急故障响应服务，确保机房符合国家安全等级保护标准。</w:t>
      </w:r>
    </w:p>
    <w:p w14:paraId="227C3541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3" w:firstLineChars="200"/>
        <w:textAlignment w:val="auto"/>
        <w:outlineLvl w:val="1"/>
        <w:rPr>
          <w:rStyle w:val="7"/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Style w:val="7"/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三、项目要求</w:t>
      </w:r>
    </w:p>
    <w:p w14:paraId="14313F2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为了确保监控系统的稳定运行和高效管理，以下是监控设备维保职责。该职责涵盖从日常巡检到应急响应的各个环节，保障前端监控设备的可靠性和安全性。</w:t>
      </w:r>
    </w:p>
    <w:p w14:paraId="1474DDA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（一）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日常巡检与故障排除</w:t>
      </w:r>
    </w:p>
    <w:p w14:paraId="610E45F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定期对所有设备进行巡检，确保平台及设备正常运转，平台在线率达到95%以上。巡检内容包括摄像头、硬盘录像机、网络交换机等硬件设备的工作状态，以及电源线和网络线的完好性。巡检频率根据设备的重要性和使用频率确定，每天或每周进行一次。同时，故障排除要求快速响应，接到报修后2小时内到达现场，及时排查问题并修复硬件或软件故障，确保系统快速恢复正常。每次巡检和故障处理都需详细记录，形成报告。</w:t>
      </w:r>
    </w:p>
    <w:p w14:paraId="3991D36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（二）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预防性维护与设备升级</w:t>
      </w:r>
    </w:p>
    <w:p w14:paraId="3BC1AAC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通过每月一次的预防性维护，减少设备故障的发生，延长设备使用寿命。维护内容包括清洁摄像头镜头、紧固螺丝和接头、更新软件版本、备份录像数据等。此外，根据设备老化或性能下降的情况，及时制定升级或更换计划，确保系统性能与时俱进。升级或更换过程中需协调相关部门，确保新设备的调试和测试顺利进行，并更新设备清单和技术文档。</w:t>
      </w:r>
    </w:p>
    <w:p w14:paraId="61770D7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（三）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档案管理与培训指导</w:t>
      </w:r>
    </w:p>
    <w:p w14:paraId="0E26439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创建并维护完整的设备档案和技术文档，确保信息可追溯。档案管理包括记录每次巡检、维修和保养的详细日志，保存设备的说明书、安装图纸、配置文件等资料，并定期更新设备清单。同时，对操作人员进行定期培训，提升其技能水平，确保设备操作规范。培训内容包括设备操作规范、注意事项的讲解，编写操作手册，并定期检查操作人员的工作情况，给予必要的指导和支持。</w:t>
      </w:r>
    </w:p>
    <w:p w14:paraId="3CCB5E6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（四）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应急响应与预案演练</w:t>
      </w:r>
    </w:p>
    <w:p w14:paraId="5B2A025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制定详细的应急预案，明确各岗位的职责和流程，确保在紧急情况下能够迅速采取行动，保障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各设备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系统的安全与稳定。应急响应要求在突发事件中立即启动应急机制，确保监控系统不中断，并及时向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业主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汇报情况，协调资源解决问题。此外，定期组织应急预案的演练，提高团队的应急响应能力，确保在实际突发事件中能够高效应对。</w:t>
      </w:r>
    </w:p>
    <w:p w14:paraId="33868BEB">
      <w:pPr>
        <w:keepNext w:val="0"/>
        <w:keepLines w:val="0"/>
        <w:widowControl/>
        <w:numPr>
          <w:ilvl w:val="0"/>
          <w:numId w:val="0"/>
        </w:numPr>
        <w:suppressLineNumbers w:val="0"/>
        <w:spacing w:before="60" w:beforeAutospacing="0" w:after="0" w:afterAutospacing="1"/>
        <w:ind w:left="1080" w:leftChars="0"/>
      </w:pPr>
    </w:p>
    <w:p w14:paraId="5BC06E2A"/>
    <w:sectPr>
      <w:pgSz w:w="11906" w:h="16838"/>
      <w:pgMar w:top="2098" w:right="1531" w:bottom="209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9777E4"/>
    <w:rsid w:val="123934E5"/>
    <w:rsid w:val="226206AF"/>
    <w:rsid w:val="3DFC050D"/>
    <w:rsid w:val="4E9A63E4"/>
    <w:rsid w:val="51977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tabs>
        <w:tab w:val="left" w:pos="540"/>
      </w:tabs>
      <w:adjustRightInd w:val="0"/>
      <w:snapToGrid w:val="0"/>
      <w:spacing w:line="360" w:lineRule="auto"/>
      <w:outlineLvl w:val="1"/>
    </w:pPr>
    <w:rPr>
      <w:rFonts w:ascii="Arial" w:hAnsi="Arial" w:cs="Times New Roman"/>
      <w:b/>
      <w:kern w:val="0"/>
      <w:sz w:val="28"/>
      <w:szCs w:val="20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widowControl/>
      <w:jc w:val="left"/>
    </w:pPr>
    <w:rPr>
      <w:rFonts w:ascii="宋体" w:hAnsi="宋体"/>
      <w:kern w:val="0"/>
      <w:sz w:val="24"/>
      <w:szCs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1463</Words>
  <Characters>1473</Characters>
  <Lines>0</Lines>
  <Paragraphs>0</Paragraphs>
  <TotalTime>4</TotalTime>
  <ScaleCrop>false</ScaleCrop>
  <LinksUpToDate>false</LinksUpToDate>
  <CharactersWithSpaces>1473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2025-02-27T05:19:00Z</dcterms:created>
  <dc:creator>Kissss.ZPY</dc:creator>
  <cp:lastModifiedBy>Kissss.ZPY</cp:lastModifiedBy>
  <dcterms:modified xsi:type="dcterms:W3CDTF">2025-02-27T10:25:36Z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2888C7012A8D45AF8120856D985B51E7_11</vt:lpwstr>
  </property>
  <property fmtid="{D5CDD505-2E9C-101B-9397-08002B2CF9AE}" pid="4" name="KSOTemplateDocerSaveRecord">
    <vt:lpwstr>eyJoZGlkIjoiYTUzMzg5NWUwY2I1MjZlZGEyNzgxNTExNzhiY2NiMTIiLCJ1c2VySWQiOiI0ODgwNjM0NzYifQ==</vt:lpwstr>
  </property>
</Properties>
</file>