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2376">
      <w:pPr>
        <w:tabs>
          <w:tab w:val="left" w:pos="993"/>
          <w:tab w:val="left" w:pos="1134"/>
          <w:tab w:val="left" w:pos="1418"/>
        </w:tabs>
        <w:spacing w:line="600" w:lineRule="exact"/>
        <w:jc w:val="center"/>
        <w:rPr>
          <w:rFonts w:hint="eastAsia" w:ascii="仿宋_GB2312" w:hAnsi="仿宋_GB2312" w:eastAsia="仿宋_GB2312"/>
          <w:sz w:val="32"/>
        </w:rPr>
      </w:pPr>
      <w:r>
        <w:rPr>
          <w:rFonts w:hint="eastAsia" w:ascii="方正小标宋_GBK" w:hAnsi="方正小标宋_GBK" w:eastAsia="方正小标宋_GBK"/>
          <w:sz w:val="44"/>
        </w:rPr>
        <w:t>（喀什市</w:t>
      </w:r>
      <w:r>
        <w:rPr>
          <w:rFonts w:hint="eastAsia" w:ascii="方正小标宋_GBK" w:hAnsi="方正小标宋_GBK" w:eastAsia="方正小标宋_GBK"/>
          <w:sz w:val="44"/>
          <w:lang w:eastAsia="zh-CN"/>
        </w:rPr>
        <w:t>重点项目建设中心</w:t>
      </w:r>
      <w:r>
        <w:rPr>
          <w:rFonts w:hint="eastAsia" w:ascii="方正小标宋_GBK" w:hAnsi="方正小标宋_GBK" w:eastAsia="方正小标宋_GBK"/>
          <w:sz w:val="44"/>
        </w:rPr>
        <w:t>） 2025年2至6月政府采购意向</w:t>
      </w:r>
    </w:p>
    <w:p w14:paraId="5EBA1C33">
      <w:pPr>
        <w:tabs>
          <w:tab w:val="left" w:pos="993"/>
          <w:tab w:val="left" w:pos="1134"/>
          <w:tab w:val="left" w:pos="1418"/>
        </w:tabs>
        <w:spacing w:line="600" w:lineRule="exact"/>
        <w:ind w:firstLine="640" w:firstLineChars="200"/>
        <w:jc w:val="both"/>
        <w:rPr>
          <w:rFonts w:hint="eastAsia" w:ascii="仿宋_GB2312" w:hAnsi="仿宋_GB2312" w:eastAsia="仿宋_GB2312"/>
          <w:sz w:val="32"/>
        </w:rPr>
      </w:pPr>
      <w:r>
        <w:rPr>
          <w:rFonts w:hint="eastAsia" w:ascii="仿宋_GB2312" w:hAnsi="仿宋_GB2312" w:eastAsia="仿宋_GB2312"/>
          <w:sz w:val="32"/>
        </w:rPr>
        <w:t>为便于供应商及时了解政府采购信息，根据《财政部关于开展政府采购意向公开工作的通知》（财库〔2020〕10号）等有关规定，现将</w:t>
      </w:r>
      <w:r>
        <w:rPr>
          <w:rFonts w:hint="eastAsia" w:ascii="仿宋_GB2312" w:hAnsi="仿宋_GB2312" w:eastAsia="仿宋_GB2312"/>
          <w:sz w:val="32"/>
          <w:u w:val="single"/>
        </w:rPr>
        <w:t>（喀什</w:t>
      </w:r>
      <w:r>
        <w:rPr>
          <w:rFonts w:hint="eastAsia" w:ascii="仿宋_GB2312" w:hAnsi="仿宋_GB2312" w:eastAsia="仿宋_GB2312"/>
          <w:sz w:val="32"/>
          <w:u w:val="single"/>
          <w:lang w:eastAsia="zh-CN"/>
        </w:rPr>
        <w:t>市重点项目建设中心</w:t>
      </w:r>
      <w:r>
        <w:rPr>
          <w:rFonts w:hint="eastAsia" w:ascii="仿宋_GB2312" w:hAnsi="仿宋_GB2312" w:eastAsia="仿宋_GB2312"/>
          <w:sz w:val="32"/>
          <w:u w:val="single"/>
        </w:rPr>
        <w:t xml:space="preserve">2025年2至 6 </w:t>
      </w:r>
      <w:r>
        <w:rPr>
          <w:rFonts w:hint="eastAsia" w:ascii="仿宋_GB2312" w:hAnsi="仿宋_GB2312" w:eastAsia="仿宋_GB2312"/>
          <w:sz w:val="32"/>
        </w:rPr>
        <w:t>月采购意向公开如下：</w:t>
      </w:r>
    </w:p>
    <w:tbl>
      <w:tblPr>
        <w:tblStyle w:val="3"/>
        <w:tblW w:w="10275" w:type="dxa"/>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19"/>
        <w:gridCol w:w="6271"/>
        <w:gridCol w:w="915"/>
        <w:gridCol w:w="1395"/>
        <w:gridCol w:w="540"/>
      </w:tblGrid>
      <w:tr w14:paraId="7D40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35" w:type="dxa"/>
            <w:tcBorders>
              <w:top w:val="single" w:color="auto" w:sz="4" w:space="0"/>
              <w:left w:val="single" w:color="auto" w:sz="4" w:space="0"/>
              <w:bottom w:val="single" w:color="auto" w:sz="4" w:space="0"/>
              <w:right w:val="single" w:color="auto" w:sz="4" w:space="0"/>
              <w:tl2br w:val="nil"/>
              <w:tr2bl w:val="nil"/>
            </w:tcBorders>
            <w:vAlign w:val="center"/>
          </w:tcPr>
          <w:p w14:paraId="22AD6CDB">
            <w:pPr>
              <w:tabs>
                <w:tab w:val="left" w:pos="993"/>
                <w:tab w:val="left" w:pos="1134"/>
                <w:tab w:val="left" w:pos="1418"/>
              </w:tabs>
              <w:spacing w:line="400" w:lineRule="exact"/>
              <w:jc w:val="center"/>
              <w:rPr>
                <w:rFonts w:hint="eastAsia" w:ascii="仿宋_GB2312" w:hAnsi="仿宋_GB2312" w:eastAsia="仿宋_GB2312"/>
                <w:szCs w:val="21"/>
              </w:rPr>
            </w:pPr>
            <w:bookmarkStart w:id="0" w:name="_GoBack" w:colFirst="2" w:colLast="2"/>
            <w:r>
              <w:rPr>
                <w:rFonts w:hint="eastAsia" w:ascii="仿宋_GB2312" w:hAnsi="仿宋_GB2312" w:eastAsia="仿宋_GB2312"/>
                <w:szCs w:val="21"/>
              </w:rPr>
              <w:t>序号</w:t>
            </w:r>
          </w:p>
        </w:tc>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3C17F1DF">
            <w:pPr>
              <w:tabs>
                <w:tab w:val="left" w:pos="993"/>
                <w:tab w:val="left" w:pos="1134"/>
                <w:tab w:val="left" w:pos="1418"/>
              </w:tabs>
              <w:spacing w:line="400" w:lineRule="exact"/>
              <w:jc w:val="center"/>
              <w:rPr>
                <w:rFonts w:hint="eastAsia" w:ascii="仿宋_GB2312" w:hAnsi="仿宋_GB2312" w:eastAsia="仿宋_GB2312"/>
                <w:szCs w:val="21"/>
              </w:rPr>
            </w:pPr>
            <w:r>
              <w:rPr>
                <w:rFonts w:hint="eastAsia" w:ascii="仿宋_GB2312" w:hAnsi="仿宋_GB2312" w:eastAsia="仿宋_GB2312"/>
                <w:szCs w:val="21"/>
              </w:rPr>
              <w:t>采购项目名称</w:t>
            </w:r>
          </w:p>
        </w:tc>
        <w:tc>
          <w:tcPr>
            <w:tcW w:w="6271" w:type="dxa"/>
            <w:tcBorders>
              <w:top w:val="single" w:color="auto" w:sz="4" w:space="0"/>
              <w:left w:val="single" w:color="auto" w:sz="4" w:space="0"/>
              <w:bottom w:val="single" w:color="auto" w:sz="4" w:space="0"/>
              <w:right w:val="single" w:color="auto" w:sz="4" w:space="0"/>
              <w:tl2br w:val="nil"/>
              <w:tr2bl w:val="nil"/>
            </w:tcBorders>
            <w:vAlign w:val="center"/>
          </w:tcPr>
          <w:p w14:paraId="7D17E9A1">
            <w:pPr>
              <w:tabs>
                <w:tab w:val="left" w:pos="993"/>
                <w:tab w:val="left" w:pos="1134"/>
                <w:tab w:val="left" w:pos="1418"/>
              </w:tabs>
              <w:spacing w:line="400" w:lineRule="exact"/>
              <w:jc w:val="center"/>
              <w:rPr>
                <w:rFonts w:hint="eastAsia" w:ascii="仿宋_GB2312" w:hAnsi="仿宋_GB2312" w:eastAsia="仿宋_GB2312"/>
                <w:szCs w:val="21"/>
              </w:rPr>
            </w:pPr>
            <w:r>
              <w:rPr>
                <w:rFonts w:hint="eastAsia" w:ascii="仿宋_GB2312" w:hAnsi="仿宋_GB2312" w:eastAsia="仿宋_GB2312"/>
                <w:szCs w:val="21"/>
              </w:rPr>
              <w:t>采购需求概况</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14:paraId="6338F9FA">
            <w:pPr>
              <w:tabs>
                <w:tab w:val="left" w:pos="993"/>
                <w:tab w:val="left" w:pos="1134"/>
                <w:tab w:val="left" w:pos="1418"/>
              </w:tabs>
              <w:spacing w:line="400" w:lineRule="exact"/>
              <w:jc w:val="center"/>
              <w:rPr>
                <w:rFonts w:hint="eastAsia" w:ascii="仿宋_GB2312" w:hAnsi="仿宋_GB2312" w:eastAsia="仿宋_GB2312"/>
                <w:szCs w:val="21"/>
              </w:rPr>
            </w:pPr>
            <w:r>
              <w:rPr>
                <w:rFonts w:hint="eastAsia" w:ascii="仿宋_GB2312" w:hAnsi="仿宋_GB2312" w:eastAsia="仿宋_GB2312"/>
                <w:szCs w:val="21"/>
              </w:rPr>
              <w:t>预算金额</w:t>
            </w:r>
          </w:p>
          <w:p w14:paraId="6C962CA0">
            <w:pPr>
              <w:tabs>
                <w:tab w:val="left" w:pos="993"/>
                <w:tab w:val="left" w:pos="1134"/>
                <w:tab w:val="left" w:pos="1418"/>
              </w:tabs>
              <w:spacing w:line="400" w:lineRule="exact"/>
              <w:jc w:val="both"/>
              <w:rPr>
                <w:rFonts w:hint="eastAsia" w:ascii="仿宋_GB2312" w:hAnsi="仿宋_GB2312" w:eastAsia="仿宋_GB2312"/>
                <w:szCs w:val="21"/>
              </w:rPr>
            </w:pPr>
            <w:r>
              <w:rPr>
                <w:rFonts w:hint="eastAsia" w:ascii="仿宋_GB2312" w:hAnsi="仿宋_GB2312" w:eastAsia="仿宋_GB2312"/>
                <w:szCs w:val="21"/>
              </w:rPr>
              <w:t>（元）</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14:paraId="392664B9">
            <w:pPr>
              <w:tabs>
                <w:tab w:val="left" w:pos="993"/>
                <w:tab w:val="left" w:pos="1134"/>
                <w:tab w:val="left" w:pos="1418"/>
              </w:tabs>
              <w:spacing w:line="400" w:lineRule="exact"/>
              <w:jc w:val="center"/>
              <w:rPr>
                <w:rFonts w:hint="eastAsia" w:ascii="仿宋_GB2312" w:hAnsi="仿宋_GB2312" w:eastAsia="仿宋_GB2312"/>
                <w:szCs w:val="21"/>
              </w:rPr>
            </w:pPr>
            <w:r>
              <w:rPr>
                <w:rFonts w:hint="eastAsia" w:ascii="仿宋_GB2312" w:hAnsi="仿宋_GB2312" w:eastAsia="仿宋_GB2312"/>
                <w:szCs w:val="21"/>
              </w:rPr>
              <w:t>预计采购时（填写到月）</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14:paraId="32869CC9">
            <w:pPr>
              <w:tabs>
                <w:tab w:val="left" w:pos="993"/>
                <w:tab w:val="left" w:pos="1134"/>
                <w:tab w:val="left" w:pos="1418"/>
              </w:tabs>
              <w:spacing w:line="400" w:lineRule="exact"/>
              <w:jc w:val="center"/>
              <w:rPr>
                <w:rFonts w:hint="eastAsia" w:ascii="仿宋_GB2312" w:hAnsi="仿宋_GB2312" w:eastAsia="仿宋_GB2312"/>
                <w:szCs w:val="21"/>
              </w:rPr>
            </w:pPr>
            <w:r>
              <w:rPr>
                <w:rFonts w:hint="eastAsia" w:ascii="仿宋_GB2312" w:hAnsi="仿宋_GB2312" w:eastAsia="仿宋_GB2312"/>
                <w:szCs w:val="21"/>
              </w:rPr>
              <w:t>备注</w:t>
            </w:r>
          </w:p>
        </w:tc>
      </w:tr>
      <w:tr w14:paraId="62DF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435" w:type="dxa"/>
            <w:tcBorders>
              <w:top w:val="single" w:color="auto" w:sz="4" w:space="0"/>
              <w:left w:val="single" w:color="auto" w:sz="4" w:space="0"/>
              <w:bottom w:val="single" w:color="auto" w:sz="4" w:space="0"/>
              <w:right w:val="single" w:color="auto" w:sz="4" w:space="0"/>
              <w:tl2br w:val="nil"/>
              <w:tr2bl w:val="nil"/>
            </w:tcBorders>
          </w:tcPr>
          <w:p w14:paraId="20370C47">
            <w:pPr>
              <w:tabs>
                <w:tab w:val="left" w:pos="993"/>
                <w:tab w:val="left" w:pos="1134"/>
                <w:tab w:val="left" w:pos="1418"/>
              </w:tabs>
              <w:spacing w:line="400" w:lineRule="exact"/>
              <w:jc w:val="center"/>
              <w:rPr>
                <w:rFonts w:hint="eastAsia" w:ascii="仿宋_GB2312" w:hAnsi="仿宋_GB2312" w:eastAsia="仿宋_GB2312"/>
                <w:szCs w:val="21"/>
              </w:rPr>
            </w:pPr>
          </w:p>
          <w:p w14:paraId="635E3CCA">
            <w:pPr>
              <w:tabs>
                <w:tab w:val="left" w:pos="993"/>
                <w:tab w:val="left" w:pos="1134"/>
                <w:tab w:val="left" w:pos="1418"/>
              </w:tabs>
              <w:spacing w:line="400" w:lineRule="exact"/>
              <w:jc w:val="center"/>
              <w:rPr>
                <w:rFonts w:hint="eastAsia" w:ascii="仿宋_GB2312" w:hAnsi="仿宋_GB2312" w:eastAsia="仿宋_GB2312"/>
                <w:szCs w:val="21"/>
              </w:rPr>
            </w:pPr>
          </w:p>
          <w:p w14:paraId="3480DF4F">
            <w:pPr>
              <w:tabs>
                <w:tab w:val="left" w:pos="993"/>
                <w:tab w:val="left" w:pos="1134"/>
                <w:tab w:val="left" w:pos="1418"/>
              </w:tabs>
              <w:spacing w:line="400" w:lineRule="exact"/>
              <w:jc w:val="center"/>
              <w:rPr>
                <w:rFonts w:hint="eastAsia" w:ascii="仿宋_GB2312" w:hAnsi="仿宋_GB2312" w:eastAsia="仿宋_GB2312"/>
                <w:szCs w:val="21"/>
              </w:rPr>
            </w:pPr>
          </w:p>
          <w:p w14:paraId="1B7A5693">
            <w:pPr>
              <w:tabs>
                <w:tab w:val="left" w:pos="993"/>
                <w:tab w:val="left" w:pos="1134"/>
                <w:tab w:val="left" w:pos="1418"/>
              </w:tabs>
              <w:spacing w:line="400" w:lineRule="exact"/>
              <w:jc w:val="center"/>
              <w:rPr>
                <w:rFonts w:hint="eastAsia" w:ascii="仿宋_GB2312" w:hAnsi="仿宋_GB2312" w:eastAsia="仿宋_GB2312"/>
                <w:szCs w:val="21"/>
              </w:rPr>
            </w:pPr>
            <w:r>
              <w:rPr>
                <w:rFonts w:hint="eastAsia" w:ascii="仿宋_GB2312" w:hAnsi="仿宋_GB2312" w:eastAsia="仿宋_GB2312"/>
                <w:szCs w:val="21"/>
              </w:rPr>
              <w:t>1</w:t>
            </w:r>
          </w:p>
        </w:tc>
        <w:tc>
          <w:tcPr>
            <w:tcW w:w="719" w:type="dxa"/>
            <w:tcBorders>
              <w:top w:val="single" w:color="auto" w:sz="4" w:space="0"/>
              <w:left w:val="single" w:color="auto" w:sz="4" w:space="0"/>
              <w:bottom w:val="single" w:color="auto" w:sz="4" w:space="0"/>
              <w:right w:val="single" w:color="auto" w:sz="4" w:space="0"/>
              <w:tl2br w:val="nil"/>
              <w:tr2bl w:val="nil"/>
            </w:tcBorders>
          </w:tcPr>
          <w:p w14:paraId="4100ADF7">
            <w:pPr>
              <w:tabs>
                <w:tab w:val="left" w:pos="993"/>
                <w:tab w:val="left" w:pos="1134"/>
                <w:tab w:val="left" w:pos="1418"/>
              </w:tabs>
              <w:spacing w:line="400" w:lineRule="exact"/>
              <w:jc w:val="center"/>
              <w:rPr>
                <w:rFonts w:hint="eastAsia" w:ascii="仿宋_GB2312" w:hAnsi="仿宋_GB2312" w:eastAsia="仿宋_GB2312"/>
                <w:szCs w:val="21"/>
              </w:rPr>
            </w:pPr>
          </w:p>
          <w:p w14:paraId="58E5C2D1">
            <w:pPr>
              <w:tabs>
                <w:tab w:val="left" w:pos="993"/>
                <w:tab w:val="left" w:pos="1134"/>
                <w:tab w:val="left" w:pos="1418"/>
              </w:tabs>
              <w:spacing w:line="400" w:lineRule="exact"/>
              <w:jc w:val="both"/>
              <w:rPr>
                <w:rFonts w:hint="eastAsia" w:ascii="微软雅黑" w:hAnsi="微软雅黑" w:cs="微软雅黑"/>
                <w:color w:val="000000"/>
                <w:sz w:val="21"/>
                <w:szCs w:val="21"/>
              </w:rPr>
            </w:pPr>
          </w:p>
          <w:p w14:paraId="7F301903">
            <w:pPr>
              <w:tabs>
                <w:tab w:val="left" w:pos="993"/>
                <w:tab w:val="left" w:pos="1134"/>
                <w:tab w:val="left" w:pos="1418"/>
              </w:tabs>
              <w:spacing w:line="400" w:lineRule="exact"/>
              <w:jc w:val="both"/>
              <w:rPr>
                <w:rFonts w:hint="eastAsia" w:ascii="仿宋_GB2312" w:hAnsi="仿宋_GB2312"/>
                <w:szCs w:val="21"/>
              </w:rPr>
            </w:pPr>
            <w:r>
              <w:rPr>
                <w:rFonts w:ascii="微软雅黑" w:hAnsi="微软雅黑" w:cs="微软雅黑"/>
                <w:color w:val="000000"/>
                <w:sz w:val="21"/>
                <w:szCs w:val="21"/>
              </w:rPr>
              <w:t>国有资产清查项</w:t>
            </w:r>
            <w:r>
              <w:rPr>
                <w:rFonts w:hint="eastAsia" w:ascii="微软雅黑" w:hAnsi="微软雅黑" w:cs="微软雅黑"/>
                <w:color w:val="000000"/>
                <w:sz w:val="21"/>
                <w:szCs w:val="21"/>
              </w:rPr>
              <w:t xml:space="preserve"> </w:t>
            </w:r>
            <w:r>
              <w:rPr>
                <w:rFonts w:ascii="微软雅黑" w:hAnsi="微软雅黑" w:cs="微软雅黑"/>
                <w:color w:val="000000"/>
                <w:sz w:val="21"/>
                <w:szCs w:val="21"/>
              </w:rPr>
              <w:t>目</w:t>
            </w:r>
            <w:r>
              <w:rPr>
                <w:rFonts w:hint="eastAsia" w:ascii="微软雅黑" w:hAnsi="微软雅黑" w:cs="微软雅黑"/>
                <w:color w:val="000000"/>
                <w:sz w:val="21"/>
                <w:szCs w:val="21"/>
              </w:rPr>
              <w:t xml:space="preserve">       </w:t>
            </w:r>
          </w:p>
        </w:tc>
        <w:tc>
          <w:tcPr>
            <w:tcW w:w="6271" w:type="dxa"/>
            <w:tcBorders>
              <w:top w:val="single" w:color="auto" w:sz="4" w:space="0"/>
              <w:left w:val="single" w:color="auto" w:sz="4" w:space="0"/>
              <w:bottom w:val="single" w:color="auto" w:sz="4" w:space="0"/>
              <w:right w:val="single" w:color="auto" w:sz="4" w:space="0"/>
              <w:tl2br w:val="nil"/>
              <w:tr2bl w:val="nil"/>
            </w:tcBorders>
          </w:tcPr>
          <w:p w14:paraId="30AC648F">
            <w:pPr>
              <w:tabs>
                <w:tab w:val="left" w:pos="993"/>
                <w:tab w:val="left" w:pos="1134"/>
                <w:tab w:val="left" w:pos="1418"/>
              </w:tabs>
              <w:spacing w:line="400" w:lineRule="exact"/>
              <w:jc w:val="both"/>
              <w:rPr>
                <w:rFonts w:hint="eastAsia" w:ascii="仿宋_GB2312" w:hAnsi="仿宋_GB2312" w:eastAsia="仿宋_GB2312"/>
                <w:szCs w:val="21"/>
              </w:rPr>
            </w:pPr>
            <w:r>
              <w:rPr>
                <w:rFonts w:hint="eastAsia" w:ascii="微软雅黑" w:hAnsi="微软雅黑" w:cs="微软雅黑"/>
                <w:color w:val="000000"/>
                <w:sz w:val="21"/>
                <w:szCs w:val="21"/>
              </w:rPr>
              <w:t>1.</w:t>
            </w:r>
            <w:r>
              <w:rPr>
                <w:rFonts w:ascii="微软雅黑" w:hAnsi="微软雅黑" w:cs="微软雅黑"/>
                <w:color w:val="000000"/>
                <w:sz w:val="21"/>
                <w:szCs w:val="21"/>
              </w:rPr>
              <w:t>对本单位全部固定资产进行清查盘点和账务核对以及进行条码标签的打印粘贴。确保单位资产账账相符，账实相符，同时录入机关事务服务中心资产系统数据，保证单位能够符合机关事务服务中心要求并通过验收；对相关业务科室人员进行业务培训。</w:t>
            </w:r>
            <w:r>
              <w:rPr>
                <w:rFonts w:hint="eastAsia" w:ascii="微软雅黑" w:hAnsi="微软雅黑" w:cs="微软雅黑"/>
                <w:color w:val="000000"/>
                <w:sz w:val="21"/>
                <w:szCs w:val="21"/>
              </w:rPr>
              <w:t xml:space="preserve">      2、清查核对所有固定资产、无形资产（约</w:t>
            </w:r>
            <w:r>
              <w:rPr>
                <w:rFonts w:hint="eastAsia" w:ascii="微软雅黑" w:hAnsi="微软雅黑" w:cs="微软雅黑"/>
                <w:color w:val="000000"/>
                <w:sz w:val="21"/>
                <w:szCs w:val="21"/>
                <w:lang w:val="en-US" w:eastAsia="zh-CN"/>
              </w:rPr>
              <w:t>300</w:t>
            </w:r>
            <w:r>
              <w:rPr>
                <w:rFonts w:hint="eastAsia" w:ascii="微软雅黑" w:hAnsi="微软雅黑" w:cs="微软雅黑"/>
                <w:color w:val="000000"/>
                <w:sz w:val="21"/>
                <w:szCs w:val="21"/>
              </w:rPr>
              <w:t>条）进行实地盘点。根据清查结果整理资产明细账，完善资产信息系统的数据，确保资产账账相符、账物相符、账卡相符。为资产张贴RFID标签。根据资产盘盈盘亏情况出具处理方案，协助办理资产报废。                                                                                                    3、供应商所提供条码盘点设备，应能满足单位RFID物联网管理模式的需要，并与机关事务信息化平台资产管理系统进行对接，实现资产盘点数据与系统的对接。                                                         4、最终以单价和实际卡片数量结算。</w:t>
            </w:r>
          </w:p>
        </w:tc>
        <w:tc>
          <w:tcPr>
            <w:tcW w:w="915" w:type="dxa"/>
            <w:tcBorders>
              <w:top w:val="single" w:color="auto" w:sz="4" w:space="0"/>
              <w:left w:val="single" w:color="auto" w:sz="4" w:space="0"/>
              <w:bottom w:val="single" w:color="auto" w:sz="4" w:space="0"/>
              <w:right w:val="single" w:color="auto" w:sz="4" w:space="0"/>
              <w:tl2br w:val="nil"/>
              <w:tr2bl w:val="nil"/>
            </w:tcBorders>
          </w:tcPr>
          <w:p w14:paraId="6137C14D">
            <w:pPr>
              <w:tabs>
                <w:tab w:val="left" w:pos="993"/>
                <w:tab w:val="left" w:pos="1134"/>
                <w:tab w:val="left" w:pos="1418"/>
              </w:tabs>
              <w:spacing w:line="400" w:lineRule="exact"/>
              <w:jc w:val="center"/>
              <w:rPr>
                <w:rFonts w:hint="eastAsia" w:ascii="仿宋_GB2312" w:hAnsi="仿宋_GB2312" w:eastAsia="仿宋_GB2312"/>
                <w:szCs w:val="21"/>
              </w:rPr>
            </w:pPr>
          </w:p>
          <w:p w14:paraId="00A8CD71">
            <w:pPr>
              <w:tabs>
                <w:tab w:val="left" w:pos="993"/>
                <w:tab w:val="left" w:pos="1134"/>
                <w:tab w:val="left" w:pos="1418"/>
              </w:tabs>
              <w:spacing w:line="400" w:lineRule="exact"/>
              <w:jc w:val="center"/>
              <w:rPr>
                <w:rFonts w:hint="eastAsia" w:ascii="仿宋_GB2312" w:hAnsi="仿宋_GB2312" w:eastAsia="仿宋_GB2312"/>
                <w:szCs w:val="21"/>
              </w:rPr>
            </w:pPr>
          </w:p>
          <w:p w14:paraId="13634E50">
            <w:pPr>
              <w:tabs>
                <w:tab w:val="left" w:pos="993"/>
                <w:tab w:val="left" w:pos="1134"/>
                <w:tab w:val="left" w:pos="1418"/>
              </w:tabs>
              <w:spacing w:line="400" w:lineRule="exact"/>
              <w:jc w:val="center"/>
              <w:rPr>
                <w:rFonts w:hint="eastAsia" w:ascii="仿宋_GB2312" w:hAnsi="仿宋_GB2312" w:eastAsia="仿宋_GB2312"/>
                <w:szCs w:val="21"/>
              </w:rPr>
            </w:pPr>
          </w:p>
          <w:p w14:paraId="77F8A9C9">
            <w:pPr>
              <w:tabs>
                <w:tab w:val="left" w:pos="993"/>
                <w:tab w:val="left" w:pos="1134"/>
                <w:tab w:val="left" w:pos="1418"/>
              </w:tabs>
              <w:spacing w:line="400" w:lineRule="exact"/>
              <w:jc w:val="center"/>
              <w:rPr>
                <w:rFonts w:hint="default" w:ascii="仿宋_GB2312" w:hAnsi="仿宋_GB2312" w:eastAsia="仿宋_GB2312"/>
                <w:szCs w:val="21"/>
                <w:lang w:val="en-US" w:eastAsia="zh-CN"/>
              </w:rPr>
            </w:pPr>
            <w:r>
              <w:rPr>
                <w:rFonts w:hint="eastAsia" w:ascii="仿宋_GB2312" w:hAnsi="仿宋_GB2312" w:eastAsia="仿宋_GB2312"/>
                <w:szCs w:val="21"/>
                <w:lang w:val="en-US" w:eastAsia="zh-CN"/>
              </w:rPr>
              <w:t>8910</w:t>
            </w:r>
          </w:p>
        </w:tc>
        <w:tc>
          <w:tcPr>
            <w:tcW w:w="1395" w:type="dxa"/>
            <w:tcBorders>
              <w:top w:val="single" w:color="auto" w:sz="4" w:space="0"/>
              <w:left w:val="single" w:color="auto" w:sz="4" w:space="0"/>
              <w:bottom w:val="single" w:color="auto" w:sz="4" w:space="0"/>
              <w:right w:val="single" w:color="auto" w:sz="4" w:space="0"/>
              <w:tl2br w:val="nil"/>
              <w:tr2bl w:val="nil"/>
            </w:tcBorders>
          </w:tcPr>
          <w:p w14:paraId="502D7424">
            <w:pPr>
              <w:tabs>
                <w:tab w:val="left" w:pos="993"/>
                <w:tab w:val="left" w:pos="1134"/>
                <w:tab w:val="left" w:pos="1418"/>
              </w:tabs>
              <w:spacing w:line="400" w:lineRule="exact"/>
              <w:rPr>
                <w:rFonts w:hint="eastAsia" w:ascii="仿宋_GB2312" w:hAnsi="仿宋_GB2312" w:eastAsia="仿宋_GB2312"/>
                <w:szCs w:val="21"/>
              </w:rPr>
            </w:pPr>
          </w:p>
          <w:p w14:paraId="058E2061">
            <w:pPr>
              <w:tabs>
                <w:tab w:val="left" w:pos="993"/>
                <w:tab w:val="left" w:pos="1134"/>
                <w:tab w:val="left" w:pos="1418"/>
              </w:tabs>
              <w:spacing w:line="400" w:lineRule="exact"/>
              <w:rPr>
                <w:rFonts w:hint="eastAsia" w:ascii="仿宋_GB2312" w:hAnsi="仿宋_GB2312" w:eastAsia="仿宋_GB2312"/>
                <w:szCs w:val="21"/>
              </w:rPr>
            </w:pPr>
          </w:p>
          <w:p w14:paraId="5C4B3666">
            <w:pPr>
              <w:tabs>
                <w:tab w:val="left" w:pos="993"/>
                <w:tab w:val="left" w:pos="1134"/>
                <w:tab w:val="left" w:pos="1418"/>
              </w:tabs>
              <w:spacing w:line="400" w:lineRule="exact"/>
              <w:rPr>
                <w:rFonts w:hint="eastAsia" w:ascii="仿宋_GB2312" w:hAnsi="仿宋_GB2312" w:eastAsia="仿宋_GB2312"/>
                <w:szCs w:val="21"/>
              </w:rPr>
            </w:pPr>
          </w:p>
          <w:p w14:paraId="7DF34C8E">
            <w:pPr>
              <w:tabs>
                <w:tab w:val="left" w:pos="993"/>
                <w:tab w:val="left" w:pos="1134"/>
                <w:tab w:val="left" w:pos="1418"/>
              </w:tabs>
              <w:spacing w:line="400" w:lineRule="exact"/>
              <w:rPr>
                <w:rFonts w:hint="eastAsia" w:ascii="仿宋_GB2312" w:hAnsi="仿宋_GB2312" w:eastAsia="仿宋_GB2312"/>
                <w:szCs w:val="21"/>
              </w:rPr>
            </w:pPr>
            <w:r>
              <w:rPr>
                <w:rFonts w:hint="eastAsia" w:ascii="仿宋_GB2312" w:hAnsi="仿宋_GB2312" w:eastAsia="仿宋_GB2312"/>
                <w:szCs w:val="21"/>
              </w:rPr>
              <w:t>2025年</w:t>
            </w:r>
            <w:r>
              <w:rPr>
                <w:rFonts w:hint="eastAsia" w:ascii="仿宋_GB2312" w:hAnsi="仿宋_GB2312" w:eastAsia="仿宋_GB2312"/>
                <w:szCs w:val="21"/>
                <w:lang w:val="en-US" w:eastAsia="zh-CN"/>
              </w:rPr>
              <w:t>3</w:t>
            </w:r>
            <w:r>
              <w:rPr>
                <w:rFonts w:hint="eastAsia" w:ascii="仿宋_GB2312" w:hAnsi="仿宋_GB2312" w:eastAsia="仿宋_GB2312"/>
                <w:szCs w:val="21"/>
              </w:rPr>
              <w:t>月</w:t>
            </w:r>
          </w:p>
        </w:tc>
        <w:tc>
          <w:tcPr>
            <w:tcW w:w="540" w:type="dxa"/>
            <w:tcBorders>
              <w:top w:val="single" w:color="auto" w:sz="4" w:space="0"/>
              <w:left w:val="single" w:color="auto" w:sz="4" w:space="0"/>
              <w:bottom w:val="single" w:color="auto" w:sz="4" w:space="0"/>
              <w:right w:val="single" w:color="auto" w:sz="4" w:space="0"/>
              <w:tl2br w:val="nil"/>
              <w:tr2bl w:val="nil"/>
            </w:tcBorders>
          </w:tcPr>
          <w:p w14:paraId="07B0DFB0">
            <w:pPr>
              <w:tabs>
                <w:tab w:val="left" w:pos="993"/>
                <w:tab w:val="left" w:pos="1134"/>
                <w:tab w:val="left" w:pos="1418"/>
              </w:tabs>
              <w:spacing w:line="400" w:lineRule="exact"/>
              <w:jc w:val="center"/>
              <w:rPr>
                <w:rFonts w:hint="eastAsia" w:ascii="仿宋_GB2312" w:hAnsi="仿宋_GB2312" w:eastAsia="仿宋_GB2312"/>
                <w:szCs w:val="21"/>
              </w:rPr>
            </w:pPr>
          </w:p>
        </w:tc>
      </w:tr>
      <w:bookmarkEnd w:id="0"/>
    </w:tbl>
    <w:p w14:paraId="3D8DB659">
      <w:pPr>
        <w:jc w:val="right"/>
        <w:rPr>
          <w:rFonts w:hint="eastAsia" w:ascii="仿宋_GB2312" w:eastAsia="仿宋_GB2312"/>
          <w:sz w:val="32"/>
          <w:szCs w:val="32"/>
        </w:rPr>
      </w:pPr>
    </w:p>
    <w:p w14:paraId="0C855E4F">
      <w:pPr>
        <w:jc w:val="both"/>
        <w:rPr>
          <w:rFonts w:hint="eastAsia" w:ascii="方正仿宋_GBK" w:hAnsi="方正仿宋_GBK" w:eastAsia="方正仿宋_GBK" w:cs="方正仿宋_GBK"/>
          <w:sz w:val="32"/>
          <w:szCs w:val="32"/>
          <w:lang w:val="en-US" w:eastAsia="zh-CN"/>
        </w:rPr>
      </w:pPr>
      <w:r>
        <w:rPr>
          <w:rFonts w:hint="default"/>
          <w:sz w:val="32"/>
          <w:szCs w:val="32"/>
          <w:lang w:val="en-US" w:eastAsia="zh-CN"/>
        </w:rPr>
        <w:drawing>
          <wp:anchor distT="0" distB="0" distL="114300" distR="114300" simplePos="0" relativeHeight="251659264" behindDoc="1" locked="0" layoutInCell="1" allowOverlap="1">
            <wp:simplePos x="0" y="0"/>
            <wp:positionH relativeFrom="column">
              <wp:posOffset>3090545</wp:posOffset>
            </wp:positionH>
            <wp:positionV relativeFrom="paragraph">
              <wp:posOffset>182245</wp:posOffset>
            </wp:positionV>
            <wp:extent cx="1584960" cy="1531620"/>
            <wp:effectExtent l="0" t="0" r="15240" b="11430"/>
            <wp:wrapNone/>
            <wp:docPr id="1" name="图片 1" descr="喀什市重点项目建设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喀什市重点项目建设中心"/>
                    <pic:cNvPicPr>
                      <a:picLocks noChangeAspect="1"/>
                    </pic:cNvPicPr>
                  </pic:nvPicPr>
                  <pic:blipFill>
                    <a:blip r:embed="rId6"/>
                    <a:stretch>
                      <a:fillRect/>
                    </a:stretch>
                  </pic:blipFill>
                  <pic:spPr>
                    <a:xfrm>
                      <a:off x="0" y="0"/>
                      <a:ext cx="1584960" cy="1531620"/>
                    </a:xfrm>
                    <a:prstGeom prst="rect">
                      <a:avLst/>
                    </a:prstGeom>
                  </pic:spPr>
                </pic:pic>
              </a:graphicData>
            </a:graphic>
          </wp:anchor>
        </w:drawing>
      </w:r>
      <w:r>
        <w:rPr>
          <w:rFonts w:hint="eastAsia" w:ascii="方正仿宋_GBK" w:hAnsi="方正仿宋_GBK" w:eastAsia="方正仿宋_GBK" w:cs="方正仿宋_GBK"/>
          <w:sz w:val="32"/>
          <w:szCs w:val="32"/>
        </w:rPr>
        <w:t xml:space="preserve">本次公开的采购意向是本单位政府采购工作的初步安排具体采购项目情况以相关采购公告和采购文件为准。                                         </w:t>
      </w:r>
      <w:r>
        <w:rPr>
          <w:rFonts w:hint="eastAsia" w:ascii="方正仿宋_GBK" w:hAnsi="方正仿宋_GBK" w:eastAsia="方正仿宋_GBK" w:cs="方正仿宋_GBK"/>
          <w:sz w:val="32"/>
          <w:szCs w:val="32"/>
          <w:lang w:val="en-US" w:eastAsia="zh-CN"/>
        </w:rPr>
        <w:t xml:space="preserve">         </w:t>
      </w:r>
    </w:p>
    <w:p w14:paraId="60CABA69">
      <w:pPr>
        <w:jc w:val="right"/>
        <w:rPr>
          <w:rFonts w:hint="eastAsia" w:ascii="仿宋_GB2312" w:hAnsi="仿宋_GB2312" w:eastAsia="仿宋_GB2312"/>
          <w:sz w:val="32"/>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sz w:val="32"/>
          <w:u w:val="none"/>
        </w:rPr>
        <w:t>喀什市</w:t>
      </w:r>
      <w:r>
        <w:rPr>
          <w:rFonts w:hint="eastAsia" w:ascii="仿宋_GB2312" w:hAnsi="仿宋_GB2312" w:eastAsia="仿宋_GB2312"/>
          <w:sz w:val="32"/>
          <w:u w:val="none"/>
          <w:lang w:eastAsia="zh-CN"/>
        </w:rPr>
        <w:t>重点项目建设中心</w:t>
      </w:r>
      <w:r>
        <w:rPr>
          <w:rFonts w:hint="eastAsia" w:ascii="方正仿宋_GBK" w:hAnsi="方正仿宋_GBK" w:eastAsia="方正仿宋_GBK" w:cs="方正仿宋_GBK"/>
          <w:sz w:val="32"/>
          <w:szCs w:val="32"/>
        </w:rPr>
        <w:t xml:space="preserve">   </w:t>
      </w:r>
      <w:r>
        <w:rPr>
          <w:rFonts w:hint="eastAsia" w:ascii="仿宋_GB2312" w:hAnsi="仿宋_GB2312" w:eastAsia="仿宋_GB2312"/>
          <w:sz w:val="32"/>
        </w:rPr>
        <w:t xml:space="preserve"> </w:t>
      </w:r>
    </w:p>
    <w:p w14:paraId="5C1CE1B7">
      <w:pPr>
        <w:tabs>
          <w:tab w:val="left" w:pos="993"/>
          <w:tab w:val="left" w:pos="1134"/>
          <w:tab w:val="left" w:pos="1418"/>
        </w:tabs>
        <w:spacing w:line="600" w:lineRule="exact"/>
        <w:ind w:right="480"/>
        <w:jc w:val="both"/>
      </w:pPr>
      <w:r>
        <w:rPr>
          <w:rFonts w:hint="eastAsia" w:ascii="仿宋_GB2312" w:hAnsi="仿宋_GB2312" w:eastAsia="仿宋_GB2312"/>
          <w:sz w:val="32"/>
        </w:rPr>
        <w:t xml:space="preserve">                                2025年2月1</w:t>
      </w:r>
      <w:r>
        <w:rPr>
          <w:rFonts w:hint="eastAsia" w:ascii="仿宋_GB2312" w:hAnsi="仿宋_GB2312" w:eastAsia="仿宋_GB2312"/>
          <w:sz w:val="32"/>
          <w:lang w:val="en-US" w:eastAsia="zh-CN"/>
        </w:rPr>
        <w:t>7</w:t>
      </w:r>
      <w:r>
        <w:rPr>
          <w:rFonts w:hint="eastAsia" w:ascii="仿宋_GB2312" w:hAnsi="仿宋_GB2312" w:eastAsia="仿宋_GB2312"/>
          <w:sz w:val="32"/>
        </w:rPr>
        <w:t xml:space="preserve">日  </w:t>
      </w:r>
    </w:p>
    <w:sectPr>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doNotExpandShiftReturn/>
    <w:useFELayout/>
    <w:compatSetting w:name="compatibilityMode" w:uri="http://schemas.microsoft.com/office/word" w:val="12"/>
  </w:compat>
  <w:rsids>
    <w:rsidRoot w:val="00172A27"/>
    <w:rsid w:val="00172A27"/>
    <w:rsid w:val="001A48B7"/>
    <w:rsid w:val="00234962"/>
    <w:rsid w:val="00323B43"/>
    <w:rsid w:val="003C06C6"/>
    <w:rsid w:val="003D37D8"/>
    <w:rsid w:val="00426133"/>
    <w:rsid w:val="004358AB"/>
    <w:rsid w:val="006E5FD8"/>
    <w:rsid w:val="007B2854"/>
    <w:rsid w:val="008B7726"/>
    <w:rsid w:val="00973CEB"/>
    <w:rsid w:val="00D31D50"/>
    <w:rsid w:val="00F17165"/>
    <w:rsid w:val="02A9005F"/>
    <w:rsid w:val="0C0D4AA7"/>
    <w:rsid w:val="0C756555"/>
    <w:rsid w:val="104E5D16"/>
    <w:rsid w:val="108827EC"/>
    <w:rsid w:val="122D4391"/>
    <w:rsid w:val="12D6271E"/>
    <w:rsid w:val="15A42E89"/>
    <w:rsid w:val="17384792"/>
    <w:rsid w:val="193D7E4D"/>
    <w:rsid w:val="1C0A64A9"/>
    <w:rsid w:val="1DC337D6"/>
    <w:rsid w:val="1DD1316A"/>
    <w:rsid w:val="1DDC5116"/>
    <w:rsid w:val="215B143C"/>
    <w:rsid w:val="23552079"/>
    <w:rsid w:val="249513E2"/>
    <w:rsid w:val="24D80FF9"/>
    <w:rsid w:val="267435B8"/>
    <w:rsid w:val="26EB1BBC"/>
    <w:rsid w:val="28085EE0"/>
    <w:rsid w:val="28763499"/>
    <w:rsid w:val="29250903"/>
    <w:rsid w:val="2AB1139B"/>
    <w:rsid w:val="2E3A6AEB"/>
    <w:rsid w:val="2F7F51E8"/>
    <w:rsid w:val="2FC35981"/>
    <w:rsid w:val="38746C0B"/>
    <w:rsid w:val="3E060027"/>
    <w:rsid w:val="3FBE712D"/>
    <w:rsid w:val="46A71700"/>
    <w:rsid w:val="48D10D3F"/>
    <w:rsid w:val="4A27101C"/>
    <w:rsid w:val="50D20CFB"/>
    <w:rsid w:val="50DC3911"/>
    <w:rsid w:val="53D148AF"/>
    <w:rsid w:val="568858FD"/>
    <w:rsid w:val="5C4C5E30"/>
    <w:rsid w:val="5D36658F"/>
    <w:rsid w:val="5E866AF8"/>
    <w:rsid w:val="5ECB60D7"/>
    <w:rsid w:val="5FFA4874"/>
    <w:rsid w:val="60005DCB"/>
    <w:rsid w:val="640F79C7"/>
    <w:rsid w:val="64B67A9A"/>
    <w:rsid w:val="6A0224F5"/>
    <w:rsid w:val="6A052BFB"/>
    <w:rsid w:val="6B614472"/>
    <w:rsid w:val="6B693999"/>
    <w:rsid w:val="75087E18"/>
    <w:rsid w:val="7A217A2A"/>
    <w:rsid w:val="7E4E58BA"/>
    <w:rsid w:val="7FFF3AC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529</Words>
  <Characters>558</Characters>
  <Lines>6</Lines>
  <Paragraphs>1</Paragraphs>
  <TotalTime>1</TotalTime>
  <ScaleCrop>false</ScaleCrop>
  <LinksUpToDate>false</LinksUpToDate>
  <CharactersWithSpaces>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2025-02-14T11:47:00Z</cp:lastPrinted>
  <dcterms:modified xsi:type="dcterms:W3CDTF">2025-02-17T09:57:35Z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eyJoZGlkIjoiMWU3NDUyNDZjNzE1NThhOTIyNzYxODBiZGEzYWNiMTkifQ==</vt:lpwstr>
  </property>
  <property fmtid="{D5CDD505-2E9C-101B-9397-08002B2CF9AE}" pid="4" name="ICV">
    <vt:lpwstr>37D930CC17574887B91F806EF37DE584_12</vt:lpwstr>
  </property>
</Properties>
</file>