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0775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lang w:val="en-US" w:eastAsia="zh-CN" w:bidi="ar"/>
        </w:rPr>
        <w:t>和田地区博物馆数字化保护项目主要内容</w:t>
      </w:r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lang w:val="en-US" w:eastAsia="zh-CN" w:bidi="ar"/>
        </w:rPr>
        <w:t>：</w:t>
      </w:r>
    </w:p>
    <w:p w14:paraId="5DE9961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 w14:paraId="3BB7D2C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(1) 在文物信息资源数字化方面，一是对 65 套/共 71 件（均为一级） 珍贵文物进行二维数字化采集；二是对 29 套/共 32 件（均为一 级）珍贵文物进行三维数字化采集。 </w:t>
      </w:r>
    </w:p>
    <w:p w14:paraId="2C6269F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(2) 在数字化传播方面，一是建设线下移动终端传播导览服务系统， 即建设自助导览服务系统，观众可以用多媒体参观导览设备实现全程可视化浏览，以视频、语音讲解、图文多媒体形式展示文物；二是同步建设连续定位系统，该定位系统与智慧导览系统实时信号交互，保证用户游览过程实时定位、实时导引。使观众在游览过程中体验地图、导航、文物信息浏览功能，真正做到“终端在手，浏览无忧”。 </w:t>
      </w:r>
    </w:p>
    <w:p w14:paraId="263F758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(3) 在数字化服务方面，依托和田地区博物馆游客接待情况、丰富藏品资源、文化底蕴宣传需求，一是建设团队智慧讲解服务系统，满足不同观众群体的来访需求；二是建设 AI 智能问答系统，以人工智能服务为基，将更多文化价值、知识价值有效输出，吸引更多观众来访，做好全新服务模式。</w:t>
      </w:r>
    </w:p>
    <w:p w14:paraId="7C0E10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2025-01-17T11:17:46Z</dcterms:created>
  <dc:creator>Administrator</dc:creator>
  <cp:lastModifiedBy>Buali</cp:lastModifiedBy>
  <dcterms:modified xsi:type="dcterms:W3CDTF">2025-01-17T11:19:31Z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eyJoZGlkIjoiZTA4MzNmNDk1YjQ0MDNlYTI3NDlhMGE5YjEzYzFiOTYiLCJ1c2VySWQiOiIzMTY2ODE0ODYifQ==</vt:lpwstr>
  </property>
  <property fmtid="{D5CDD505-2E9C-101B-9397-08002B2CF9AE}" pid="4" name="ICV">
    <vt:lpwstr>F22DF15F2B5E4C7E964C53DCC15907BC_12</vt:lpwstr>
  </property>
</Properties>
</file>