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center"/>
        <w:rPr>
          <w:rFonts w:hint="eastAsia" w:ascii="仿宋" w:hAnsi="仿宋" w:eastAsia="仿宋" w:cs="仿宋"/>
          <w:sz w:val="36"/>
          <w:szCs w:val="36"/>
        </w:rPr>
      </w:pPr>
      <w:r>
        <w:rPr>
          <w:rFonts w:hint="eastAsia" w:ascii="仿宋" w:hAnsi="仿宋" w:eastAsia="仿宋" w:cs="仿宋"/>
          <w:sz w:val="36"/>
          <w:szCs w:val="36"/>
        </w:rPr>
        <w:t>资质要求</w:t>
      </w:r>
    </w:p>
    <w:p>
      <w:pPr>
        <w:widowControl/>
        <w:spacing w:line="300" w:lineRule="auto"/>
        <w:rPr>
          <w:rFonts w:hint="eastAsia" w:ascii="仿宋" w:hAnsi="仿宋" w:eastAsia="仿宋" w:cs="仿宋"/>
          <w:sz w:val="32"/>
          <w:szCs w:val="32"/>
        </w:rPr>
      </w:pPr>
      <w:r>
        <w:rPr>
          <w:rFonts w:hint="eastAsia" w:ascii="仿宋" w:hAnsi="仿宋" w:eastAsia="仿宋" w:cs="仿宋"/>
          <w:sz w:val="32"/>
          <w:szCs w:val="32"/>
        </w:rPr>
        <w:t>1、符合《中华人民共和国政府采购法》第二十二条款规定；</w:t>
      </w:r>
    </w:p>
    <w:p>
      <w:pPr>
        <w:widowControl/>
        <w:spacing w:line="300" w:lineRule="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投标供应商具备</w:t>
      </w:r>
      <w:r>
        <w:rPr>
          <w:rFonts w:hint="eastAsia" w:ascii="仿宋" w:hAnsi="仿宋" w:eastAsia="仿宋" w:cs="仿宋"/>
          <w:sz w:val="32"/>
          <w:szCs w:val="32"/>
        </w:rPr>
        <w:t>有效的营业执照</w:t>
      </w:r>
      <w:r>
        <w:rPr>
          <w:rFonts w:hint="eastAsia" w:ascii="仿宋" w:hAnsi="仿宋" w:eastAsia="仿宋" w:cs="仿宋"/>
          <w:sz w:val="32"/>
          <w:szCs w:val="32"/>
          <w:lang w:eastAsia="zh-CN"/>
        </w:rPr>
        <w:t>；</w:t>
      </w:r>
    </w:p>
    <w:p>
      <w:pPr>
        <w:widowControl/>
        <w:spacing w:line="300" w:lineRule="auto"/>
        <w:rPr>
          <w:rFonts w:hint="eastAsia" w:ascii="仿宋" w:hAnsi="仿宋" w:eastAsia="仿宋" w:cs="仿宋"/>
          <w:sz w:val="32"/>
          <w:szCs w:val="32"/>
        </w:rPr>
      </w:pPr>
      <w:r>
        <w:rPr>
          <w:rFonts w:hint="eastAsia" w:ascii="仿宋" w:hAnsi="仿宋" w:eastAsia="仿宋" w:cs="仿宋"/>
          <w:sz w:val="32"/>
          <w:szCs w:val="32"/>
        </w:rPr>
        <w:t>3、法定代表人投标需携带法定代表人证明书及法定代表人身份证，委托代理人投标需携带法定代表人授权委托书及委托代理人身份证；</w:t>
      </w:r>
    </w:p>
    <w:p>
      <w:pPr>
        <w:widowControl/>
        <w:spacing w:line="300" w:lineRule="auto"/>
        <w:rPr>
          <w:rFonts w:hint="eastAsia" w:ascii="仿宋" w:hAnsi="仿宋" w:eastAsia="仿宋" w:cs="仿宋"/>
          <w:sz w:val="32"/>
          <w:szCs w:val="32"/>
        </w:rPr>
      </w:pPr>
      <w:r>
        <w:rPr>
          <w:rFonts w:hint="eastAsia" w:ascii="仿宋" w:hAnsi="仿宋" w:eastAsia="仿宋" w:cs="仿宋"/>
          <w:sz w:val="32"/>
          <w:szCs w:val="32"/>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300" w:lineRule="auto"/>
        <w:rPr>
          <w:rFonts w:hint="default" w:ascii="仿宋" w:hAnsi="仿宋" w:eastAsia="仿宋" w:cs="仿宋"/>
          <w:sz w:val="32"/>
          <w:szCs w:val="32"/>
          <w:lang w:val="en-US" w:eastAsia="zh-CN"/>
        </w:rPr>
      </w:pPr>
      <w:r>
        <w:rPr>
          <w:rFonts w:hint="eastAsia" w:ascii="仿宋" w:hAnsi="仿宋" w:eastAsia="仿宋" w:cs="仿宋"/>
          <w:sz w:val="32"/>
          <w:szCs w:val="32"/>
        </w:rPr>
        <w:t>5、</w:t>
      </w:r>
      <w:r>
        <w:rPr>
          <w:rFonts w:hint="default" w:ascii="仿宋" w:hAnsi="仿宋" w:eastAsia="仿宋" w:cs="仿宋"/>
          <w:sz w:val="32"/>
          <w:szCs w:val="32"/>
          <w:lang w:val="en-US" w:eastAsia="zh-CN"/>
        </w:rPr>
        <w:t>有依法缴纳税收和社会保障资金的良好记录；具有良好的商业信誉和健全的财务会计制度；</w:t>
      </w:r>
    </w:p>
    <w:p>
      <w:pPr>
        <w:widowControl/>
        <w:spacing w:line="300" w:lineRule="auto"/>
        <w:rPr>
          <w:rFonts w:hint="eastAsia" w:ascii="仿宋" w:hAnsi="仿宋" w:eastAsia="仿宋" w:cs="仿宋"/>
          <w:sz w:val="32"/>
          <w:szCs w:val="32"/>
        </w:rPr>
      </w:pPr>
      <w:r>
        <w:rPr>
          <w:rFonts w:hint="eastAsia" w:ascii="仿宋" w:hAnsi="仿宋" w:eastAsia="仿宋" w:cs="仿宋"/>
          <w:sz w:val="32"/>
          <w:szCs w:val="32"/>
        </w:rPr>
        <w:t>6、供应商在“信用中国网站（www.creditchina.gov.cn）”未被列入企业经营异常名录、税收违法黑名单、政府采购严重违法失信名单（尚在处罚期内的）；在“中国执行信息公开网”（http://zxgk.court.gov.cn/）未被列入失信被执行人；在“中国政府采购网（www.ccgp.gov.cn）”未被列入政府采购严重违法失信行为记录名单的（尚在处罚期内的）；在“国家企业信用信息公示系统（http://www.gsxt.gov.cn）”无行政处罚信息、未列入经营异常名录信息、未列入严重违法失信企业名单（黑名单）信息。</w:t>
      </w:r>
      <w:r>
        <w:rPr>
          <w:rFonts w:hint="default" w:ascii="仿宋" w:hAnsi="仿宋" w:eastAsia="仿宋" w:cs="仿宋"/>
          <w:sz w:val="32"/>
          <w:szCs w:val="32"/>
          <w:lang w:val="en-US" w:eastAsia="zh-CN"/>
        </w:rPr>
        <w:t>参加本次采购活动前三年内，在经营活动中没有重大违法记录；</w:t>
      </w:r>
    </w:p>
    <w:p>
      <w:pPr>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、本项目不接受联合投标。</w:t>
      </w:r>
    </w:p>
    <w:p>
      <w:pPr>
        <w:spacing w:line="360" w:lineRule="auto"/>
        <w:jc w:val="center"/>
        <w:outlineLvl w:val="0"/>
        <w:rPr>
          <w:rFonts w:hint="eastAsia" w:ascii="宋体" w:hAnsi="宋体" w:cs="宋体"/>
          <w:b/>
          <w:bCs/>
          <w:color w:val="auto"/>
          <w:sz w:val="24"/>
          <w:highlight w:val="none"/>
        </w:rPr>
      </w:pPr>
      <w:bookmarkStart w:id="0" w:name="_Toc29987"/>
      <w:bookmarkStart w:id="1" w:name="_Toc99301424"/>
      <w:r>
        <w:rPr>
          <w:b/>
          <w:color w:val="auto"/>
          <w:sz w:val="36"/>
          <w:szCs w:val="36"/>
          <w:highlight w:val="none"/>
        </w:rPr>
        <w:t>第五章  采购需求</w:t>
      </w:r>
      <w:bookmarkEnd w:id="0"/>
      <w:bookmarkEnd w:id="1"/>
    </w:p>
    <w:p>
      <w:pPr>
        <w:pStyle w:val="2"/>
        <w:bidi w:val="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w:t>
      </w:r>
      <w:r>
        <w:rPr>
          <w:rFonts w:hint="eastAsia" w:ascii="宋体" w:hAnsi="宋体" w:eastAsia="宋体" w:cs="宋体"/>
          <w:color w:val="auto"/>
          <w:sz w:val="28"/>
          <w:szCs w:val="28"/>
          <w:lang w:val="en-US" w:eastAsia="zh-CN"/>
        </w:rPr>
        <w:t>背景</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为适应现代医用物资管理提出的新政策和新需求，建立院内医用物资配送物流服务中心，并对现有的管理模式、业务流程进行全面优化，并更好地落实物资精细化管理的目标。实现涵盖耗材供应商和医院的物流作业和管理活动以及与耗材供应商互联互通、信息共享等多层面的一体化管理功能。阿勒泰市人民医院要求建设物资供应链管理平台实现集采购、仓储、配送等管理的信息化服务。系统软件包括：院外供应商协同管理平台和院内物资管理平台两部分。本项目同时包含提供院内物流服务、业务数据管理服务、规范化标准化体系建设等。通过本次采购软件为医院提供医用物资精细化管理功能，服务需延伸至医院相关临床部门，为医院医用物资提供全程信息化的精益管理。</w:t>
      </w:r>
    </w:p>
    <w:p>
      <w:pPr>
        <w:pStyle w:val="2"/>
        <w:numPr>
          <w:ilvl w:val="0"/>
          <w:numId w:val="2"/>
        </w:num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招标内容</w:t>
      </w:r>
    </w:p>
    <w:p>
      <w:pPr>
        <w:numPr>
          <w:ilvl w:val="0"/>
          <w:numId w:val="0"/>
        </w:num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医用物资智能化管理建设、日</w:t>
      </w:r>
      <w:r>
        <w:rPr>
          <w:rFonts w:hint="eastAsia" w:ascii="宋体" w:hAnsi="宋体" w:eastAsia="宋体" w:cs="宋体"/>
          <w:color w:val="auto"/>
          <w:sz w:val="28"/>
          <w:szCs w:val="28"/>
          <w:highlight w:val="none"/>
          <w:lang w:val="en-US" w:eastAsia="zh-CN" w:bidi="ar-SA"/>
        </w:rPr>
        <w:t>常供应配送（SPD）服务，SPD服务涉及的范围包含：</w:t>
      </w:r>
      <w:r>
        <w:rPr>
          <w:rFonts w:hint="eastAsia" w:ascii="宋体" w:hAnsi="宋体" w:eastAsia="宋体" w:cs="宋体"/>
          <w:color w:val="auto"/>
          <w:sz w:val="28"/>
          <w:szCs w:val="28"/>
          <w:lang w:val="en-US" w:eastAsia="zh-CN" w:bidi="ar-SA"/>
        </w:rPr>
        <w:t>高低值医用耗材、检验试剂（具体要求详见第五章招标需求）。</w:t>
      </w:r>
    </w:p>
    <w:p>
      <w:pPr>
        <w:pStyle w:val="2"/>
        <w:numPr>
          <w:ilvl w:val="0"/>
          <w:numId w:val="2"/>
        </w:numPr>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项目要求</w:t>
      </w:r>
    </w:p>
    <w:p>
      <w:pPr>
        <w:pStyle w:val="3"/>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（一）项目基本要求</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在保证院内医用物资质量安全，保障科室消耗供给及时、安全等前提下，进行模式创新，提升院内物流管理形象和服务水平，与国际领先的医疗供应链管理模式接轨，外部实现协同商务、院内物流实现专业化分工，从而达到各方互利共赢，患者利益最大化，社会效益大力提升。为医改零差价政策下实现去医院物流管理成本，以及践行医改降低耗占比，提供一个优秀的、可落地的医用物资管理新模式。</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2.投标人要为招标人构建一套国内先进的医用耗材(包括高值、低值、检验试剂和办公用品等)智能化管理模式，有具体的管理办法、制度、标准流程，能够形成高效运营的管理体系。</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3.投标人要为招标人搭建一套满足医院实际管理需求的医用物资(包括高值、低值、检验试剂和办公用品等)智能化物流信息化管理平台，该平台能够与医院的HIS/HRP等系统实现无缝连接。</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投标人具备承担医院智能化中心库(院内中心库)建设设计规划的能力，并明确需要配置相应的信息及物流设施设备清单，使其能够满足智能化模式的有效运行(库房大小满足医院医用物资存储需求，具备电脑、打印机、移动PDA等系统终端设备及配套定制类货架、库内拣货车、周转箱、下送箱等物流作业工具)。</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投标人要具备医院各级消耗点(包括临床科室、手术室、介入室、消毒供应室等)的建设设计规划的能力，使其能够满足智能化模式的有效运行(二级库房内要配备移动PDA设备、按需要配置货架等，手术室、介入室按需要配置高值耗材智能柜等)。</w:t>
      </w:r>
    </w:p>
    <w:p>
      <w:pPr>
        <w:pStyle w:val="3"/>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（二）项目运营建设要求 </w:t>
      </w:r>
    </w:p>
    <w:p>
      <w:pPr>
        <w:spacing w:line="360" w:lineRule="auto"/>
        <w:ind w:firstLine="560" w:firstLineChars="200"/>
        <w:rPr>
          <w:rFonts w:hint="eastAsia" w:ascii="宋体" w:hAnsi="宋体" w:eastAsia="宋体" w:cs="宋体"/>
          <w:color w:val="auto"/>
          <w:sz w:val="28"/>
          <w:szCs w:val="28"/>
          <w:lang w:val="en-US" w:eastAsia="zh-CN" w:bidi="ar-SA"/>
        </w:rPr>
      </w:pPr>
      <w:bookmarkStart w:id="2" w:name="_Hlk168229236"/>
      <w:r>
        <w:rPr>
          <w:rFonts w:hint="eastAsia" w:ascii="宋体" w:hAnsi="宋体" w:eastAsia="宋体" w:cs="宋体"/>
          <w:color w:val="auto"/>
          <w:sz w:val="28"/>
          <w:szCs w:val="28"/>
          <w:lang w:val="en-US" w:eastAsia="zh-CN" w:bidi="ar-SA"/>
        </w:rPr>
        <w:t>1.建立覆盖供应商、临床使用科室、物资管理部门及相关的财务、医保、物价部门之间一体化的供应链管理平台，实现物资从科室提出需求到采购、入库、 配送出库、使用消耗的全过程管理；</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实现资质证照信息化管理，包括商品(包括注册证、备案凭证、每个批次的检验合格报告等)、企业(包括供应商、厂家、代理商等)；实现商品证照授权链管理，对过期证照有自动提醒及通知功能，对过期证照自动停用。</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实现院内重要物资的数量或成本管控管理，实现可收费材料的流程管理与不可收费材料的成本控制，实现可收费材料的流程化管理及领用消耗的关联、对不可收费材料提供科室管理及经费使用控制等手段，从科室领用申请源头即对不可收费材料进行成本的事前控制。对管控物资进行大数据分析，智能商业报表展现，红线预警；</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4.以服务临床一线为出发点对传统业务流程进行改造，实现对二级消耗点主动配送服务模式，保障二级消耗点供给安全，降低临床医护人员科室库存管理负担，解放临床医护人员，使其回归临床；</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实现医用耗材在院内全程追溯管理，实现高、低值耗材“一物一码”管理，实现高、低值耗材从采购计划发出、供应商送货、院方验收、领用使用、收费、结算等各个环节全程管理，并实现高值耗材的收费与使用病人相互关联，保障医疗安全；</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6.实现高值耗材智能化管理，系统可与智能柜等设备对接应用，实现科室库存物资在无人值守下的存取管理，打造高值耗材无人值守的管理模式，节约人力并提升整体应用层次；</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7.支持按病人定向采购的模式，手术申请时确定病人，后续需求审核、供应商准备、中心库验收、供应室消毒、手术室使用均关联病人，当前病人申请的材料不能应用于其他病人，规范管理并提高手术安全性；</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8.实现物资采购过程的全面电子化管理，给供应商搭建院外供采平台系统，与供应商之间建立内外网互通的平台，对院内物、款、票等线上化管理，减少订单的差错率，对整个订单流程可追溯，简化工作流程，提高工作效率；</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9.支持物资零资金库存管理、消耗后结算、单品种按科室及用量控制等管理，减少医院库存资金积压；通过定数补货机制实现医用物资的合理备货，保障临床使用；</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10.实现定数管理、库存上下限管理等新的管理模式，降低或杜绝科室医用物资的浪费；</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11.实现寄售类耗材消耗后结算的管理模式及高值耗材全流程追溯管理，包括患者追溯及上游供应商追溯，支持基于RFID技术的高值耗材智能柜集成管理；</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12. 实现批号效期管理，实现医用耗材全流程环节的批号效期管理，包括近效期预警、过效期报警；</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13.实现数据分析应用的长效机制，全面掌控医院运营中的每一个细节。通过丰富多样、直观清晰的统计图快速掌握全院各项经营指标，为院领导提供及时正确的决策依据，也有利于提高监控管理的执行效率。通过多角度多种指标的图表分析，对科室工作量、效率和质量不同层面的剖析，以便及时调整管理方式，促进各科室高效发展，掌握自身工作效率和工作质量，有效进行工作改善；</w:t>
      </w:r>
      <w:bookmarkEnd w:id="2"/>
      <w:r>
        <w:rPr>
          <w:rFonts w:hint="eastAsia" w:ascii="宋体" w:hAnsi="宋体" w:eastAsia="宋体" w:cs="宋体"/>
          <w:color w:val="auto"/>
          <w:sz w:val="28"/>
          <w:szCs w:val="28"/>
          <w:lang w:val="en-US" w:eastAsia="zh-CN" w:bidi="ar-SA"/>
        </w:rPr>
        <w:t xml:space="preserve"> </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14．提供标准接口，支持与院内系统(HIS、手麻系统等)，实现商品主档、采购单、配送单、结算、开票、发票、资质证照等数据的自动同步。</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15.实现结算数据管理，自动获取院内定期结算数据，并与发票自动关联，支持日、月、季度结算单据生成。</w:t>
      </w:r>
    </w:p>
    <w:p>
      <w:pPr>
        <w:pStyle w:val="3"/>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（三）信息系统建设要求</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3.1.软件系统支持二次开发，可按照医院的需求进行定制开发及优化，与其他系统的接口支持WebService等多种方式，支持实时和异步实现各系统间数据同步与互动，支持与技术开发无关的报表动态创建和查询；支持Oracle或Mysql数据库管理软件；</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2.4.支持对医院供应商进行资质证照和产品信息的电子化管理，构建医院统一的供应商、产品、生产厂家、代理商等标准主数据。</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3.3.支持PDA手持终端操作，实现PDA手持终端扫描数据与院内物流系统数据进行实时交互。</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3.4.系统基础模块支持自定义流程设计，可以按照不同的审批条件选择审批流程。</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3.5.支持基于微信公众号的消息通知平台，封装式开发，使软件更严谨，交互效率更高。</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3.6.实现高值耗材消耗后结算模式，医院做到零库存管理目标。医院与供应商按科室实际使用记账后的数量进行结算。</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3.7.使用容灾备份技术，基于数据分发、集中备份、数据恢复、业务高可用原理，支持双机热备及实时切换。</w:t>
      </w:r>
    </w:p>
    <w:p>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bidi="ar-SA"/>
        </w:rPr>
        <w:t>3.8.系统支持BI大屏设计，可生成BI报表。</w:t>
      </w:r>
    </w:p>
    <w:p>
      <w:pPr>
        <w:pStyle w:val="3"/>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（四）软件配置及技术参数</w:t>
      </w:r>
    </w:p>
    <w:p>
      <w:pPr>
        <w:keepNext/>
        <w:keepLines/>
        <w:pageBreakBefore w:val="0"/>
        <w:widowControl w:val="0"/>
        <w:suppressLineNumbers/>
        <w:shd w:val="clear" w:color="auto" w:fill="auto"/>
        <w:tabs>
          <w:tab w:val="left" w:pos="720"/>
        </w:tabs>
        <w:spacing w:before="313" w:after="313" w:line="360" w:lineRule="auto"/>
        <w:ind w:left="0" w:firstLine="0"/>
        <w:jc w:val="both"/>
        <w:outlineLvl w:val="3"/>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3.4.1供应商协同管理平台</w:t>
      </w:r>
    </w:p>
    <w:tbl>
      <w:tblPr>
        <w:tblStyle w:val="5"/>
        <w:tblW w:w="10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0"/>
        <w:gridCol w:w="1369"/>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both"/>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序号</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子功能</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架构和权限管理</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平台以B/S架构搭建，满足给各厂家、供应商、服务商、医院等提供对应的安全账号登录，自动校验账号数据过滤，查询需要的信息。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2</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统一编码和对照</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供应商各环节业务销售数据，实现通过统一商品编码映射，商品的生产厂家，企业可以通过平台实现产品一码溯源，查询全流程销售流向数据跟踪。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3</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供应商管理</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支持供应商管理，供应商可登录平台进行订单管理等业务操作，可登录供应商协同平台查询库存信息、消耗信息、结算信息等。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0"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4</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条码标签管理</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通过标签码/二维码进行一码溯源。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5</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数据授权和审批流定义</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支持商品、供应商等准入机制管理并支持设置对应数据过滤，支持服务商，医院等多方审批流程配置等。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6</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数据传输</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提供标准接口，支持与院内系统、供应链协同平台对接，实现商品主档、采购单、配送单、结算、开票、发票、资质证照等数据的自动同步。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7</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采购订单接收与处理</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支持采购单全流程管理，包括订单确认、订单配送、订单发货、订单收货、订单终结等；支持一次采购，多次配送；支持同一配送单、同一商品不同批号配送；支持配送单打印；支持平台根据院内需求进行赋码和打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8</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证照管理和预警</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支持资质证照管理，包括商品（包括注册证、备案凭证、每个批次的检验合格报告等）及企业（供应商、厂家、代理商、投标人等）资质证照采集、审核、维护管理；支持商品证照授权链管理，对过期证照有自动提醒及通知功能，对过期证照自动停用；支持基于证照的各种统计，包括证照审核进度报表、商品资质证（含企业资质证照）完整性审核统计等；支持采购配送维护时自动或手动关联商品注册证或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9</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发票制作功能</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供应商可以调取消耗信息进行登记发票信息，支持多张结算单开具一张发票，也可支持一张结算单开具多张发票。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10</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统计分析功能</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供应商配送效率；支持对一种或多种耗材按科室使用量查询统计、打印、导出等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11</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供应商评价</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支持供应商绩效评价。基于供应商配送时效、配送准确率、缺货率等数据进行在线考核。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12</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结算数据管理</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支持结算数据管理，按照日清月结方式处理医院与供应商之间的结算数据，支持结算数据账单与结账资料打印。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13</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权限管理</w:t>
            </w:r>
          </w:p>
        </w:tc>
        <w:tc>
          <w:tcPr>
            <w:tcW w:w="8280"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院方可以查看所有订单信息，供应商只能操作及查看自己的订单信息。</w:t>
            </w:r>
          </w:p>
        </w:tc>
      </w:tr>
    </w:tbl>
    <w:p>
      <w:pPr>
        <w:rPr>
          <w:rFonts w:hint="eastAsia" w:ascii="宋体" w:hAnsi="宋体" w:eastAsia="宋体" w:cs="宋体"/>
          <w:color w:val="auto"/>
          <w:sz w:val="28"/>
          <w:szCs w:val="28"/>
          <w:lang w:val="en-US" w:eastAsia="zh-CN" w:bidi="ar-SA"/>
        </w:rPr>
      </w:pPr>
    </w:p>
    <w:p>
      <w:pPr>
        <w:keepNext/>
        <w:keepLines/>
        <w:pageBreakBefore w:val="0"/>
        <w:widowControl w:val="0"/>
        <w:suppressLineNumbers/>
        <w:shd w:val="clear" w:color="auto" w:fill="auto"/>
        <w:tabs>
          <w:tab w:val="left" w:pos="720"/>
        </w:tabs>
        <w:spacing w:before="313" w:after="313" w:line="360" w:lineRule="auto"/>
        <w:ind w:left="0" w:firstLine="0"/>
        <w:jc w:val="both"/>
        <w:outlineLvl w:val="3"/>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3.4.2院内物流精细化管理平台</w:t>
      </w:r>
    </w:p>
    <w:p>
      <w:pPr>
        <w:keepNext/>
        <w:keepLines/>
        <w:pageBreakBefore w:val="0"/>
        <w:widowControl w:val="0"/>
        <w:suppressLineNumbers/>
        <w:shd w:val="clear" w:color="auto" w:fill="auto"/>
        <w:tabs>
          <w:tab w:val="left" w:pos="720"/>
        </w:tabs>
        <w:spacing w:before="313" w:after="313" w:line="360" w:lineRule="auto"/>
        <w:ind w:left="0" w:firstLine="0"/>
        <w:jc w:val="both"/>
        <w:outlineLvl w:val="3"/>
        <w:rPr>
          <w:rFonts w:hint="eastAsia" w:ascii="宋体" w:hAnsi="宋体" w:eastAsia="宋体" w:cs="宋体"/>
          <w:b/>
          <w:bCs/>
          <w:color w:val="auto"/>
          <w:sz w:val="28"/>
          <w:szCs w:val="28"/>
          <w:lang w:val="en-US" w:eastAsia="zh-CN" w:bidi="ar-SA"/>
        </w:rPr>
      </w:pPr>
      <w:bookmarkStart w:id="3" w:name="_Toc14241"/>
      <w:bookmarkStart w:id="4" w:name="_Toc21212"/>
      <w:r>
        <w:rPr>
          <w:rFonts w:hint="eastAsia" w:ascii="宋体" w:hAnsi="宋体" w:eastAsia="宋体" w:cs="宋体"/>
          <w:b/>
          <w:bCs/>
          <w:color w:val="auto"/>
          <w:sz w:val="28"/>
          <w:szCs w:val="28"/>
          <w:lang w:val="en-US" w:eastAsia="zh-CN" w:bidi="ar-SA"/>
        </w:rPr>
        <w:t>3.4.2.1中心库、二级库管理要求</w:t>
      </w:r>
      <w:bookmarkEnd w:id="3"/>
      <w:bookmarkEnd w:id="4"/>
    </w:p>
    <w:tbl>
      <w:tblPr>
        <w:tblStyle w:val="5"/>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973"/>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序号</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子功能</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医院物资信息</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zh-CN" w:eastAsia="zh-CN" w:bidi="ar-SA"/>
              </w:rPr>
              <w:t>充分与医院HIS系统对接，实现耗材编码、</w:t>
            </w:r>
            <w:r>
              <w:rPr>
                <w:rStyle w:val="7"/>
                <w:rFonts w:hint="eastAsia" w:ascii="宋体" w:hAnsi="宋体" w:eastAsia="宋体" w:cs="宋体"/>
                <w:color w:val="auto"/>
                <w:sz w:val="28"/>
                <w:szCs w:val="28"/>
                <w:lang w:val="en-US" w:eastAsia="zh-CN" w:bidi="ar-SA"/>
              </w:rPr>
              <w:t>省采</w:t>
            </w:r>
            <w:r>
              <w:rPr>
                <w:rStyle w:val="7"/>
                <w:rFonts w:hint="eastAsia" w:ascii="宋体" w:hAnsi="宋体" w:eastAsia="宋体" w:cs="宋体"/>
                <w:color w:val="auto"/>
                <w:sz w:val="28"/>
                <w:szCs w:val="28"/>
                <w:lang w:val="zh-CN" w:eastAsia="zh-CN" w:bidi="ar-SA"/>
              </w:rPr>
              <w:t>编码、供应商编码、库房编码、科室编码、职工编码、医疗项目编码、病种编码等各项信息的统一，实现耗材统一管理，在耗材全生命周期中达到“一物一码”，并具有实时追溯功能。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2</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证件管理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利用数字技术帮助医院实现医疗产品注册证、授权书、首营资料、</w:t>
            </w:r>
            <w:r>
              <w:rPr>
                <w:rFonts w:hint="eastAsia" w:ascii="宋体" w:hAnsi="宋体" w:eastAsia="宋体" w:cs="宋体"/>
                <w:color w:val="auto"/>
                <w:sz w:val="28"/>
                <w:szCs w:val="28"/>
                <w:lang w:val="en-US" w:eastAsia="zh-CN" w:bidi="ar-SA"/>
              </w:rPr>
              <w:t>每个批次的检验合格报告</w:t>
            </w:r>
            <w:r>
              <w:rPr>
                <w:rStyle w:val="7"/>
                <w:rFonts w:hint="eastAsia" w:ascii="宋体" w:hAnsi="宋体" w:eastAsia="宋体" w:cs="宋体"/>
                <w:color w:val="auto"/>
                <w:sz w:val="28"/>
                <w:szCs w:val="28"/>
                <w:lang w:val="en-US" w:eastAsia="zh-CN" w:bidi="ar-SA"/>
              </w:rPr>
              <w:t>的云管理，其中包含证件有效期预警，过期证件自动向供应商索取。证件电子化管理，回溯可查，帮助医院实现合规的无纸化证件管理体系，满足监管要求</w:t>
            </w:r>
            <w:r>
              <w:rPr>
                <w:rStyle w:val="7"/>
                <w:rFonts w:hint="eastAsia" w:ascii="宋体" w:hAnsi="宋体" w:cs="宋体"/>
                <w:color w:val="auto"/>
                <w:sz w:val="28"/>
                <w:szCs w:val="28"/>
                <w:lang w:val="en-US" w:eastAsia="zh-CN" w:bidi="ar-SA"/>
              </w:rPr>
              <w:t>。</w:t>
            </w:r>
            <w:r>
              <w:rPr>
                <w:rStyle w:val="7"/>
                <w:rFonts w:hint="eastAsia" w:ascii="宋体" w:hAnsi="宋体" w:eastAsia="宋体" w:cs="宋体"/>
                <w:color w:val="auto"/>
                <w:sz w:val="28"/>
                <w:szCs w:val="28"/>
                <w:lang w:val="en-US" w:eastAsia="zh-CN" w:bidi="ar-SA"/>
              </w:rPr>
              <w:t>（提供符合要求的系统截图证明）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3</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采购计划</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支持多方式生成采购计划，包括手工及自动采购计划生成、科室申领转采购等，审核（由医院方进行最终审核和确认）、自动按供应商拆分后发送，支持收货地址的维护和管理、订单退货管理。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4</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专科专用品管理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zh-CN" w:eastAsia="zh-CN" w:bidi="ar-SA"/>
              </w:rPr>
              <w:t>按照科室或者耗材进行专科专用配置，保证专科耗材只能由指定的科室进行使用，防止滥用</w:t>
            </w:r>
            <w:r>
              <w:rPr>
                <w:rStyle w:val="7"/>
                <w:rFonts w:hint="eastAsia" w:ascii="宋体" w:hAnsi="宋体" w:eastAsia="宋体" w:cs="宋体"/>
                <w:color w:val="auto"/>
                <w:sz w:val="28"/>
                <w:szCs w:val="28"/>
                <w:lang w:val="en-US" w:eastAsia="zh-CN" w:bidi="ar-SA"/>
              </w:rPr>
              <w:t>，</w:t>
            </w:r>
            <w:r>
              <w:rPr>
                <w:rStyle w:val="7"/>
                <w:rFonts w:hint="eastAsia" w:ascii="宋体" w:hAnsi="宋体" w:eastAsia="宋体" w:cs="宋体"/>
                <w:color w:val="auto"/>
                <w:sz w:val="28"/>
                <w:szCs w:val="28"/>
                <w:lang w:val="zh-CN" w:eastAsia="zh-CN" w:bidi="ar-SA"/>
              </w:rPr>
              <w:t>科室请领限额，系统可控制不同科室的请领额度，以更严格的控制科室成本消耗。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5</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合同管理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highlight w:val="none"/>
                <w:lang w:val="en-US" w:eastAsia="zh-CN" w:bidi="ar-SA"/>
              </w:rPr>
              <w:t>▲</w:t>
            </w:r>
            <w:r>
              <w:rPr>
                <w:rStyle w:val="7"/>
                <w:rFonts w:hint="eastAsia" w:ascii="宋体" w:hAnsi="宋体" w:eastAsia="宋体" w:cs="宋体"/>
                <w:color w:val="auto"/>
                <w:sz w:val="28"/>
                <w:szCs w:val="28"/>
                <w:lang w:val="en-US" w:eastAsia="zh-CN" w:bidi="ar-SA"/>
              </w:rPr>
              <w:t>用于供应商与医院的购销合同管理，可关联供应商产品，并记录合同完成情况。</w:t>
            </w:r>
          </w:p>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1.支持供应商线上推送合同。</w:t>
            </w:r>
          </w:p>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2.支持合同附件查看、存档、下载。（提供符合要求的系统截图证明）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6</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货位管理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zh-CN" w:eastAsia="zh-CN" w:bidi="ar-SA"/>
              </w:rPr>
              <w:t>针对每种规格的耗材配置库存货位，确定其存放的位置，支持多货位。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7</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调价管理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highlight w:val="none"/>
                <w:lang w:val="en-US" w:eastAsia="zh-CN" w:bidi="ar-SA"/>
              </w:rPr>
              <w:t>▲</w:t>
            </w:r>
            <w:r>
              <w:rPr>
                <w:rStyle w:val="7"/>
                <w:rFonts w:hint="eastAsia" w:ascii="宋体" w:hAnsi="宋体" w:eastAsia="宋体" w:cs="宋体"/>
                <w:color w:val="auto"/>
                <w:sz w:val="28"/>
                <w:szCs w:val="28"/>
                <w:lang w:val="en-US" w:eastAsia="zh-CN" w:bidi="ar-SA"/>
              </w:rPr>
              <w:t>支持定时调价，可按照设定的时间生效调价命令，也可以对当前库存进行调价。</w:t>
            </w:r>
            <w:r>
              <w:rPr>
                <w:rStyle w:val="7"/>
                <w:rFonts w:hint="eastAsia" w:ascii="宋体" w:hAnsi="宋体" w:eastAsia="宋体" w:cs="宋体"/>
                <w:color w:val="auto"/>
                <w:sz w:val="28"/>
                <w:szCs w:val="28"/>
                <w:lang w:val="zh-CN" w:eastAsia="zh-CN" w:bidi="ar-SA"/>
              </w:rPr>
              <w:t>（提供符合要求的系统截图证明）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8</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临采管理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zh-CN" w:eastAsia="zh-CN" w:bidi="ar-SA"/>
              </w:rPr>
            </w:pPr>
            <w:r>
              <w:rPr>
                <w:rFonts w:hint="eastAsia" w:ascii="宋体" w:hAnsi="宋体" w:eastAsia="宋体" w:cs="宋体"/>
                <w:color w:val="auto"/>
                <w:sz w:val="28"/>
                <w:szCs w:val="28"/>
                <w:lang w:val="en-US" w:eastAsia="zh-CN" w:bidi="ar-SA"/>
              </w:rPr>
              <w:t>支持医院物资科（相关科室）的临采申领，有完整的临采管控和执行流程。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9</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zh-CN" w:eastAsia="zh-CN" w:bidi="ar-SA"/>
              </w:rPr>
            </w:pPr>
            <w:r>
              <w:rPr>
                <w:rFonts w:hint="eastAsia" w:ascii="宋体" w:hAnsi="宋体" w:eastAsia="宋体" w:cs="宋体"/>
                <w:color w:val="auto"/>
                <w:sz w:val="28"/>
                <w:szCs w:val="28"/>
                <w:lang w:val="en-US" w:eastAsia="zh-CN" w:bidi="ar-SA"/>
              </w:rPr>
              <w:t>控费控量管理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lang w:val="en-US" w:eastAsia="zh-CN" w:bidi="ar-SA"/>
              </w:rPr>
              <w:t>特定物资要求支持控量管理，常规物资要求支持按科室定额管理。要求功能包括定额定量初始、定额定量调整，控制项目可以根据医院要求灵活设置。与科室请领整合，实现科室定额的实时控制。</w:t>
            </w:r>
          </w:p>
          <w:p>
            <w:pPr>
              <w:spacing w:line="360" w:lineRule="auto"/>
              <w:rPr>
                <w:rStyle w:val="7"/>
                <w:rFonts w:hint="eastAsia" w:ascii="宋体" w:hAnsi="宋体" w:eastAsia="宋体" w:cs="宋体"/>
                <w:color w:val="auto"/>
                <w:sz w:val="28"/>
                <w:szCs w:val="28"/>
                <w:lang w:val="zh-CN" w:eastAsia="zh-CN" w:bidi="ar-SA"/>
              </w:rPr>
            </w:pPr>
            <w:r>
              <w:rPr>
                <w:rStyle w:val="7"/>
                <w:rFonts w:hint="eastAsia" w:ascii="宋体" w:hAnsi="宋体" w:eastAsia="宋体" w:cs="宋体"/>
                <w:color w:val="auto"/>
                <w:sz w:val="28"/>
                <w:szCs w:val="28"/>
                <w:lang w:val="en-US" w:eastAsia="zh-CN" w:bidi="ar-SA"/>
              </w:rPr>
              <w:t>（提供符合要求的系统截图证明）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10</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消息通知</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lang w:val="en-US" w:eastAsia="zh-CN" w:bidi="ar-SA"/>
              </w:rPr>
              <w:t>支持各类信息的微信通知、物流各节点展示和管控，方便供应管理节点控制和事务处理，应急管理与反馈，包括订单通知、节点控制通知、证照过期通知、结算信息通知、服务费缴纳通知等</w:t>
            </w:r>
          </w:p>
          <w:p>
            <w:pPr>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（提供符合要求的系统截图证明及供应链微信服务软件著作权证书）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tabs>
                <w:tab w:val="left" w:pos="426"/>
              </w:tabs>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11</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公告管理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支持医院向供应商发公告通知，在平台端进行展现和发布；支持编辑标题、内容、摘要；并且支持选择消息、通告类型，以及文字格式编辑，包括字体、段落、格式。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12</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字典分类管理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zh-CN" w:eastAsia="zh-CN" w:bidi="ar-SA"/>
              </w:rPr>
            </w:pPr>
            <w:r>
              <w:rPr>
                <w:rFonts w:hint="eastAsia" w:ascii="宋体" w:hAnsi="宋体" w:eastAsia="宋体" w:cs="宋体"/>
                <w:color w:val="auto"/>
                <w:sz w:val="28"/>
                <w:szCs w:val="28"/>
                <w:highlight w:val="none"/>
                <w:lang w:val="en-US" w:eastAsia="zh-CN" w:bidi="ar-SA"/>
              </w:rPr>
              <w:t>支持物资字典分类管理，可以根据疾病、医保、手术、供应商等进行字典分类多供应商管理，采购时可灵活切换二级供应商管理，满足院内继配供应商统计需求多单位管理，满足不同用户不同的喜好单位需求字典变更修改记录，记录字典的修改记录，方便追溯信息，伴随服务费类字典，适应医保结算变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13</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追溯管理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zh-CN" w:eastAsia="zh-CN" w:bidi="ar-SA"/>
              </w:rPr>
            </w:pPr>
            <w:r>
              <w:rPr>
                <w:rFonts w:hint="eastAsia" w:ascii="宋体" w:hAnsi="宋体" w:eastAsia="宋体" w:cs="宋体"/>
                <w:color w:val="auto"/>
                <w:sz w:val="28"/>
                <w:szCs w:val="28"/>
                <w:lang w:val="en-US" w:eastAsia="zh-CN" w:bidi="ar-SA"/>
              </w:rPr>
              <w:t>支持院内唯一码追溯管理。通过院内唯一码管理，实现医用耗材全流通环节的监控，同时实现医用物资院内、院外追溯管理。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14</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both"/>
              <w:rPr>
                <w:rStyle w:val="7"/>
                <w:rFonts w:hint="eastAsia" w:ascii="宋体" w:hAnsi="宋体" w:eastAsia="宋体" w:cs="宋体"/>
                <w:color w:val="auto"/>
                <w:sz w:val="28"/>
                <w:szCs w:val="28"/>
                <w:lang w:val="zh-CN" w:eastAsia="zh-CN" w:bidi="ar-SA"/>
              </w:rPr>
            </w:pPr>
            <w:r>
              <w:rPr>
                <w:rFonts w:hint="eastAsia" w:ascii="宋体" w:hAnsi="宋体" w:eastAsia="宋体" w:cs="宋体"/>
                <w:color w:val="auto"/>
                <w:sz w:val="28"/>
                <w:szCs w:val="28"/>
                <w:lang w:val="en-US" w:eastAsia="zh-CN" w:bidi="ar-SA"/>
              </w:rPr>
              <w:t>批号效期管理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zh-CN" w:eastAsia="zh-CN" w:bidi="ar-SA"/>
              </w:rPr>
            </w:pPr>
            <w:r>
              <w:rPr>
                <w:rFonts w:hint="eastAsia" w:ascii="宋体" w:hAnsi="宋体" w:eastAsia="宋体" w:cs="宋体"/>
                <w:color w:val="auto"/>
                <w:sz w:val="28"/>
                <w:szCs w:val="28"/>
                <w:lang w:val="en-US" w:eastAsia="zh-CN" w:bidi="ar-SA"/>
              </w:rPr>
              <w:t>支持批号效期管理，实现医用耗材全流程环节的批号效期管理，包括近效期预警、过效期报警，支持单品效期预警周期的单独维护。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15</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带量采购分析</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根据管理要求，对带量采购耗材进行管理，对带量采购完成数量、完成率进行统计。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 xml:space="preserve"> 16</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供应商考评管理</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系统可以根据供货能力、产品质量，售后服务等维度对供应商进行综合评分。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17</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自定义流程</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lang w:val="en-US" w:eastAsia="zh-CN" w:bidi="ar-SA"/>
              </w:rPr>
              <w:t>支持流程管理，要求可根据不同科室配置不同流程；支持采购、验收、入库、出库等环节流程定制化配置，通过科室、仓库、审核人自由组合形成符合多种复杂运营环境下的自定义流程。</w:t>
            </w:r>
          </w:p>
          <w:p>
            <w:pPr>
              <w:spacing w:line="360" w:lineRule="auto"/>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（提供符合要求的系统实操视频证明材料）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en-US" w:eastAsia="zh-CN" w:bidi="ar-SA"/>
              </w:rPr>
            </w:pPr>
            <w:r>
              <w:rPr>
                <w:rStyle w:val="7"/>
                <w:rFonts w:hint="eastAsia" w:ascii="宋体" w:hAnsi="宋体" w:eastAsia="宋体" w:cs="宋体"/>
                <w:color w:val="auto"/>
                <w:sz w:val="28"/>
                <w:szCs w:val="28"/>
                <w:lang w:val="en-US" w:eastAsia="zh-CN" w:bidi="ar-SA"/>
              </w:rPr>
              <w:t>18</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Style w:val="7"/>
                <w:rFonts w:hint="eastAsia" w:ascii="宋体" w:hAnsi="宋体" w:eastAsia="宋体" w:cs="宋体"/>
                <w:color w:val="auto"/>
                <w:sz w:val="28"/>
                <w:szCs w:val="28"/>
                <w:lang w:val="zh-CN" w:eastAsia="zh-CN" w:bidi="ar-SA"/>
              </w:rPr>
            </w:pPr>
            <w:r>
              <w:rPr>
                <w:rStyle w:val="7"/>
                <w:rFonts w:hint="eastAsia" w:ascii="宋体" w:hAnsi="宋体" w:eastAsia="宋体" w:cs="宋体"/>
                <w:color w:val="auto"/>
                <w:sz w:val="28"/>
                <w:szCs w:val="28"/>
                <w:lang w:val="zh-CN" w:eastAsia="zh-CN" w:bidi="ar-SA"/>
              </w:rPr>
              <w:t>接口设置</w:t>
            </w:r>
          </w:p>
        </w:tc>
        <w:tc>
          <w:tcPr>
            <w:tcW w:w="840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Style w:val="7"/>
                <w:rFonts w:hint="eastAsia" w:ascii="宋体" w:hAnsi="宋体" w:eastAsia="宋体" w:cs="宋体"/>
                <w:color w:val="auto"/>
                <w:sz w:val="28"/>
                <w:szCs w:val="28"/>
                <w:lang w:val="zh-CN" w:eastAsia="zh-CN" w:bidi="ar-SA"/>
              </w:rPr>
            </w:pPr>
            <w:r>
              <w:rPr>
                <w:rStyle w:val="7"/>
                <w:rFonts w:hint="eastAsia" w:ascii="宋体" w:hAnsi="宋体" w:eastAsia="宋体" w:cs="宋体"/>
                <w:color w:val="auto"/>
                <w:sz w:val="28"/>
                <w:szCs w:val="28"/>
                <w:lang w:val="zh-CN" w:eastAsia="zh-CN" w:bidi="ar-SA"/>
              </w:rPr>
              <w:t>系统需支持对医院其他相关信息系统的对接，并通过接口配置的方式实现接口的灵活对接，方便管理不同第三方系统的接入信息管理。</w:t>
            </w:r>
          </w:p>
        </w:tc>
      </w:tr>
    </w:tbl>
    <w:p>
      <w:pPr>
        <w:rPr>
          <w:rFonts w:hint="eastAsia" w:ascii="宋体" w:hAnsi="宋体" w:eastAsia="宋体" w:cs="宋体"/>
          <w:color w:val="auto"/>
          <w:sz w:val="28"/>
          <w:szCs w:val="28"/>
          <w:lang w:val="en-US" w:eastAsia="zh-CN" w:bidi="ar-SA"/>
        </w:rPr>
      </w:pPr>
    </w:p>
    <w:p>
      <w:pPr>
        <w:keepNext/>
        <w:keepLines/>
        <w:pageBreakBefore w:val="0"/>
        <w:widowControl w:val="0"/>
        <w:suppressLineNumbers/>
        <w:shd w:val="clear" w:color="auto" w:fill="auto"/>
        <w:tabs>
          <w:tab w:val="left" w:pos="720"/>
        </w:tabs>
        <w:spacing w:before="313" w:after="313" w:line="360" w:lineRule="auto"/>
        <w:ind w:left="0" w:firstLine="0"/>
        <w:jc w:val="both"/>
        <w:outlineLvl w:val="3"/>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3.4.2.2</w:t>
      </w:r>
      <w:bookmarkStart w:id="5" w:name="_Toc32407"/>
      <w:bookmarkStart w:id="6" w:name="_Toc27940"/>
      <w:r>
        <w:rPr>
          <w:rFonts w:hint="eastAsia" w:ascii="宋体" w:hAnsi="宋体" w:eastAsia="宋体" w:cs="宋体"/>
          <w:b/>
          <w:bCs/>
          <w:color w:val="auto"/>
          <w:sz w:val="28"/>
          <w:szCs w:val="28"/>
          <w:lang w:val="en-US" w:eastAsia="zh-CN" w:bidi="ar-SA"/>
        </w:rPr>
        <w:t>低值耗材管理要求</w:t>
      </w:r>
      <w:bookmarkEnd w:id="5"/>
      <w:bookmarkEnd w:id="6"/>
    </w:p>
    <w:tbl>
      <w:tblPr>
        <w:tblStyle w:val="5"/>
        <w:tblW w:w="9637"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1763"/>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序号</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子功能</w:t>
            </w:r>
          </w:p>
        </w:tc>
        <w:tc>
          <w:tcPr>
            <w:tcW w:w="721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1</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Fonts w:hint="eastAsia" w:ascii="宋体" w:hAnsi="宋体" w:eastAsia="宋体" w:cs="宋体"/>
                <w:color w:val="auto"/>
                <w:sz w:val="28"/>
                <w:szCs w:val="28"/>
                <w:lang w:val="en-US" w:eastAsia="zh-CN" w:bidi="ar-SA"/>
              </w:rPr>
              <w:t>单品种管理</w:t>
            </w:r>
          </w:p>
        </w:tc>
        <w:tc>
          <w:tcPr>
            <w:tcW w:w="7212" w:type="dxa"/>
            <w:noWrap/>
            <w:vAlign w:val="center"/>
          </w:tcPr>
          <w:p>
            <w:pPr>
              <w:widowControl/>
              <w:jc w:val="left"/>
              <w:rPr>
                <w:rStyle w:val="7"/>
                <w:rFonts w:hint="eastAsia" w:ascii="宋体" w:hAnsi="宋体" w:eastAsia="宋体" w:cs="宋体"/>
                <w:bCs/>
                <w:color w:val="auto"/>
                <w:sz w:val="28"/>
                <w:szCs w:val="28"/>
                <w:lang w:val="en-US" w:eastAsia="zh-CN" w:bidi="ar-SA"/>
              </w:rPr>
            </w:pPr>
            <w:r>
              <w:rPr>
                <w:rFonts w:hint="eastAsia" w:ascii="宋体" w:hAnsi="宋体" w:eastAsia="宋体" w:cs="宋体"/>
                <w:color w:val="auto"/>
                <w:sz w:val="28"/>
                <w:szCs w:val="28"/>
                <w:lang w:val="en-US" w:eastAsia="zh-CN" w:bidi="ar-SA"/>
              </w:rPr>
              <w:t>支持科室单独品种管理，临床科室或者设备科/医工部维护科室专用、通用耗材品种；支持科室耗材额及限量管理，可针对特殊品种进行限制申领管理。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2</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定数包管理</w:t>
            </w:r>
          </w:p>
        </w:tc>
        <w:tc>
          <w:tcPr>
            <w:tcW w:w="7212" w:type="dxa"/>
            <w:noWrap/>
            <w:vAlign w:val="center"/>
          </w:tcPr>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支持科室定数包管理，即低值耗材的定数包多种包装内含数的管理，不同的科室，定数包内含数及定数可根据科室实际情况进行设计和制定。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3</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常规业务管理</w:t>
            </w:r>
          </w:p>
        </w:tc>
        <w:tc>
          <w:tcPr>
            <w:tcW w:w="7212" w:type="dxa"/>
            <w:noWrap/>
            <w:vAlign w:val="center"/>
          </w:tcPr>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支持科室低值常规业务管理，包括申领（周期申领及紧急情况下的申领）、审核、退货、库存查询等基本功能；提供PDA盘点功能，支持盘点数据的断点传输；支持科室耗材主动配送、扫码验收、扫码消耗等。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4</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调拨管理</w:t>
            </w:r>
          </w:p>
        </w:tc>
        <w:tc>
          <w:tcPr>
            <w:tcW w:w="7212" w:type="dxa"/>
            <w:noWrap/>
            <w:vAlign w:val="center"/>
          </w:tcPr>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支持耗材调拨，实现不同科室间的低值耗材的借调及使用，并保留调拨轨迹。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5</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证照预警管理</w:t>
            </w:r>
          </w:p>
        </w:tc>
        <w:tc>
          <w:tcPr>
            <w:tcW w:w="7212" w:type="dxa"/>
            <w:noWrap/>
            <w:vAlign w:val="center"/>
          </w:tcPr>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支持收货验收、定数包生产、定数包消耗时电子证照自动对比与预警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6</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科室三级库管理</w:t>
            </w:r>
          </w:p>
        </w:tc>
        <w:tc>
          <w:tcPr>
            <w:tcW w:w="7212" w:type="dxa"/>
            <w:noWrap/>
            <w:vAlign w:val="center"/>
          </w:tcPr>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支持科室对三级库设备进行管理、对低值领用消耗及库存管理进行明细查看，根据三级库库存生成科室三级库月度消耗数据报表，包含实际耗材与系统耗材数量差异率分析。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7</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门诊二级库管理</w:t>
            </w:r>
          </w:p>
        </w:tc>
        <w:tc>
          <w:tcPr>
            <w:tcW w:w="7212" w:type="dxa"/>
            <w:noWrap/>
            <w:vAlign w:val="center"/>
          </w:tcPr>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支持门诊耗材归集管理，统一发料至指定地点，作为二级库进销管理。</w:t>
            </w:r>
          </w:p>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支持凭医嘱缴费单扫码领用门诊耗材，根据库存上下限自动生成备货计划。</w:t>
            </w:r>
          </w:p>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支持接收医嘱开单信息，扫码发料后，库存信息回传HIS系统。</w:t>
            </w:r>
          </w:p>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支持耗材管理系统库存与医嘱收费信息比对分析。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8</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HIS计费对接</w:t>
            </w:r>
          </w:p>
        </w:tc>
        <w:tc>
          <w:tcPr>
            <w:tcW w:w="7212" w:type="dxa"/>
            <w:noWrap/>
            <w:vAlign w:val="center"/>
          </w:tcPr>
          <w:p>
            <w:pPr>
              <w:shd w:val="clear" w:color="auto" w:fill="auto"/>
              <w:tabs>
                <w:tab w:val="left" w:pos="426"/>
              </w:tabs>
              <w:spacing w:line="360" w:lineRule="auto"/>
              <w:jc w:val="left"/>
              <w:rPr>
                <w:rStyle w:val="7"/>
                <w:rFonts w:hint="eastAsia" w:ascii="宋体" w:hAnsi="宋体" w:eastAsia="宋体" w:cs="宋体"/>
                <w:bCs/>
                <w:color w:val="auto"/>
                <w:sz w:val="28"/>
                <w:szCs w:val="28"/>
                <w:lang w:eastAsia="zh-CN" w:bidi="ar-SA"/>
              </w:rPr>
            </w:pPr>
            <w:r>
              <w:rPr>
                <w:rStyle w:val="7"/>
                <w:rFonts w:hint="eastAsia" w:ascii="宋体" w:hAnsi="宋体" w:eastAsia="宋体" w:cs="宋体"/>
                <w:bCs/>
                <w:color w:val="auto"/>
                <w:sz w:val="28"/>
                <w:szCs w:val="28"/>
                <w:lang w:val="en-US" w:eastAsia="zh-CN" w:bidi="ar-SA"/>
              </w:rPr>
              <w:t>低值非收费耗材管理方式需与HIS系统计费项目或医嘱关联，满足病人计费与</w:t>
            </w:r>
            <w:r>
              <w:rPr>
                <w:rStyle w:val="7"/>
                <w:rFonts w:hint="eastAsia" w:ascii="宋体" w:hAnsi="宋体" w:eastAsia="宋体" w:cs="宋体"/>
                <w:bCs/>
                <w:color w:val="auto"/>
                <w:sz w:val="28"/>
                <w:szCs w:val="28"/>
                <w:lang w:eastAsia="zh-CN" w:bidi="ar-SA"/>
              </w:rPr>
              <w:t>耗材库存扣减相关联，满足三级库管理要求。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ind w:left="210" w:leftChars="0"/>
              <w:rPr>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9</w:t>
            </w:r>
          </w:p>
        </w:tc>
        <w:tc>
          <w:tcPr>
            <w:tcW w:w="1763" w:type="dxa"/>
            <w:noWrap/>
            <w:vAlign w:val="center"/>
          </w:tcPr>
          <w:p>
            <w:pPr>
              <w:shd w:val="clear" w:color="auto" w:fill="auto"/>
              <w:tabs>
                <w:tab w:val="left" w:pos="426"/>
              </w:tabs>
              <w:spacing w:line="360" w:lineRule="auto"/>
              <w:rPr>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报损/报溢管理</w:t>
            </w:r>
          </w:p>
        </w:tc>
        <w:tc>
          <w:tcPr>
            <w:tcW w:w="7212" w:type="dxa"/>
            <w:noWrap/>
            <w:vAlign w:val="center"/>
          </w:tcPr>
          <w:p>
            <w:pPr>
              <w:shd w:val="clear" w:color="auto" w:fill="auto"/>
              <w:tabs>
                <w:tab w:val="left" w:pos="426"/>
              </w:tabs>
              <w:spacing w:line="360" w:lineRule="auto"/>
              <w:rPr>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支持完成报损/报溢流程。</w:t>
            </w:r>
          </w:p>
        </w:tc>
      </w:tr>
    </w:tbl>
    <w:p>
      <w:pPr>
        <w:keepNext/>
        <w:keepLines/>
        <w:pageBreakBefore w:val="0"/>
        <w:widowControl w:val="0"/>
        <w:suppressLineNumbers/>
        <w:shd w:val="clear" w:color="auto" w:fill="auto"/>
        <w:tabs>
          <w:tab w:val="left" w:pos="720"/>
        </w:tabs>
        <w:spacing w:before="313" w:after="313" w:line="360" w:lineRule="auto"/>
        <w:ind w:left="0" w:firstLine="0"/>
        <w:jc w:val="both"/>
        <w:outlineLvl w:val="3"/>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3.4.2.3后勤物资管理要求</w:t>
      </w:r>
    </w:p>
    <w:tbl>
      <w:tblPr>
        <w:tblStyle w:val="5"/>
        <w:tblW w:w="9637"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1585"/>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序号</w:t>
            </w:r>
          </w:p>
        </w:tc>
        <w:tc>
          <w:tcPr>
            <w:tcW w:w="1585"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子功能</w:t>
            </w:r>
          </w:p>
        </w:tc>
        <w:tc>
          <w:tcPr>
            <w:tcW w:w="7390"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1</w:t>
            </w:r>
          </w:p>
        </w:tc>
        <w:tc>
          <w:tcPr>
            <w:tcW w:w="1585"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产品资料管理</w:t>
            </w:r>
          </w:p>
        </w:tc>
        <w:tc>
          <w:tcPr>
            <w:tcW w:w="7390"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全面记录产品信息，可以在系统内查看到产品的基本信息、主供应商、采购明细、出库明细、库存情况（各项信息的查看权限和查看范围受权限控制）。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2</w:t>
            </w:r>
          </w:p>
        </w:tc>
        <w:tc>
          <w:tcPr>
            <w:tcW w:w="1585" w:type="dxa"/>
            <w:noWrap/>
            <w:vAlign w:val="center"/>
          </w:tcPr>
          <w:p>
            <w:pPr>
              <w:shd w:val="clear" w:color="auto" w:fill="auto"/>
              <w:tabs>
                <w:tab w:val="left" w:pos="426"/>
              </w:tabs>
              <w:spacing w:line="360" w:lineRule="auto"/>
              <w:jc w:val="both"/>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常规业务管理</w:t>
            </w:r>
          </w:p>
        </w:tc>
        <w:tc>
          <w:tcPr>
            <w:tcW w:w="7390" w:type="dxa"/>
            <w:noWrap/>
            <w:vAlign w:val="center"/>
          </w:tcPr>
          <w:p>
            <w:pPr>
              <w:shd w:val="clear" w:color="auto" w:fill="auto"/>
              <w:tabs>
                <w:tab w:val="left" w:pos="426"/>
              </w:tabs>
              <w:spacing w:line="360" w:lineRule="auto"/>
              <w:jc w:val="left"/>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支持科室后勤物资常规业务管理，包括申领、审核、退货、库存查询等基本功能；提供PDA盘点功能，支持盘点数据的断点传输；支持科室耗材主动配送。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3</w:t>
            </w:r>
          </w:p>
        </w:tc>
        <w:tc>
          <w:tcPr>
            <w:tcW w:w="1585"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入库管理</w:t>
            </w:r>
          </w:p>
        </w:tc>
        <w:tc>
          <w:tcPr>
            <w:tcW w:w="7390"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入库申请与审批，支持扫码入库，可以逐一或批量设置入库产品的生产批号和序列号，可以逐一或批量设置入库产品的生产期和有效期，分为直接入库、采购入库、退货入库、调拨入库等多种入库类别。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4</w:t>
            </w:r>
          </w:p>
        </w:tc>
        <w:tc>
          <w:tcPr>
            <w:tcW w:w="1585"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出库管理</w:t>
            </w:r>
          </w:p>
        </w:tc>
        <w:tc>
          <w:tcPr>
            <w:tcW w:w="7390"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申领出库申请与审批、可以随机出库，也可以按照批次、序列号或保质期指定产品出库、自动显示产品库存信息、分为直接出库、调拨出库等多种出库类别、支持批量确认出库。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5</w:t>
            </w:r>
          </w:p>
        </w:tc>
        <w:tc>
          <w:tcPr>
            <w:tcW w:w="1585"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库存统计分析</w:t>
            </w:r>
          </w:p>
        </w:tc>
        <w:tc>
          <w:tcPr>
            <w:tcW w:w="7390"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支持产品库存汇总、明细模式统计 ；支持库存变动汇总、明细模式统计分析；支持入库、出库、调拨等统计。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ind w:left="210" w:leftChars="0"/>
              <w:rPr>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6</w:t>
            </w:r>
          </w:p>
        </w:tc>
        <w:tc>
          <w:tcPr>
            <w:tcW w:w="1585" w:type="dxa"/>
            <w:noWrap/>
            <w:vAlign w:val="center"/>
          </w:tcPr>
          <w:p>
            <w:pPr>
              <w:shd w:val="clear" w:color="auto" w:fill="auto"/>
              <w:tabs>
                <w:tab w:val="left" w:pos="426"/>
              </w:tabs>
              <w:spacing w:line="360" w:lineRule="auto"/>
              <w:rPr>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报损/报溢管理</w:t>
            </w:r>
          </w:p>
        </w:tc>
        <w:tc>
          <w:tcPr>
            <w:tcW w:w="7390" w:type="dxa"/>
            <w:noWrap/>
            <w:vAlign w:val="center"/>
          </w:tcPr>
          <w:p>
            <w:pPr>
              <w:shd w:val="clear" w:color="auto" w:fill="auto"/>
              <w:tabs>
                <w:tab w:val="left" w:pos="426"/>
              </w:tabs>
              <w:spacing w:line="360" w:lineRule="auto"/>
              <w:rPr>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支持完成报损/报溢流程。</w:t>
            </w:r>
          </w:p>
        </w:tc>
      </w:tr>
    </w:tbl>
    <w:p>
      <w:pPr>
        <w:rPr>
          <w:rFonts w:hint="eastAsia" w:ascii="宋体" w:hAnsi="宋体" w:eastAsia="宋体" w:cs="宋体"/>
          <w:color w:val="auto"/>
          <w:sz w:val="28"/>
          <w:szCs w:val="28"/>
          <w:lang w:val="en-US" w:eastAsia="zh-CN" w:bidi="ar-SA"/>
        </w:rPr>
      </w:pPr>
    </w:p>
    <w:p>
      <w:pPr>
        <w:keepNext/>
        <w:keepLines/>
        <w:pageBreakBefore w:val="0"/>
        <w:widowControl w:val="0"/>
        <w:suppressLineNumbers/>
        <w:shd w:val="clear" w:color="auto" w:fill="auto"/>
        <w:tabs>
          <w:tab w:val="left" w:pos="720"/>
        </w:tabs>
        <w:spacing w:before="313" w:after="313" w:line="360" w:lineRule="auto"/>
        <w:ind w:left="0" w:firstLine="0"/>
        <w:jc w:val="both"/>
        <w:outlineLvl w:val="3"/>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3.4.2.</w:t>
      </w:r>
      <w:bookmarkStart w:id="7" w:name="_Toc31522"/>
      <w:bookmarkStart w:id="8" w:name="_Toc29055"/>
      <w:r>
        <w:rPr>
          <w:rFonts w:hint="eastAsia" w:ascii="宋体" w:hAnsi="宋体" w:eastAsia="宋体" w:cs="宋体"/>
          <w:b/>
          <w:bCs/>
          <w:color w:val="auto"/>
          <w:sz w:val="28"/>
          <w:szCs w:val="28"/>
          <w:lang w:val="en-US" w:eastAsia="zh-CN" w:bidi="ar-SA"/>
        </w:rPr>
        <w:t>4高值耗材管理要求</w:t>
      </w:r>
      <w:bookmarkEnd w:id="7"/>
      <w:bookmarkEnd w:id="8"/>
    </w:p>
    <w:tbl>
      <w:tblPr>
        <w:tblStyle w:val="5"/>
        <w:tblW w:w="9637"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1763"/>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序号</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子功能</w:t>
            </w:r>
          </w:p>
        </w:tc>
        <w:tc>
          <w:tcPr>
            <w:tcW w:w="721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1</w:t>
            </w:r>
          </w:p>
        </w:tc>
        <w:tc>
          <w:tcPr>
            <w:tcW w:w="1763"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手术采购管理</w:t>
            </w:r>
          </w:p>
        </w:tc>
        <w:tc>
          <w:tcPr>
            <w:tcW w:w="7212"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000000" w:themeColor="text1"/>
                <w:sz w:val="28"/>
                <w:szCs w:val="28"/>
                <w:lang w:val="en-US" w:eastAsia="zh-CN" w:bidi="ar-SA"/>
                <w14:textFill>
                  <w14:solidFill>
                    <w14:schemeClr w14:val="tx1"/>
                  </w14:solidFill>
                </w14:textFill>
              </w:rPr>
              <w:t>支持手术室发起采购申请，通过审核后由医院按照采购流程实施采购，并能实时查询采购进度。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2</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手术组套管理</w:t>
            </w:r>
          </w:p>
        </w:tc>
        <w:tc>
          <w:tcPr>
            <w:tcW w:w="7212"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支持手术申请单申请。</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支持手术申请单在线审核。</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支持手术申请单扫码验收、扫码接收。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3</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寄售类库存管理</w:t>
            </w:r>
          </w:p>
        </w:tc>
        <w:tc>
          <w:tcPr>
            <w:tcW w:w="7212"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支持科室库存设置和管控。</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支持院内退货管理。</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支持PDA动态盘点。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4</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清台及退回管理</w:t>
            </w:r>
          </w:p>
        </w:tc>
        <w:tc>
          <w:tcPr>
            <w:tcW w:w="7212"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支持骨科耗材的快速清台及回退操作。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5</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跟台手术管理</w:t>
            </w:r>
          </w:p>
        </w:tc>
        <w:tc>
          <w:tcPr>
            <w:tcW w:w="7212" w:type="dxa"/>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支持骨科跟台耗材的管理，1个手术包可包含多个耗材，并可自行维护。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6</w:t>
            </w:r>
          </w:p>
        </w:tc>
        <w:tc>
          <w:tcPr>
            <w:tcW w:w="1763"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Fonts w:hint="eastAsia" w:ascii="宋体" w:hAnsi="宋体" w:eastAsia="宋体" w:cs="宋体"/>
                <w:color w:val="auto"/>
                <w:sz w:val="28"/>
                <w:szCs w:val="28"/>
                <w:lang w:val="en-US" w:eastAsia="zh-CN" w:bidi="ar-SA"/>
              </w:rPr>
              <w:t>UDI码管理</w:t>
            </w:r>
          </w:p>
        </w:tc>
        <w:tc>
          <w:tcPr>
            <w:tcW w:w="7212" w:type="dxa"/>
            <w:noWrap/>
            <w:vAlign w:val="center"/>
          </w:tcPr>
          <w:p>
            <w:pPr>
              <w:shd w:val="clear" w:color="auto" w:fill="auto"/>
              <w:tabs>
                <w:tab w:val="left" w:pos="426"/>
              </w:tabs>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lang w:val="en-US" w:eastAsia="zh-CN" w:bidi="ar-SA"/>
              </w:rPr>
              <w:t>支持基于UDI码的高值耗材扫码验收，并支持基于UDI码的院内从采购入库、制标到终端患者使用的全流程追溯管理。</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Fonts w:hint="eastAsia" w:ascii="宋体" w:hAnsi="宋体" w:eastAsia="宋体" w:cs="宋体"/>
                <w:color w:val="auto"/>
                <w:sz w:val="28"/>
                <w:szCs w:val="28"/>
                <w:lang w:val="en-US" w:eastAsia="zh-CN" w:bidi="ar-SA"/>
              </w:rPr>
              <w:t>（需提供UDI识别、解析或服务平台的软件著作权、提供与国家UDI数据库对接的证明材料）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7</w:t>
            </w:r>
          </w:p>
        </w:tc>
        <w:tc>
          <w:tcPr>
            <w:tcW w:w="1763" w:type="dxa"/>
            <w:noWrap/>
            <w:vAlign w:val="center"/>
          </w:tcPr>
          <w:p>
            <w:pPr>
              <w:shd w:val="clear" w:color="auto" w:fill="auto"/>
              <w:tabs>
                <w:tab w:val="left" w:pos="426"/>
              </w:tabs>
              <w:spacing w:line="360" w:lineRule="auto"/>
              <w:jc w:val="center"/>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关联计费</w:t>
            </w:r>
          </w:p>
        </w:tc>
        <w:tc>
          <w:tcPr>
            <w:tcW w:w="7212" w:type="dxa"/>
            <w:noWrap/>
            <w:vAlign w:val="center"/>
          </w:tcPr>
          <w:p>
            <w:pPr>
              <w:shd w:val="clear" w:color="auto" w:fill="auto"/>
              <w:tabs>
                <w:tab w:val="left" w:pos="426"/>
              </w:tabs>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lang w:val="en-US" w:eastAsia="zh-CN" w:bidi="ar-SA"/>
              </w:rPr>
              <w:t>支持HIS端扫码计费，通过SPD与HIS标准接口，完成患者信息、手术信息、手术排程信息、高值耗材手术绑定、高值耗材计费等数据同步，实现高值耗材使用、计费、患者关联等数据关联、追溯</w:t>
            </w:r>
            <w:r>
              <w:rPr>
                <w:rFonts w:hint="eastAsia" w:ascii="宋体" w:hAnsi="宋体" w:cs="宋体"/>
                <w:color w:val="auto"/>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62" w:type="dxa"/>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8</w:t>
            </w:r>
          </w:p>
        </w:tc>
        <w:tc>
          <w:tcPr>
            <w:tcW w:w="1763" w:type="dxa"/>
            <w:noWrap/>
            <w:vAlign w:val="center"/>
          </w:tcPr>
          <w:p>
            <w:pPr>
              <w:shd w:val="clear" w:color="auto" w:fill="auto"/>
              <w:tabs>
                <w:tab w:val="left" w:pos="426"/>
              </w:tabs>
              <w:spacing w:line="360" w:lineRule="auto"/>
              <w:jc w:val="both"/>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智能设备集成管理</w:t>
            </w:r>
          </w:p>
        </w:tc>
        <w:tc>
          <w:tcPr>
            <w:tcW w:w="7212" w:type="dxa"/>
            <w:noWrap/>
            <w:vAlign w:val="center"/>
          </w:tcPr>
          <w:p>
            <w:pPr>
              <w:shd w:val="clear" w:color="auto" w:fill="auto"/>
              <w:tabs>
                <w:tab w:val="left" w:pos="426"/>
              </w:tabs>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支持寄售类高值耗材全流程追溯管理，包括患者追溯及上游供应商追溯，支持基于RFID技术的高值耗材智能柜、智能库集成管理。</w:t>
            </w:r>
          </w:p>
        </w:tc>
      </w:tr>
    </w:tbl>
    <w:p>
      <w:pPr>
        <w:rPr>
          <w:rFonts w:hint="eastAsia" w:ascii="宋体" w:hAnsi="宋体" w:eastAsia="宋体" w:cs="宋体"/>
          <w:color w:val="auto"/>
          <w:sz w:val="28"/>
          <w:szCs w:val="28"/>
          <w:lang w:val="en-US" w:eastAsia="zh-CN" w:bidi="ar-SA"/>
        </w:rPr>
      </w:pPr>
    </w:p>
    <w:p>
      <w:pPr>
        <w:keepNext/>
        <w:keepLines/>
        <w:pageBreakBefore w:val="0"/>
        <w:widowControl w:val="0"/>
        <w:suppressLineNumbers/>
        <w:shd w:val="clear" w:color="auto" w:fill="auto"/>
        <w:tabs>
          <w:tab w:val="left" w:pos="720"/>
        </w:tabs>
        <w:spacing w:before="313" w:after="313" w:line="360" w:lineRule="auto"/>
        <w:ind w:left="0" w:firstLine="0"/>
        <w:jc w:val="both"/>
        <w:outlineLvl w:val="3"/>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3.4.2.</w:t>
      </w:r>
      <w:bookmarkStart w:id="9" w:name="_Toc2995"/>
      <w:bookmarkStart w:id="10" w:name="_Toc6697"/>
      <w:r>
        <w:rPr>
          <w:rFonts w:hint="eastAsia" w:ascii="宋体" w:hAnsi="宋体" w:eastAsia="宋体" w:cs="宋体"/>
          <w:b/>
          <w:bCs/>
          <w:color w:val="auto"/>
          <w:sz w:val="28"/>
          <w:szCs w:val="28"/>
          <w:lang w:val="en-US" w:eastAsia="zh-CN" w:bidi="ar-SA"/>
        </w:rPr>
        <w:t>5检验试剂管理要求</w:t>
      </w:r>
      <w:bookmarkEnd w:id="9"/>
      <w:bookmarkEnd w:id="10"/>
    </w:p>
    <w:tbl>
      <w:tblPr>
        <w:tblStyle w:val="5"/>
        <w:tblW w:w="965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782"/>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both"/>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序号</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jc w:val="both"/>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子功能</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1</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采购管理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根据设定库存安全值，自动生成补货预警，实现一键确认生成补货采购计划。</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根据使用消耗、缺货登记等现状，自动生成采购计划。</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支持采购单的拆分、导出和打印。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2</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验收入库管理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支持诊断试剂入库验收、近效期自动提醒及冷链信息录入。</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诊断试剂验收后系统支持打印批次码，实现诊断试剂赋码管理。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3</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专业组申领管理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支持按组申领，自动校验批号，并推荐上次领用批号。</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支持多级审批流程配置，审批不通过，科室人员在系统上修改后重新提交。</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支持设置定时任务，自动生成补货计划，智能补货。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4</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出库管理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支持试剂进行最小包装单位的一物一码的加工赋码。</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支持赋码单位提前设置，免除包装单位转换。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5</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科室签收管理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支持通过PDA扫描出库单签收入库，系统自动判断批号是否一致。</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支持加工推送按照单据，完全一致，严格保供。</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支持科室一键确认上架，不需录入信息。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6</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智能设备集成管理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Fonts w:hint="eastAsia" w:ascii="宋体" w:hAnsi="宋体" w:eastAsia="宋体" w:cs="宋体"/>
                <w:color w:val="auto"/>
                <w:sz w:val="28"/>
                <w:szCs w:val="28"/>
                <w:lang w:val="en-US" w:eastAsia="zh-CN" w:bidi="ar-SA"/>
              </w:rPr>
              <w:t>支持检验试剂智能柜管理，能够对温度、效期等进行实时监控及记录，具有近效期报警，温度报警等；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7</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领用消耗管理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支持扫码领用消耗。</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支持领用消耗查询及试剂追溯查询，通过消耗码追溯领用人、领用时间、领用批号、效期、开盒效期等。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8</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库存管理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支持科室库存设置和管控。</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支持院内退货管理。</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支持PDA动态盘点。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9</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报损/报溢管理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支持完成报损/报溢流程。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10</w:t>
            </w:r>
          </w:p>
        </w:tc>
        <w:tc>
          <w:tcPr>
            <w:tcW w:w="178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效期预警管理</w:t>
            </w:r>
          </w:p>
        </w:tc>
        <w:tc>
          <w:tcPr>
            <w:tcW w:w="7193"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支持生成近效期预警库存记录。</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支持近效期自动预警。</w:t>
            </w:r>
          </w:p>
        </w:tc>
      </w:tr>
    </w:tbl>
    <w:p>
      <w:pPr>
        <w:rPr>
          <w:rFonts w:hint="eastAsia" w:ascii="宋体" w:hAnsi="宋体" w:eastAsia="宋体" w:cs="宋体"/>
          <w:color w:val="auto"/>
          <w:sz w:val="28"/>
          <w:szCs w:val="28"/>
          <w:lang w:val="en-US" w:eastAsia="zh-CN" w:bidi="ar-SA"/>
        </w:rPr>
      </w:pPr>
    </w:p>
    <w:p>
      <w:pPr>
        <w:keepNext/>
        <w:keepLines/>
        <w:pageBreakBefore w:val="0"/>
        <w:widowControl w:val="0"/>
        <w:suppressLineNumbers/>
        <w:shd w:val="clear" w:color="auto" w:fill="auto"/>
        <w:tabs>
          <w:tab w:val="left" w:pos="720"/>
        </w:tabs>
        <w:spacing w:before="313" w:after="313" w:line="360" w:lineRule="auto"/>
        <w:ind w:left="0" w:firstLine="0"/>
        <w:jc w:val="both"/>
        <w:outlineLvl w:val="3"/>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3.4.2.</w:t>
      </w:r>
      <w:bookmarkStart w:id="11" w:name="_Toc14742"/>
      <w:bookmarkStart w:id="12" w:name="_Toc9295"/>
      <w:r>
        <w:rPr>
          <w:rFonts w:hint="eastAsia" w:ascii="宋体" w:hAnsi="宋体" w:eastAsia="宋体" w:cs="宋体"/>
          <w:b/>
          <w:bCs/>
          <w:color w:val="auto"/>
          <w:sz w:val="28"/>
          <w:szCs w:val="28"/>
          <w:lang w:val="en-US" w:eastAsia="zh-CN" w:bidi="ar-SA"/>
        </w:rPr>
        <w:t>6结算管理要求</w:t>
      </w:r>
      <w:bookmarkEnd w:id="11"/>
      <w:bookmarkEnd w:id="12"/>
    </w:p>
    <w:tbl>
      <w:tblPr>
        <w:tblStyle w:val="5"/>
        <w:tblW w:w="967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8"/>
        <w:gridCol w:w="1462"/>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序号</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子功能</w:t>
            </w:r>
          </w:p>
        </w:tc>
        <w:tc>
          <w:tcPr>
            <w:tcW w:w="742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1</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结算单管理</w:t>
            </w:r>
          </w:p>
        </w:tc>
        <w:tc>
          <w:tcPr>
            <w:tcW w:w="742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zh-CN" w:eastAsia="zh-CN" w:bidi="ar-SA"/>
              </w:rPr>
              <w:t>提供</w:t>
            </w:r>
            <w:r>
              <w:rPr>
                <w:rStyle w:val="7"/>
                <w:rFonts w:hint="eastAsia" w:ascii="宋体" w:hAnsi="宋体" w:eastAsia="宋体" w:cs="宋体"/>
                <w:bCs/>
                <w:color w:val="auto"/>
                <w:sz w:val="28"/>
                <w:szCs w:val="28"/>
                <w:lang w:val="en-US" w:eastAsia="zh-CN" w:bidi="ar-SA"/>
              </w:rPr>
              <w:t>结算单</w:t>
            </w:r>
            <w:r>
              <w:rPr>
                <w:rStyle w:val="7"/>
                <w:rFonts w:hint="eastAsia" w:ascii="宋体" w:hAnsi="宋体" w:eastAsia="宋体" w:cs="宋体"/>
                <w:bCs/>
                <w:color w:val="auto"/>
                <w:sz w:val="28"/>
                <w:szCs w:val="28"/>
                <w:lang w:val="zh-CN" w:eastAsia="zh-CN" w:bidi="ar-SA"/>
              </w:rPr>
              <w:t>的全程跟踪管理功能，可以产生医院结算单据，并完成</w:t>
            </w:r>
            <w:r>
              <w:rPr>
                <w:rStyle w:val="7"/>
                <w:rFonts w:hint="eastAsia" w:ascii="宋体" w:hAnsi="宋体" w:eastAsia="宋体" w:cs="宋体"/>
                <w:bCs/>
                <w:color w:val="auto"/>
                <w:sz w:val="28"/>
                <w:szCs w:val="28"/>
                <w:lang w:val="en-US" w:eastAsia="zh-CN" w:bidi="ar-SA"/>
              </w:rPr>
              <w:t>结算</w:t>
            </w:r>
            <w:r>
              <w:rPr>
                <w:rStyle w:val="7"/>
                <w:rFonts w:hint="eastAsia" w:ascii="宋体" w:hAnsi="宋体" w:eastAsia="宋体" w:cs="宋体"/>
                <w:bCs/>
                <w:color w:val="auto"/>
                <w:sz w:val="28"/>
                <w:szCs w:val="28"/>
                <w:lang w:val="zh-CN" w:eastAsia="zh-CN" w:bidi="ar-SA"/>
              </w:rPr>
              <w:t>单据的审核。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2</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zh-CN" w:eastAsia="zh-CN" w:bidi="ar-SA"/>
              </w:rPr>
              <w:t>发票管理功能</w:t>
            </w:r>
          </w:p>
        </w:tc>
        <w:tc>
          <w:tcPr>
            <w:tcW w:w="742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zh-CN" w:eastAsia="zh-CN" w:bidi="ar-SA"/>
              </w:rPr>
            </w:pPr>
            <w:r>
              <w:rPr>
                <w:rStyle w:val="7"/>
                <w:rFonts w:hint="eastAsia" w:ascii="宋体" w:hAnsi="宋体" w:eastAsia="宋体" w:cs="宋体"/>
                <w:bCs/>
                <w:color w:val="auto"/>
                <w:sz w:val="28"/>
                <w:szCs w:val="28"/>
                <w:lang w:val="en-US" w:eastAsia="zh-CN" w:bidi="ar-SA"/>
              </w:rPr>
              <w:t>1.</w:t>
            </w:r>
            <w:r>
              <w:rPr>
                <w:rStyle w:val="7"/>
                <w:rFonts w:hint="eastAsia" w:ascii="宋体" w:hAnsi="宋体" w:eastAsia="宋体" w:cs="宋体"/>
                <w:bCs/>
                <w:color w:val="auto"/>
                <w:sz w:val="28"/>
                <w:szCs w:val="28"/>
                <w:lang w:val="zh-CN" w:eastAsia="zh-CN" w:bidi="ar-SA"/>
              </w:rPr>
              <w:t>支持单张发票关联多个批次或单个批次多张发票。</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2.支持发票的审核确认</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3.支持根据结算单生成一张或者多张发票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3</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zh-CN" w:eastAsia="zh-CN" w:bidi="ar-SA"/>
              </w:rPr>
              <w:t>发票补登</w:t>
            </w:r>
          </w:p>
        </w:tc>
        <w:tc>
          <w:tcPr>
            <w:tcW w:w="742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zh-CN" w:eastAsia="zh-CN" w:bidi="ar-SA"/>
              </w:rPr>
              <w:t>支持供应商发票登记、补登等功能。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zh-CN" w:eastAsia="zh-CN" w:bidi="ar-SA"/>
              </w:rPr>
            </w:pPr>
            <w:r>
              <w:rPr>
                <w:rStyle w:val="7"/>
                <w:rFonts w:hint="eastAsia" w:ascii="宋体" w:hAnsi="宋体" w:eastAsia="宋体" w:cs="宋体"/>
                <w:bCs/>
                <w:color w:val="auto"/>
                <w:sz w:val="28"/>
                <w:szCs w:val="28"/>
                <w:lang w:val="en-US" w:eastAsia="zh-CN" w:bidi="ar-SA"/>
              </w:rPr>
              <w:t>4</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zh-CN" w:eastAsia="zh-CN" w:bidi="ar-SA"/>
              </w:rPr>
            </w:pPr>
            <w:r>
              <w:rPr>
                <w:rStyle w:val="7"/>
                <w:rFonts w:hint="eastAsia" w:ascii="宋体" w:hAnsi="宋体" w:eastAsia="宋体" w:cs="宋体"/>
                <w:bCs/>
                <w:color w:val="auto"/>
                <w:sz w:val="28"/>
                <w:szCs w:val="28"/>
                <w:lang w:val="zh-CN" w:eastAsia="zh-CN" w:bidi="ar-SA"/>
              </w:rPr>
              <w:t>财务报表功能</w:t>
            </w:r>
          </w:p>
        </w:tc>
        <w:tc>
          <w:tcPr>
            <w:tcW w:w="742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zh-CN" w:eastAsia="zh-CN" w:bidi="ar-SA"/>
              </w:rPr>
            </w:pPr>
            <w:r>
              <w:rPr>
                <w:rStyle w:val="7"/>
                <w:rFonts w:hint="eastAsia" w:ascii="宋体" w:hAnsi="宋体" w:eastAsia="宋体" w:cs="宋体"/>
                <w:bCs/>
                <w:color w:val="auto"/>
                <w:sz w:val="28"/>
                <w:szCs w:val="28"/>
                <w:lang w:val="zh-CN" w:eastAsia="zh-CN" w:bidi="ar-SA"/>
              </w:rPr>
              <w:t>按医院要求，满足与财务部门对接的各类报表。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5</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账单日设置</w:t>
            </w:r>
          </w:p>
        </w:tc>
        <w:tc>
          <w:tcPr>
            <w:tcW w:w="742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zh-CN" w:eastAsia="zh-CN" w:bidi="ar-SA"/>
              </w:rPr>
            </w:pPr>
            <w:r>
              <w:rPr>
                <w:rStyle w:val="7"/>
                <w:rFonts w:hint="eastAsia" w:ascii="宋体" w:hAnsi="宋体" w:eastAsia="宋体" w:cs="宋体"/>
                <w:bCs/>
                <w:color w:val="auto"/>
                <w:sz w:val="28"/>
                <w:szCs w:val="28"/>
                <w:lang w:val="en-US" w:eastAsia="zh-CN" w:bidi="ar-SA"/>
              </w:rPr>
              <w:t>动态的结算账单日配置，满足不同医院不同账单日的需求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ind w:left="210"/>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6</w:t>
            </w:r>
          </w:p>
        </w:tc>
        <w:tc>
          <w:tcPr>
            <w:tcW w:w="1462"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结算方式配置</w:t>
            </w:r>
          </w:p>
        </w:tc>
        <w:tc>
          <w:tcPr>
            <w:tcW w:w="7425"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Fonts w:hint="eastAsia" w:ascii="宋体" w:hAnsi="宋体" w:eastAsia="宋体" w:cs="宋体"/>
                <w:color w:val="auto"/>
                <w:sz w:val="28"/>
                <w:szCs w:val="28"/>
                <w:highlight w:val="none"/>
                <w:lang w:val="en-US" w:eastAsia="zh-CN" w:bidi="ar-SA"/>
              </w:rPr>
              <w:t>▲</w:t>
            </w:r>
            <w:r>
              <w:rPr>
                <w:rStyle w:val="7"/>
                <w:rFonts w:hint="eastAsia" w:ascii="宋体" w:hAnsi="宋体" w:eastAsia="宋体" w:cs="宋体"/>
                <w:bCs/>
                <w:color w:val="auto"/>
                <w:sz w:val="28"/>
                <w:szCs w:val="28"/>
                <w:lang w:val="en-US" w:eastAsia="zh-CN" w:bidi="ar-SA"/>
              </w:rPr>
              <w:t>要求根据不同耗材、不同采购类型，不同供应商，配置不同结算模式（</w:t>
            </w:r>
            <w:r>
              <w:rPr>
                <w:rStyle w:val="7"/>
                <w:rFonts w:hint="eastAsia" w:ascii="宋体" w:hAnsi="宋体" w:eastAsia="宋体" w:cs="宋体"/>
                <w:color w:val="auto"/>
                <w:sz w:val="28"/>
                <w:szCs w:val="28"/>
                <w:lang w:val="en-US" w:eastAsia="zh-CN" w:bidi="ar-SA"/>
              </w:rPr>
              <w:t>提供符合要求的系统实操视频证明材料</w:t>
            </w:r>
            <w:r>
              <w:rPr>
                <w:rStyle w:val="7"/>
                <w:rFonts w:hint="eastAsia" w:ascii="宋体" w:hAnsi="宋体" w:eastAsia="宋体" w:cs="宋体"/>
                <w:bCs/>
                <w:color w:val="auto"/>
                <w:sz w:val="28"/>
                <w:szCs w:val="28"/>
                <w:lang w:val="en-US" w:eastAsia="zh-CN" w:bidi="ar-SA"/>
              </w:rPr>
              <w:t>）</w:t>
            </w:r>
          </w:p>
        </w:tc>
      </w:tr>
    </w:tbl>
    <w:p>
      <w:pPr>
        <w:rPr>
          <w:rFonts w:hint="eastAsia" w:ascii="宋体" w:hAnsi="宋体" w:eastAsia="宋体" w:cs="宋体"/>
          <w:color w:val="auto"/>
          <w:sz w:val="28"/>
          <w:szCs w:val="28"/>
          <w:lang w:val="en-US" w:eastAsia="zh-CN" w:bidi="ar-SA"/>
        </w:rPr>
      </w:pPr>
    </w:p>
    <w:p>
      <w:pPr>
        <w:keepNext/>
        <w:keepLines/>
        <w:pageBreakBefore w:val="0"/>
        <w:widowControl w:val="0"/>
        <w:suppressLineNumbers/>
        <w:shd w:val="clear" w:color="auto" w:fill="auto"/>
        <w:tabs>
          <w:tab w:val="left" w:pos="720"/>
        </w:tabs>
        <w:spacing w:before="313" w:after="313" w:line="360" w:lineRule="auto"/>
        <w:ind w:left="0" w:firstLine="0"/>
        <w:jc w:val="both"/>
        <w:outlineLvl w:val="3"/>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lang w:val="en-US" w:eastAsia="zh-CN" w:bidi="ar-SA"/>
        </w:rPr>
        <w:t>3.4.2.7</w:t>
      </w:r>
      <w:r>
        <w:rPr>
          <w:rFonts w:hint="eastAsia" w:ascii="宋体" w:hAnsi="宋体" w:eastAsia="宋体" w:cs="宋体"/>
          <w:b/>
          <w:bCs/>
          <w:color w:val="auto"/>
          <w:sz w:val="28"/>
          <w:szCs w:val="28"/>
          <w:highlight w:val="none"/>
          <w:lang w:val="en-US" w:eastAsia="zh-CN" w:bidi="ar-SA"/>
        </w:rPr>
        <w:t xml:space="preserve"> </w:t>
      </w:r>
      <w:bookmarkStart w:id="13" w:name="_Toc8352"/>
      <w:bookmarkStart w:id="14" w:name="_Toc6427"/>
      <w:r>
        <w:rPr>
          <w:rFonts w:hint="eastAsia" w:ascii="宋体" w:hAnsi="宋体" w:eastAsia="宋体" w:cs="宋体"/>
          <w:b/>
          <w:bCs/>
          <w:color w:val="auto"/>
          <w:sz w:val="28"/>
          <w:szCs w:val="28"/>
          <w:highlight w:val="none"/>
          <w:lang w:val="en-US" w:eastAsia="zh-CN" w:bidi="ar-SA"/>
        </w:rPr>
        <w:t>BI数据监管分析技术要求</w:t>
      </w:r>
      <w:bookmarkEnd w:id="13"/>
      <w:bookmarkEnd w:id="14"/>
    </w:p>
    <w:tbl>
      <w:tblPr>
        <w:tblStyle w:val="5"/>
        <w:tblW w:w="966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1288"/>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序号</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子功能</w:t>
            </w:r>
          </w:p>
        </w:tc>
        <w:tc>
          <w:tcPr>
            <w:tcW w:w="77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1"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1</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数据分析监管</w:t>
            </w:r>
          </w:p>
        </w:tc>
        <w:tc>
          <w:tcPr>
            <w:tcW w:w="77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支持院内多维度的可视化数据展示和数据分析，如柱状图、圆饼图、驾驶舱、曲线图等；医院不同科室根据实际业务需求自由配置，为医院运营提供可靠的数据支撑。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2</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报表分析模块</w:t>
            </w:r>
          </w:p>
        </w:tc>
        <w:tc>
          <w:tcPr>
            <w:tcW w:w="77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1.</w:t>
            </w:r>
            <w:r>
              <w:rPr>
                <w:rFonts w:hint="eastAsia" w:ascii="宋体" w:hAnsi="宋体" w:eastAsia="宋体" w:cs="宋体"/>
                <w:color w:val="auto"/>
                <w:sz w:val="28"/>
                <w:szCs w:val="28"/>
                <w:lang w:val="en-US" w:eastAsia="zh-CN" w:bidi="ar-SA"/>
              </w:rPr>
              <w:t>支持耗材合理性使用分析，包括：耗占比分析、耗材使用科室对比分析、高值耗材消耗异常分析、手术耗材使用分析（从手术名称、医生、科室等角度进行分析）</w:t>
            </w:r>
          </w:p>
          <w:p>
            <w:pPr>
              <w:pStyle w:val="4"/>
              <w:shd w:val="clear" w:color="auto" w:fill="auto"/>
              <w:spacing w:line="360" w:lineRule="auto"/>
              <w:ind w:left="0" w:leftChars="0" w:firstLine="0" w:firstLineChars="0"/>
              <w:rPr>
                <w:rStyle w:val="7"/>
                <w:rFonts w:hint="eastAsia" w:ascii="宋体" w:hAnsi="宋体" w:eastAsia="宋体" w:cs="宋体"/>
                <w:bCs/>
                <w:color w:val="auto"/>
                <w:kern w:val="2"/>
                <w:sz w:val="28"/>
                <w:szCs w:val="28"/>
                <w:lang w:val="en-US" w:eastAsia="zh-CN" w:bidi="ar-SA"/>
              </w:rPr>
            </w:pPr>
            <w:r>
              <w:rPr>
                <w:rStyle w:val="7"/>
                <w:rFonts w:hint="eastAsia" w:ascii="宋体" w:hAnsi="宋体" w:eastAsia="宋体" w:cs="宋体"/>
                <w:bCs/>
                <w:color w:val="auto"/>
                <w:kern w:val="2"/>
                <w:sz w:val="28"/>
                <w:szCs w:val="28"/>
                <w:lang w:val="en-US" w:eastAsia="zh-CN" w:bidi="ar-SA"/>
              </w:rPr>
              <w:t>2.可设置每个科室的目标耗占比的值，并根据每个科室的耗占比超标情况进行依次排序</w:t>
            </w:r>
          </w:p>
          <w:p>
            <w:pPr>
              <w:pStyle w:val="4"/>
              <w:shd w:val="clear" w:color="auto" w:fill="auto"/>
              <w:spacing w:line="360" w:lineRule="auto"/>
              <w:ind w:left="0" w:leftChars="0" w:firstLine="0" w:firstLineChars="0"/>
              <w:rPr>
                <w:rFonts w:hint="eastAsia" w:ascii="宋体" w:hAnsi="宋体" w:eastAsia="宋体" w:cs="宋体"/>
                <w:bCs/>
                <w:color w:val="auto"/>
                <w:sz w:val="28"/>
                <w:szCs w:val="28"/>
              </w:rPr>
            </w:pPr>
            <w:r>
              <w:rPr>
                <w:rStyle w:val="7"/>
                <w:rFonts w:hint="eastAsia" w:ascii="宋体" w:hAnsi="宋体" w:eastAsia="宋体" w:cs="宋体"/>
                <w:bCs/>
                <w:color w:val="auto"/>
                <w:kern w:val="2"/>
                <w:sz w:val="28"/>
                <w:szCs w:val="28"/>
                <w:lang w:val="en-US" w:eastAsia="zh-CN" w:bidi="ar-SA"/>
              </w:rPr>
              <w:t>3.可按照科室、医生个人生成耗材使用报表。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1"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3</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大屏数据监管</w:t>
            </w:r>
          </w:p>
        </w:tc>
        <w:tc>
          <w:tcPr>
            <w:tcW w:w="77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FF0000"/>
                <w:sz w:val="28"/>
                <w:szCs w:val="28"/>
                <w:lang w:val="en-US" w:eastAsia="zh-CN" w:bidi="ar-SA"/>
              </w:rPr>
            </w:pPr>
            <w:r>
              <w:rPr>
                <w:rStyle w:val="7"/>
                <w:rFonts w:hint="eastAsia" w:ascii="宋体" w:hAnsi="宋体" w:eastAsia="宋体" w:cs="宋体"/>
                <w:bCs/>
                <w:color w:val="auto"/>
                <w:sz w:val="28"/>
                <w:szCs w:val="28"/>
                <w:lang w:val="en-US" w:eastAsia="zh-CN" w:bidi="ar-SA"/>
              </w:rPr>
              <w:t>▲实现通过大屏展示全院物资管理情况，可以按照科室耗材的使用情况和智能硬件等多维度的实时数据更新。</w:t>
            </w:r>
          </w:p>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（需提供应用证明文件或客户使用意见报告、现场图片、软件著作权证书）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4</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jc w:val="center"/>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供应商管理报表</w:t>
            </w:r>
          </w:p>
        </w:tc>
        <w:tc>
          <w:tcPr>
            <w:tcW w:w="7737" w:type="dxa"/>
            <w:tcBorders>
              <w:top w:val="single" w:color="000000" w:sz="4" w:space="0"/>
              <w:left w:val="single" w:color="000000" w:sz="4" w:space="0"/>
              <w:bottom w:val="single" w:color="000000" w:sz="4" w:space="0"/>
              <w:right w:val="single" w:color="000000" w:sz="4" w:space="0"/>
            </w:tcBorders>
            <w:noWrap/>
            <w:vAlign w:val="center"/>
          </w:tcPr>
          <w:p>
            <w:pPr>
              <w:shd w:val="clear" w:color="auto" w:fill="auto"/>
              <w:tabs>
                <w:tab w:val="left" w:pos="426"/>
              </w:tabs>
              <w:spacing w:line="360" w:lineRule="auto"/>
              <w:rPr>
                <w:rStyle w:val="7"/>
                <w:rFonts w:hint="eastAsia" w:ascii="宋体" w:hAnsi="宋体" w:eastAsia="宋体" w:cs="宋体"/>
                <w:bCs/>
                <w:color w:val="auto"/>
                <w:sz w:val="28"/>
                <w:szCs w:val="28"/>
                <w:lang w:val="en-US" w:eastAsia="zh-CN" w:bidi="ar-SA"/>
              </w:rPr>
            </w:pPr>
            <w:r>
              <w:rPr>
                <w:rStyle w:val="7"/>
                <w:rFonts w:hint="eastAsia" w:ascii="宋体" w:hAnsi="宋体" w:eastAsia="宋体" w:cs="宋体"/>
                <w:bCs/>
                <w:color w:val="auto"/>
                <w:sz w:val="28"/>
                <w:szCs w:val="28"/>
                <w:lang w:val="en-US" w:eastAsia="zh-CN" w:bidi="ar-SA"/>
              </w:rPr>
              <w:t>为医院提供多供应商数据管理报表。</w:t>
            </w:r>
          </w:p>
        </w:tc>
      </w:tr>
    </w:tbl>
    <w:p>
      <w:pPr>
        <w:pStyle w:val="3"/>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（五）医用耗材管理主要智能设备要求</w:t>
      </w:r>
    </w:p>
    <w:tbl>
      <w:tblPr>
        <w:tblStyle w:val="5"/>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75"/>
        <w:gridCol w:w="789"/>
        <w:gridCol w:w="1234"/>
        <w:gridCol w:w="5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705" w:type="dxa"/>
            <w:noWrap w:val="0"/>
            <w:vAlign w:val="center"/>
          </w:tcPr>
          <w:p>
            <w:pPr>
              <w:widowControl/>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bidi="ar"/>
              </w:rPr>
              <w:t>序号</w:t>
            </w:r>
          </w:p>
        </w:tc>
        <w:tc>
          <w:tcPr>
            <w:tcW w:w="1475" w:type="dxa"/>
            <w:noWrap w:val="0"/>
            <w:vAlign w:val="center"/>
          </w:tcPr>
          <w:p>
            <w:pPr>
              <w:widowControl/>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bidi="ar"/>
              </w:rPr>
              <w:t>分项</w:t>
            </w:r>
          </w:p>
        </w:tc>
        <w:tc>
          <w:tcPr>
            <w:tcW w:w="789" w:type="dxa"/>
            <w:noWrap w:val="0"/>
            <w:vAlign w:val="center"/>
          </w:tcPr>
          <w:p>
            <w:pPr>
              <w:widowControl/>
              <w:jc w:val="center"/>
              <w:textAlignment w:val="center"/>
              <w:rPr>
                <w:rFonts w:hint="eastAsia" w:ascii="宋体" w:hAnsi="宋体" w:eastAsia="宋体" w:cs="宋体"/>
                <w:color w:val="auto"/>
                <w:sz w:val="28"/>
                <w:szCs w:val="28"/>
              </w:rPr>
            </w:pPr>
            <w:r>
              <w:rPr>
                <w:rFonts w:hint="eastAsia" w:ascii="宋体" w:hAnsi="宋体" w:eastAsia="宋体" w:cs="宋体"/>
                <w:color w:val="auto"/>
                <w:kern w:val="0"/>
                <w:sz w:val="28"/>
                <w:szCs w:val="28"/>
                <w:lang w:bidi="ar"/>
              </w:rPr>
              <w:t>单位</w:t>
            </w:r>
          </w:p>
        </w:tc>
        <w:tc>
          <w:tcPr>
            <w:tcW w:w="1234" w:type="dxa"/>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最少要求数量</w:t>
            </w:r>
          </w:p>
        </w:tc>
        <w:tc>
          <w:tcPr>
            <w:tcW w:w="5032" w:type="dxa"/>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05" w:type="dxa"/>
            <w:shd w:val="clear" w:color="auto" w:fill="FFFFFF"/>
            <w:noWrap w:val="0"/>
            <w:vAlign w:val="center"/>
          </w:tcPr>
          <w:p>
            <w:pPr>
              <w:jc w:val="center"/>
              <w:rPr>
                <w:rFonts w:hint="eastAsia" w:ascii="宋体" w:hAnsi="宋体" w:eastAsia="宋体" w:cs="宋体"/>
                <w:color w:val="auto"/>
                <w:kern w:val="0"/>
                <w:sz w:val="28"/>
                <w:szCs w:val="28"/>
                <w:lang w:bidi="ar"/>
              </w:rPr>
            </w:pPr>
            <w:r>
              <w:rPr>
                <w:rFonts w:hint="eastAsia" w:ascii="宋体" w:hAnsi="宋体" w:eastAsia="宋体" w:cs="宋体"/>
                <w:color w:val="auto"/>
                <w:sz w:val="28"/>
                <w:szCs w:val="28"/>
              </w:rPr>
              <w:t>1</w:t>
            </w:r>
          </w:p>
        </w:tc>
        <w:tc>
          <w:tcPr>
            <w:tcW w:w="1475" w:type="dxa"/>
            <w:shd w:val="clear" w:color="auto" w:fill="FFFFFF"/>
            <w:noWrap w:val="0"/>
            <w:vAlign w:val="center"/>
          </w:tcPr>
          <w:p>
            <w:pPr>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高值</w:t>
            </w:r>
            <w:r>
              <w:rPr>
                <w:rFonts w:hint="eastAsia" w:ascii="宋体" w:hAnsi="宋体" w:eastAsia="宋体" w:cs="宋体"/>
                <w:color w:val="auto"/>
                <w:kern w:val="0"/>
                <w:sz w:val="28"/>
                <w:szCs w:val="28"/>
                <w:lang w:val="en-US" w:eastAsia="zh-CN" w:bidi="ar"/>
              </w:rPr>
              <w:t>智能</w:t>
            </w:r>
            <w:r>
              <w:rPr>
                <w:rFonts w:hint="eastAsia" w:ascii="宋体" w:hAnsi="宋体" w:eastAsia="宋体" w:cs="宋体"/>
                <w:color w:val="auto"/>
                <w:kern w:val="0"/>
                <w:sz w:val="28"/>
                <w:szCs w:val="28"/>
                <w:lang w:bidi="ar"/>
              </w:rPr>
              <w:t>耗材柜</w:t>
            </w:r>
          </w:p>
        </w:tc>
        <w:tc>
          <w:tcPr>
            <w:tcW w:w="789" w:type="dxa"/>
            <w:shd w:val="clear" w:color="auto" w:fill="FFFFFF"/>
            <w:noWrap w:val="0"/>
            <w:vAlign w:val="center"/>
          </w:tcPr>
          <w:p>
            <w:pPr>
              <w:jc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台</w:t>
            </w:r>
          </w:p>
        </w:tc>
        <w:tc>
          <w:tcPr>
            <w:tcW w:w="1234" w:type="dxa"/>
            <w:shd w:val="clear" w:color="auto" w:fill="FFFFFF"/>
            <w:noWrap w:val="0"/>
            <w:vAlign w:val="center"/>
          </w:tcPr>
          <w:p>
            <w:pPr>
              <w:jc w:val="center"/>
              <w:rPr>
                <w:rFonts w:hint="default"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2</w:t>
            </w:r>
          </w:p>
        </w:tc>
        <w:tc>
          <w:tcPr>
            <w:tcW w:w="5032" w:type="dxa"/>
            <w:shd w:val="clear" w:color="auto" w:fill="FFFFFF"/>
            <w:noWrap w:val="0"/>
            <w:vAlign w:val="center"/>
          </w:tcPr>
          <w:p>
            <w:pPr>
              <w:numPr>
                <w:ilvl w:val="0"/>
                <w:numId w:val="3"/>
              </w:num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外观尺寸：</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850MM（宽）*650MM（深）*1900MM（高）</w:t>
            </w:r>
          </w:p>
          <w:p>
            <w:pPr>
              <w:numPr>
                <w:ilvl w:val="0"/>
                <w:numId w:val="0"/>
              </w:num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【提供产品实物照片】</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2、材质：柜体采用优质碳素结构钢、铝合金及优质亚克力板；屏蔽门采用透明防爆钢化玻璃、钣金；</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3、主柜显示器：</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15寸高清液晶触摸屏,穿戴一次性医用外科或检查手套时，不影响屏幕触控操作</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4、▲标签容量：单柜标签容量</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700pcs。【须提供第三方检测机构出具的检验报告】</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5、▲标签识别时间及准确率：任意放置700pcs标签，连续多次存取操作，读取时间≤4s, 准确率≥99.9%。</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任意放置300pcs标签，连续多次存取操作，读取时间≤2s, 准确率≥99.9%。</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【须提供第三方检测机构出具的检验报告】</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6、柜门屏蔽性能：柜门釆用符合GJB6190-2008的纳米屏蔽材料，屏蔽效能≥50dB；柜体处于密闭状态，在柜体外部任意放置电子标签，均不被柜体内天线识别。</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7、设备正常工作噪音：设备正常工作时的噪声≤35dB</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8、设备外观材质：设备表面涂料为光触媒纳米材料，具备抗菌耐腐蚀效果，抗菌率≥99.5%，满足 GB/T 21866-2008 标准要求</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9、电气系统安全：EMC 安全测试：整柜符合GB9706.1-2007 医用电气设备安全测试，整柜电源控制系统适用于医疗行业</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10、4RFID频段：超高频</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11、▲身份识别：支持IC卡、指静脉、人脸识别（提供相应的实景照片证明材料）</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12、▲一体化配置：主柜要求显示设备与柜门嵌入式集成，无单独显示区域浪费存储空间。提供产品实物照片。</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13、标准接口：</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2个标准USB接口，1个RJ45网口</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14、存储空间：</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700L，要求每个智能柜均可独立，不允许有智能柜配套的电脑柜</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19摄像头：集成高清摄像头，可实时监控耗材的每次存取，存取具备拍照留存，按时间进行命名和排序，方便异常数据的查询和追溯</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15、▲存储隔断：针对不同科室需求，提供</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3种的可调节层板、</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6种的耗材存储支架（如缝线支架、止血纱布支架、眼科支架等），提供以上层板和支架的实物照片</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16、▲货位标签：隔层抽屉自带货位标签卡槽【须提供抽屉实物照片】</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17、柜门：要求透明屏蔽柜门，钢化玻璃材质，耗材库存情况直观可视化</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18、柜内照明：要求柜内冷光源照明，人体靠近时自动触发柜内照明</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19、温湿度监控：要求具备柜内温湿度监控，记录并监测柜子内温湿度变化，可设置温湿度监控范围，柜内温湿度超出设定范围，系统自动报警</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20、▲可移动性：要求柜体自带万向轮，操作人员可在无工具辅助情况下任意摆放智能柜，提供实物照片</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21、消毒模组：配备紫外消毒模组，该模组符合国家消毒技术规范，满足GB/T19258-2012要求。</w:t>
            </w:r>
          </w:p>
          <w:p>
            <w:pPr>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22、紧急开锁：要求断电、断网锁门状态保持，要求具备紧急开锁功能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shd w:val="clear" w:color="auto" w:fill="FFFFFF"/>
            <w:noWrap w:val="0"/>
            <w:vAlign w:val="center"/>
          </w:tcPr>
          <w:p>
            <w:pPr>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1475"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智能大屏</w:t>
            </w:r>
          </w:p>
        </w:tc>
        <w:tc>
          <w:tcPr>
            <w:tcW w:w="789"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台</w:t>
            </w:r>
          </w:p>
        </w:tc>
        <w:tc>
          <w:tcPr>
            <w:tcW w:w="1234"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w:t>
            </w:r>
          </w:p>
        </w:tc>
        <w:tc>
          <w:tcPr>
            <w:tcW w:w="5032" w:type="dxa"/>
            <w:shd w:val="clear" w:color="auto" w:fill="FFFFFF"/>
            <w:noWrap w:val="0"/>
            <w:vAlign w:val="center"/>
          </w:tcPr>
          <w:p>
            <w:pPr>
              <w:widowControl/>
              <w:numPr>
                <w:ilvl w:val="0"/>
                <w:numId w:val="0"/>
              </w:numPr>
              <w:jc w:val="both"/>
              <w:textAlignment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1、尺寸：≥55 英寸；分辨率：≥1920 </w:t>
            </w:r>
          </w:p>
          <w:p>
            <w:pPr>
              <w:widowControl/>
              <w:numPr>
                <w:ilvl w:val="0"/>
                <w:numId w:val="0"/>
              </w:numPr>
              <w:jc w:val="both"/>
              <w:textAlignment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x1080；屏幕亮度：500cd/m² </w:t>
            </w:r>
          </w:p>
          <w:p>
            <w:pPr>
              <w:widowControl/>
              <w:numPr>
                <w:ilvl w:val="0"/>
                <w:numId w:val="0"/>
              </w:numPr>
              <w:jc w:val="both"/>
              <w:textAlignment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2、丰富的接口：支持AV、HDMI、DTMB 、USB等信号格式；</w:t>
            </w:r>
          </w:p>
          <w:p>
            <w:pPr>
              <w:widowControl/>
              <w:numPr>
                <w:ilvl w:val="0"/>
                <w:numId w:val="0"/>
              </w:numPr>
              <w:jc w:val="both"/>
              <w:textAlignment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3、CPU </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Arial" w:hAnsi="Arial" w:eastAsia="宋体" w:cs="Arial"/>
                <w:color w:val="000000" w:themeColor="text1"/>
                <w:kern w:val="0"/>
                <w:sz w:val="28"/>
                <w:szCs w:val="28"/>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bidi="ar"/>
                <w14:textFill>
                  <w14:solidFill>
                    <w14:schemeClr w14:val="tx1"/>
                  </w14:solidFill>
                </w14:textFill>
              </w:rPr>
              <w:t>Cortex A35 四核</w:t>
            </w:r>
          </w:p>
          <w:p>
            <w:pPr>
              <w:widowControl/>
              <w:numPr>
                <w:ilvl w:val="0"/>
                <w:numId w:val="0"/>
              </w:numPr>
              <w:jc w:val="both"/>
              <w:textAlignment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4、内存 </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2GB</w:t>
            </w:r>
          </w:p>
          <w:p>
            <w:pPr>
              <w:widowControl/>
              <w:numPr>
                <w:ilvl w:val="0"/>
                <w:numId w:val="0"/>
              </w:numPr>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4、闪存 </w:t>
            </w:r>
            <w:r>
              <w:rPr>
                <w:rFonts w:hint="default" w:ascii="Arial" w:hAnsi="Arial" w:eastAsia="宋体" w:cs="Arial"/>
                <w:color w:val="000000" w:themeColor="text1"/>
                <w:kern w:val="0"/>
                <w:sz w:val="28"/>
                <w:szCs w:val="28"/>
                <w:lang w:val="en-US" w:eastAsia="zh-CN" w:bidi="ar"/>
                <w14:textFill>
                  <w14:solidFill>
                    <w14:schemeClr w14:val="tx1"/>
                  </w14:solidFill>
                </w14:textFill>
              </w:rPr>
              <w:t>≥</w:t>
            </w:r>
            <w:r>
              <w:rPr>
                <w:rFonts w:hint="eastAsia" w:ascii="Arial" w:hAnsi="Arial" w:eastAsia="宋体" w:cs="Arial"/>
                <w:color w:val="000000" w:themeColor="text1"/>
                <w:kern w:val="0"/>
                <w:sz w:val="28"/>
                <w:szCs w:val="28"/>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bidi="ar"/>
                <w14:textFill>
                  <w14:solidFill>
                    <w14:schemeClr w14:val="tx1"/>
                  </w14:solidFill>
                </w14:textFill>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shd w:val="clear" w:color="auto" w:fill="FFFFFF"/>
            <w:noWrap w:val="0"/>
            <w:vAlign w:val="center"/>
          </w:tcPr>
          <w:p>
            <w:pPr>
              <w:jc w:val="center"/>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1475"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bidi="ar"/>
              </w:rPr>
              <w:t>手持终端PDA</w:t>
            </w:r>
          </w:p>
        </w:tc>
        <w:tc>
          <w:tcPr>
            <w:tcW w:w="789"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把</w:t>
            </w:r>
          </w:p>
        </w:tc>
        <w:tc>
          <w:tcPr>
            <w:tcW w:w="1234"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w:t>
            </w:r>
          </w:p>
        </w:tc>
        <w:tc>
          <w:tcPr>
            <w:tcW w:w="5032" w:type="dxa"/>
            <w:shd w:val="clear" w:color="auto" w:fill="FFFFFF"/>
            <w:noWrap w:val="0"/>
            <w:vAlign w:val="center"/>
          </w:tcPr>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1、外观尺寸：不大于200mm(长）*100mm（宽）*25mm（厚）</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2、重量：不高于300克</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3、屏幕尺寸：不小于5寸</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4、屏幕分辨率：1280*720/全屏款分辨率1440*720</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5、触摸屏：多点触控，康宁三级玻璃钢化屏</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6、前置：不小于5.0MP</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7、后置：不小于13MP，自动对焦带闪光灯</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8、数据采集：支持一维码、二维码、高频RFID、超高频RFID识别</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9、电池容量：不小于4200mAh</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10、续航时间：不低于6小时（待机时间不低于200h）</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11、▲跌落测试：能经受多次从1.5米(5英尺)高度坠落，提供跌落试验检测报告</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12、▲防水防尘工业等级：≥IP65，提供认证证书</w:t>
            </w:r>
          </w:p>
          <w:p>
            <w:pPr>
              <w:widowControl/>
              <w:jc w:val="left"/>
              <w:textAlignment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auto"/>
                <w:kern w:val="0"/>
                <w:sz w:val="28"/>
                <w:szCs w:val="28"/>
                <w:lang w:val="en-US" w:eastAsia="zh-CN" w:bidi="ar"/>
              </w:rPr>
              <w:t>13、▲国家强制安全认证：必须通过国家强制性CCC认证，出具证书并加盖公章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shd w:val="clear" w:color="auto" w:fill="FFFFFF"/>
            <w:noWrap w:val="0"/>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475"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办公</w:t>
            </w:r>
            <w:r>
              <w:rPr>
                <w:rFonts w:hint="eastAsia" w:ascii="宋体" w:hAnsi="宋体" w:eastAsia="宋体" w:cs="宋体"/>
                <w:color w:val="auto"/>
                <w:kern w:val="0"/>
                <w:sz w:val="28"/>
                <w:szCs w:val="28"/>
                <w:lang w:bidi="ar"/>
              </w:rPr>
              <w:t>电脑</w:t>
            </w:r>
          </w:p>
        </w:tc>
        <w:tc>
          <w:tcPr>
            <w:tcW w:w="789"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台</w:t>
            </w:r>
          </w:p>
        </w:tc>
        <w:tc>
          <w:tcPr>
            <w:tcW w:w="1234"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w:t>
            </w:r>
          </w:p>
        </w:tc>
        <w:tc>
          <w:tcPr>
            <w:tcW w:w="5032" w:type="dxa"/>
            <w:shd w:val="clear" w:color="auto" w:fill="FFFFFF"/>
            <w:noWrap w:val="0"/>
            <w:vAlign w:val="center"/>
          </w:tcPr>
          <w:p>
            <w:pPr>
              <w:widowControl/>
              <w:numPr>
                <w:ilvl w:val="0"/>
                <w:numId w:val="0"/>
              </w:numPr>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1、CPU：核心数不低于六核</w:t>
            </w:r>
          </w:p>
          <w:p>
            <w:pPr>
              <w:widowControl/>
              <w:numPr>
                <w:ilvl w:val="0"/>
                <w:numId w:val="0"/>
              </w:numPr>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2、CPU型号：十代智能英特尔酷睿i5处理器及以上</w:t>
            </w:r>
          </w:p>
          <w:p>
            <w:pPr>
              <w:widowControl/>
              <w:numPr>
                <w:ilvl w:val="0"/>
                <w:numId w:val="0"/>
              </w:numPr>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3、显卡：集成显卡</w:t>
            </w:r>
          </w:p>
          <w:p>
            <w:pPr>
              <w:widowControl/>
              <w:numPr>
                <w:ilvl w:val="0"/>
                <w:numId w:val="0"/>
              </w:numPr>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4、硬盘容量：1TB及以上</w:t>
            </w:r>
          </w:p>
          <w:p>
            <w:pPr>
              <w:widowControl/>
              <w:numPr>
                <w:ilvl w:val="0"/>
                <w:numId w:val="0"/>
              </w:numPr>
              <w:ind w:left="0" w:leftChars="0" w:firstLine="0" w:firstLineChars="0"/>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5、显示器：屏幕尺寸不低于27英寸，分辨率1920*1080dpi(全高清）及以上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shd w:val="clear" w:color="auto" w:fill="FFFFFF"/>
            <w:noWrap w:val="0"/>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475"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财务票据打印机</w:t>
            </w:r>
          </w:p>
        </w:tc>
        <w:tc>
          <w:tcPr>
            <w:tcW w:w="789"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台</w:t>
            </w:r>
          </w:p>
        </w:tc>
        <w:tc>
          <w:tcPr>
            <w:tcW w:w="1234"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w:t>
            </w:r>
          </w:p>
        </w:tc>
        <w:tc>
          <w:tcPr>
            <w:tcW w:w="5032" w:type="dxa"/>
            <w:shd w:val="clear" w:color="auto" w:fill="FFFFFF"/>
            <w:noWrap w:val="0"/>
            <w:vAlign w:val="center"/>
          </w:tcPr>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1、打印针数：不低于24针</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2、接口类型：支持USB接口</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3、打印速度：超高速不低于260CPS，高速不低于242CPS，正常不低于121CPS</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4、打印分辨率：不低于360*360dpi</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5、打印针寿命：不低于4亿针</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6、噪音：小于51dB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shd w:val="clear" w:color="auto" w:fill="FFFFFF"/>
            <w:noWrap w:val="0"/>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p>
        </w:tc>
        <w:tc>
          <w:tcPr>
            <w:tcW w:w="1475"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普通条码打印机</w:t>
            </w:r>
          </w:p>
        </w:tc>
        <w:tc>
          <w:tcPr>
            <w:tcW w:w="789"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台</w:t>
            </w:r>
          </w:p>
        </w:tc>
        <w:tc>
          <w:tcPr>
            <w:tcW w:w="1234"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w:t>
            </w:r>
          </w:p>
        </w:tc>
        <w:tc>
          <w:tcPr>
            <w:tcW w:w="5032" w:type="dxa"/>
            <w:shd w:val="clear" w:color="auto" w:fill="FFFFFF"/>
            <w:noWrap w:val="0"/>
            <w:vAlign w:val="center"/>
          </w:tcPr>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1、打印方式：支持热敏式，热转印式</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2、打印宽度：不窄于4.09 英寸/104 毫米</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3、打印分辨率：不低于300dpi/每毫米12点</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4、打印速度：不低于4 ips/每秒</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5、纸张探测方式：支持反射式（可移动）、穿透式（居中/偏右）</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6、通信方式：支持RS-232 串口、USB DEVICE 2.0、蓝牙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shd w:val="clear" w:color="auto" w:fill="FFFFFF"/>
            <w:noWrap w:val="0"/>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w:t>
            </w:r>
          </w:p>
        </w:tc>
        <w:tc>
          <w:tcPr>
            <w:tcW w:w="1475"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RFID读写打印机</w:t>
            </w:r>
          </w:p>
        </w:tc>
        <w:tc>
          <w:tcPr>
            <w:tcW w:w="789"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台</w:t>
            </w:r>
          </w:p>
        </w:tc>
        <w:tc>
          <w:tcPr>
            <w:tcW w:w="1234"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w:t>
            </w:r>
          </w:p>
        </w:tc>
        <w:tc>
          <w:tcPr>
            <w:tcW w:w="5032" w:type="dxa"/>
            <w:shd w:val="clear" w:color="auto" w:fill="FFFFFF"/>
            <w:noWrap w:val="0"/>
            <w:vAlign w:val="center"/>
          </w:tcPr>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1、打印宽度：不窄于4.09 英寸/104 毫米</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2、打印分辨率：不低于300dpi/每毫米12点</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3、打印速度：不低于14 ips/每秒</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4、可调双介质传感器：投射式和反射式</w:t>
            </w:r>
          </w:p>
          <w:p>
            <w:pPr>
              <w:widowControl/>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5、通信方式：支持USB2.0高速接口、RS-232串行接口、10/100 以太网、蓝牙 4.1、双 USB 主机端口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shd w:val="clear" w:color="auto" w:fill="FFFFFF"/>
            <w:noWrap w:val="0"/>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w:t>
            </w:r>
          </w:p>
        </w:tc>
        <w:tc>
          <w:tcPr>
            <w:tcW w:w="1475"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扫码枪</w:t>
            </w:r>
          </w:p>
        </w:tc>
        <w:tc>
          <w:tcPr>
            <w:tcW w:w="789"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台</w:t>
            </w:r>
          </w:p>
        </w:tc>
        <w:tc>
          <w:tcPr>
            <w:tcW w:w="1234" w:type="dxa"/>
            <w:shd w:val="clear" w:color="auto" w:fill="FFFFFF"/>
            <w:noWrap w:val="0"/>
            <w:vAlign w:val="center"/>
          </w:tcPr>
          <w:p>
            <w:pPr>
              <w:widowControl/>
              <w:jc w:val="center"/>
              <w:textAlignment w:val="center"/>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30</w:t>
            </w:r>
          </w:p>
        </w:tc>
        <w:tc>
          <w:tcPr>
            <w:tcW w:w="5032" w:type="dxa"/>
            <w:shd w:val="clear" w:color="auto" w:fill="FFFFFF"/>
            <w:noWrap w:val="0"/>
            <w:vAlign w:val="center"/>
          </w:tcPr>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1、扫码方式：二维影像扫描；</w:t>
            </w:r>
          </w:p>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2、密封等级：IP42 及以上；</w:t>
            </w:r>
          </w:p>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3、可承受 1.5 米≥2000 次摔落 ；</w:t>
            </w:r>
          </w:p>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4、支持 USB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shd w:val="clear" w:color="auto" w:fill="FFFFFF"/>
            <w:noWrap w:val="0"/>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w:t>
            </w:r>
          </w:p>
        </w:tc>
        <w:tc>
          <w:tcPr>
            <w:tcW w:w="1475"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院内</w:t>
            </w:r>
            <w:r>
              <w:rPr>
                <w:rFonts w:hint="eastAsia" w:ascii="宋体" w:hAnsi="宋体" w:eastAsia="宋体" w:cs="宋体"/>
                <w:color w:val="auto"/>
                <w:kern w:val="0"/>
                <w:sz w:val="28"/>
                <w:szCs w:val="28"/>
                <w:lang w:bidi="ar"/>
              </w:rPr>
              <w:t>服务器</w:t>
            </w:r>
          </w:p>
        </w:tc>
        <w:tc>
          <w:tcPr>
            <w:tcW w:w="789"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bidi="ar"/>
              </w:rPr>
            </w:pPr>
            <w:r>
              <w:rPr>
                <w:rFonts w:hint="eastAsia" w:ascii="宋体" w:hAnsi="宋体" w:eastAsia="宋体" w:cs="宋体"/>
                <w:color w:val="auto"/>
                <w:kern w:val="0"/>
                <w:sz w:val="28"/>
                <w:szCs w:val="28"/>
                <w:lang w:val="en-US" w:eastAsia="zh-CN" w:bidi="ar"/>
              </w:rPr>
              <w:t>台</w:t>
            </w:r>
          </w:p>
        </w:tc>
        <w:tc>
          <w:tcPr>
            <w:tcW w:w="1234"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w:t>
            </w:r>
          </w:p>
        </w:tc>
        <w:tc>
          <w:tcPr>
            <w:tcW w:w="5032" w:type="dxa"/>
            <w:shd w:val="clear" w:color="auto" w:fill="FFFFFF"/>
            <w:noWrap w:val="0"/>
            <w:vAlign w:val="center"/>
          </w:tcPr>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1、CPU频率:不低于2.1GHz</w:t>
            </w:r>
          </w:p>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2、智能加速主频：不低于2.6GHz</w:t>
            </w:r>
          </w:p>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3、CPU数量：不少于1个</w:t>
            </w:r>
          </w:p>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4、二级缓存：不少于15MB</w:t>
            </w:r>
          </w:p>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5、CPU核心：不低于六核</w:t>
            </w:r>
          </w:p>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6、CPU线程数：不低于12线程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05" w:type="dxa"/>
            <w:shd w:val="clear" w:color="auto" w:fill="FFFFFF"/>
            <w:noWrap w:val="0"/>
            <w:vAlign w:val="center"/>
          </w:tcPr>
          <w:p>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w:t>
            </w:r>
          </w:p>
        </w:tc>
        <w:tc>
          <w:tcPr>
            <w:tcW w:w="1475"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云</w:t>
            </w:r>
            <w:r>
              <w:rPr>
                <w:rFonts w:hint="eastAsia" w:ascii="宋体" w:hAnsi="宋体" w:eastAsia="宋体" w:cs="宋体"/>
                <w:color w:val="auto"/>
                <w:kern w:val="0"/>
                <w:sz w:val="28"/>
                <w:szCs w:val="28"/>
                <w:lang w:bidi="ar"/>
              </w:rPr>
              <w:t>服务器</w:t>
            </w:r>
          </w:p>
        </w:tc>
        <w:tc>
          <w:tcPr>
            <w:tcW w:w="789"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台</w:t>
            </w:r>
          </w:p>
        </w:tc>
        <w:tc>
          <w:tcPr>
            <w:tcW w:w="1234" w:type="dxa"/>
            <w:shd w:val="clear" w:color="auto" w:fill="FFFFFF"/>
            <w:noWrap w:val="0"/>
            <w:vAlign w:val="center"/>
          </w:tcPr>
          <w:p>
            <w:pPr>
              <w:widowControl/>
              <w:jc w:val="center"/>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w:t>
            </w:r>
          </w:p>
        </w:tc>
        <w:tc>
          <w:tcPr>
            <w:tcW w:w="5032" w:type="dxa"/>
            <w:shd w:val="clear" w:color="auto" w:fill="FFFFFF"/>
            <w:noWrap w:val="0"/>
            <w:vAlign w:val="center"/>
          </w:tcPr>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1、内存：不低于2核8GB</w:t>
            </w:r>
          </w:p>
          <w:p>
            <w:pPr>
              <w:widowControl/>
              <w:jc w:val="both"/>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2、处理器：主频不低于2.4GHz，支持ESSD云盘、SSD云盘和高效云盘</w:t>
            </w:r>
          </w:p>
        </w:tc>
      </w:tr>
    </w:tbl>
    <w:p>
      <w:pPr>
        <w:pStyle w:val="3"/>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（六）项目运营人员要求</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▲驻院运营服务人员人数须满足日常系统运维服务和院内物流推送服务需求，保障医院医用物资供给及时、安全，派驻人员不得少于3人。人员要求专业化、年轻化，而且技术熟练，服务热情，素质过硬。</w:t>
      </w:r>
    </w:p>
    <w:p>
      <w:pPr>
        <w:pStyle w:val="3"/>
        <w:bidi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（七）商务条款</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中标人与医用物资等供应商签订SPD服务协议，SPD服务费比例不高于中标人的中标价（费率），医用物资等供应商按月向中标人支付以上费用，其中集中带量采购耗材、检验试剂相关费用按国家相关政策执行。招标人有权监督上述商业协议的正常执行，并对于违反上述商业协定追究违约责任。因国家采购政策出台或调整而引起价格变动的产品根据相关政策执行。</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2.服务范围：</w:t>
      </w:r>
      <w:bookmarkStart w:id="16" w:name="_GoBack"/>
      <w:bookmarkEnd w:id="16"/>
      <w:r>
        <w:rPr>
          <w:rFonts w:hint="eastAsia" w:ascii="宋体" w:hAnsi="宋体" w:eastAsia="宋体" w:cs="宋体"/>
          <w:color w:val="auto"/>
          <w:sz w:val="28"/>
          <w:szCs w:val="28"/>
          <w:lang w:val="en-US" w:eastAsia="zh-CN" w:bidi="ar-SA"/>
        </w:rPr>
        <w:t>医院所属各科室所有的医用物资，根据项目计划及情况逐步实施至各个临床科室。中标人无条件配合招标人的需求安排。</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中标人为医院提供医用物资院内物流的全过程服务。其负责服务的产品风险转移时间点为：医院在收取患者费用后（高值耗材）或科室签收启封使用之后（高、低值耗材），科室对产品的签收不代表风险转移。在此之前产品的风险由前端供应商及中标人共同承担。在此之前的储存和运输等环节，即所有权发生转移之前仍归前端供应商所有。供应商配送的产品，在产品送至医院SPD中心仓库前由其自行负责，风险由其自行承担。</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医院对中标人的服务实行考核机制，对其服务的及时性、准确率、应急处理、质量合格率、资质及产品有效性、冷链管理、业务人员服务满意率、流程建设、SPD平台运行情况等方面进行考核（考核标准作为合同附件或与中标的运营商另行签订补充协议确定，中标人对医院制定的考核条件及标准应无条件予以认可）。</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中标人不得私自泄露医院的采购目录、价格等合同信息，且不得私自统计耗材规格、用量等相关信息，一经发现，招标人有权解除或终止合同。情节严重时或给招标人造成不良影响或经济损失的，招标人有权视经济损失对中标人进行相应经济处罚，并保留追究中标人法律责任的权利。</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6.系统数据归属权</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涉及医用物资精细化管理（SPD）的所有支撑信息管理平台及相关数据所有权、使用权永久归属医院，运营商不能设置密码等权限来限制医院的正常使用。在合同期内按照医院需求，及时对软件的各种功能进行实时升级、优化修改等，并提供本合同期限内免费运维服务。中标人不得再要求招标人支付因以上医疗设备信息管理系统软件、管理软件及相关数据的处理（包括但不限于升级、优化修改等）所需的差旅、人工、材料等任何费用。</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7.实施要求</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1）SPD各环节必须接受招标人相关职能部门监管。SPD运营模式不改变招标人现有供应商体系，医院所有医用物资准入及管理全部由招标人负责。在项目建设过程中，由招标人确定品种目录，“SPD平台”运营商不得自行增减任何品种或供应商体系。提供保障供给安全不断供的承诺以及破损、过期、丢失等损失责任自负承诺函。</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积极响应招标人日常业务工作指导和考核等事项。对于医院主管部门按照国家相关法律法规、规范及医院相关规章制度，对医用物资日常供应配送的信息维护、产品入库、出库、临床服务满意度等进行的监督、检查和指导，要主动配合和做好全方位的服务工作；对于涉及的各类报表和材料以及迎接各级的检查考核等任务时，要做到准备充分、数据准确、及时高效。</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（3）保证信息数据安全。实现医院和供应商的信息无缝对接，提高信息交互的实时性和准确性。同时，提供系统安全和稳定的说明，并针对系统安全及数据安全、数据备份加以详细描述。</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（4）应急情况处理要求：运维过程中出现不同级别故障或者紧急情况时，中标人能提供一套成熟完善的应急处理预案，确保供应链业务正常进行。</w:t>
      </w:r>
    </w:p>
    <w:p>
      <w:pPr>
        <w:spacing w:line="360" w:lineRule="auto"/>
        <w:ind w:firstLine="560" w:firstLineChars="2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8.风险责任</w:t>
      </w:r>
    </w:p>
    <w:p>
      <w:pPr>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lang w:val="en-US" w:eastAsia="zh-CN" w:bidi="ar-SA"/>
        </w:rPr>
        <w:t>（1）本项目合同期内的医用物资SPD服务管理系统所涉及的硬件、软件的投入、维护、维修、升级及院内运营人员</w:t>
      </w:r>
      <w:r>
        <w:rPr>
          <w:rFonts w:hint="eastAsia" w:ascii="宋体" w:hAnsi="宋体" w:eastAsia="宋体" w:cs="宋体"/>
          <w:color w:val="auto"/>
          <w:sz w:val="28"/>
          <w:szCs w:val="28"/>
          <w:highlight w:val="none"/>
          <w:lang w:val="en-US" w:eastAsia="zh-CN" w:bidi="ar-SA"/>
        </w:rPr>
        <w:t>由中标人负责。项目实施过程中需增加的软件功能、涉及硬件及设备等，由中标人承担。项目中与其他系统产生的接口费由中标人负责。</w:t>
      </w:r>
    </w:p>
    <w:p>
      <w:pPr>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项目执行期间，若遇到国家医用物资相关政策调整（国家统一耗材条码、阳光采购平台对接），中标人承诺应无条件根据国家政策做出相应的调整和优化。如遇国家、省新的政策变动与本项目内容相冲突，以国家、省标准为准，所造成损失由中标人自行承担。</w:t>
      </w:r>
    </w:p>
    <w:p>
      <w:pPr>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 xml:space="preserve">（3）中标人应在规定期限内与招标人签订合同，若中标人未能在规定期限内签订合同，招标人有权取消中标人中标资格，并将相关违约行为报送监管部门，实施信用惩戒； </w:t>
      </w:r>
    </w:p>
    <w:p>
      <w:pPr>
        <w:spacing w:line="360" w:lineRule="auto"/>
        <w:rPr>
          <w:rFonts w:hint="eastAsia"/>
          <w:color w:val="auto"/>
          <w:highlight w:val="none"/>
          <w:lang w:val="en-US" w:eastAsia="zh-CN"/>
        </w:rPr>
      </w:pPr>
      <w:r>
        <w:rPr>
          <w:rFonts w:hint="eastAsia" w:ascii="宋体" w:hAnsi="宋体" w:eastAsia="宋体" w:cs="宋体"/>
          <w:color w:val="auto"/>
          <w:sz w:val="28"/>
          <w:szCs w:val="28"/>
          <w:highlight w:val="none"/>
          <w:lang w:val="en-US" w:eastAsia="zh-CN" w:bidi="ar-SA"/>
        </w:rPr>
        <w:t>（4）合同签订后，中标人存在规定时间内不组织人员进场开工，不履行供货、安装或服务义务等情况，招标人有权解除合同，并追究违约责任，同时将相关违约行为报送监管部门，记不良行为记录，实施信用惩戒。</w:t>
      </w:r>
    </w:p>
    <w:p>
      <w:pPr>
        <w:pStyle w:val="3"/>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（八）费用报价及结算方式</w:t>
      </w:r>
    </w:p>
    <w:p>
      <w:pPr>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1）收费来源：向在上述系统中发生业务关系的医用物资供应商收取。</w:t>
      </w:r>
    </w:p>
    <w:p>
      <w:pPr>
        <w:tabs>
          <w:tab w:val="left" w:pos="3150"/>
        </w:tabs>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w:t>
      </w:r>
      <w:bookmarkStart w:id="15" w:name="_Hlk167268929"/>
      <w:r>
        <w:rPr>
          <w:rFonts w:hint="eastAsia" w:ascii="宋体" w:hAnsi="宋体" w:eastAsia="宋体" w:cs="宋体"/>
          <w:color w:val="auto"/>
          <w:sz w:val="28"/>
          <w:szCs w:val="28"/>
          <w:highlight w:val="none"/>
          <w:lang w:val="en-US" w:eastAsia="zh-CN" w:bidi="ar-SA"/>
        </w:rPr>
        <w:t>收取比例报价要求：</w:t>
      </w:r>
      <w:bookmarkEnd w:id="15"/>
      <w:r>
        <w:rPr>
          <w:rFonts w:hint="eastAsia" w:ascii="宋体" w:hAnsi="宋体" w:eastAsia="宋体" w:cs="宋体"/>
          <w:color w:val="auto"/>
          <w:sz w:val="28"/>
          <w:szCs w:val="28"/>
          <w:highlight w:val="none"/>
          <w:lang w:val="en-US" w:eastAsia="zh-CN" w:bidi="ar-SA"/>
        </w:rPr>
        <w:t>投标人向耗材供应商收取配送服务费率。投标人 SPD 平台物流服务费按照为医院提供 SPD服务的医用耗材消耗金额的百分比报价。最高投标报价不得＞5%。</w:t>
      </w:r>
    </w:p>
    <w:p>
      <w:pPr>
        <w:tabs>
          <w:tab w:val="left" w:pos="3150"/>
        </w:tabs>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具体以中标人与甲方的医用物资供应商签订的协议费率为准且不得超过中标价（费率）。</w:t>
      </w:r>
    </w:p>
    <w:p>
      <w:pPr>
        <w:tabs>
          <w:tab w:val="left" w:pos="3150"/>
        </w:tabs>
        <w:spacing w:line="360" w:lineRule="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注：（1）除本项目外，在合同期内与医院不再有任何其他销售业务往来，包括药品、医用耗材、检验试剂或设备等业务。</w:t>
      </w:r>
    </w:p>
    <w:p>
      <w:pPr>
        <w:tabs>
          <w:tab w:val="left" w:pos="3150"/>
        </w:tabs>
        <w:spacing w:line="360" w:lineRule="auto"/>
        <w:rPr>
          <w:rFonts w:hint="default"/>
          <w:color w:val="auto"/>
          <w:highlight w:val="none"/>
          <w:lang w:val="en-US" w:eastAsia="zh-CN"/>
        </w:rPr>
      </w:pPr>
      <w:r>
        <w:rPr>
          <w:rFonts w:hint="eastAsia" w:ascii="宋体" w:hAnsi="宋体" w:eastAsia="宋体" w:cs="宋体"/>
          <w:color w:val="auto"/>
          <w:sz w:val="28"/>
          <w:szCs w:val="28"/>
          <w:highlight w:val="none"/>
          <w:lang w:val="en-US" w:eastAsia="zh-CN" w:bidi="ar-SA"/>
        </w:rPr>
        <w:t>（2）不得干扰医疗机构选耗材配送企业及遴选耗材使用品类权利。</w:t>
      </w:r>
    </w:p>
    <w:p>
      <w:pPr>
        <w:pStyle w:val="2"/>
        <w:numPr>
          <w:ilvl w:val="0"/>
          <w:numId w:val="2"/>
        </w:numPr>
        <w:bidi w:val="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综合说明：</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highlight w:val="none"/>
          <w:lang w:val="en-US" w:eastAsia="zh-CN" w:bidi="ar-SA"/>
        </w:rPr>
        <w:t>1．投标人必须具备独立完成本项目的能力</w:t>
      </w:r>
      <w:r>
        <w:rPr>
          <w:rFonts w:hint="eastAsia" w:ascii="宋体" w:hAnsi="宋体" w:eastAsia="宋体" w:cs="宋体"/>
          <w:color w:val="auto"/>
          <w:sz w:val="28"/>
          <w:szCs w:val="28"/>
          <w:lang w:val="en-US" w:eastAsia="zh-CN" w:bidi="ar-SA"/>
        </w:rPr>
        <w:t>。各投标人可于本项目公示后自行前往采购单位进行调研，了解项目情况及详细需求，但投标人不得因此使招标单位承担有关的责任和蒙受损失。投标人应承担前期调研的责任和风险，相关费用由投标人自行承担。投标人中标后，不得以不完全了解现场情况为理由而向采购单位提出任何索赔的要求，对此采购单位不承担任何责任并将不做任何答复与考虑。</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2．投标人应本着认真负责的态度组织项目团队，投标文件中的项目组主要成员名单，在中标后不经招标人允许不得随意更改，否则，招标人有权作为违约处理直至终止合同。</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3．项目实施地点：阿勒泰市人民医院。</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4.投标人须对招标文件中提出的全部技术规格与要求作出响应，如果存在其中某些条款不响应，应在文件中逐条列出，未列出的视同响应。</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5.投标报价包括质量管理体系、运营管理体系和服务体系的搭建或购买、住宿费、餐饮费、人工费、材料费、管理费、利润、设备使用费、服务费等应有费用，中华人民共和国根据现行税法征收的与本合同有关的一切税费。全部费用由乙方承担，甲方不再支付报价之外的任何费用。同时，除非合同条款中另有规定，否则，投标单位所报价格在合同实施期间不因市场变化因素而变动。投标单位漏报或不报，招标人将视为有关费用已包括在清单项目的其它单价及合价中而不予支付。招标文件中另有规定的除外。</w:t>
      </w:r>
    </w:p>
    <w:p>
      <w:pPr>
        <w:spacing w:line="360" w:lineRule="auto"/>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6.凡涉及招标文件的补充说明和修改，均以招标机构书面通知为准。</w:t>
      </w:r>
    </w:p>
    <w:p>
      <w:pPr>
        <w:rPr>
          <w:rFonts w:hint="eastAsia" w:ascii="宋体" w:hAnsi="宋体" w:eastAsia="宋体" w:cs="宋体"/>
          <w:color w:val="auto"/>
          <w:sz w:val="28"/>
          <w:szCs w:val="28"/>
          <w:lang w:eastAsia="zh-CN"/>
        </w:rPr>
      </w:pPr>
    </w:p>
    <w:p>
      <w:pPr>
        <w:pStyle w:val="9"/>
        <w:spacing w:line="360" w:lineRule="auto"/>
        <w:rPr>
          <w:rFonts w:hint="eastAsia" w:ascii="宋体" w:hAnsi="宋体"/>
          <w:bCs/>
          <w:color w:val="auto"/>
          <w:sz w:val="24"/>
          <w:highlight w:val="none"/>
        </w:rPr>
      </w:pPr>
      <w:r>
        <w:rPr>
          <w:rFonts w:hint="eastAsia" w:ascii="宋体" w:hAnsi="宋体"/>
          <w:b/>
          <w:bCs/>
          <w:color w:val="auto"/>
          <w:sz w:val="24"/>
          <w:highlight w:val="none"/>
        </w:rPr>
        <w:t>二、评标标准</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12"/>
        <w:gridCol w:w="1238"/>
        <w:gridCol w:w="3124"/>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noWrap w:val="0"/>
            <w:vAlign w:val="top"/>
          </w:tcPr>
          <w:p>
            <w:pPr>
              <w:pStyle w:val="9"/>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212" w:type="dxa"/>
            <w:noWrap w:val="0"/>
            <w:vAlign w:val="top"/>
          </w:tcPr>
          <w:p>
            <w:pPr>
              <w:pStyle w:val="9"/>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w:t>
            </w:r>
          </w:p>
        </w:tc>
        <w:tc>
          <w:tcPr>
            <w:tcW w:w="1238" w:type="dxa"/>
            <w:noWrap w:val="0"/>
            <w:vAlign w:val="top"/>
          </w:tcPr>
          <w:p>
            <w:pPr>
              <w:pStyle w:val="9"/>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3124" w:type="dxa"/>
            <w:noWrap w:val="0"/>
            <w:vAlign w:val="top"/>
          </w:tcPr>
          <w:p>
            <w:pPr>
              <w:pStyle w:val="9"/>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评分标准</w:t>
            </w:r>
          </w:p>
        </w:tc>
        <w:tc>
          <w:tcPr>
            <w:tcW w:w="2205" w:type="dxa"/>
            <w:noWrap w:val="0"/>
            <w:vAlign w:val="top"/>
          </w:tcPr>
          <w:p>
            <w:pPr>
              <w:pStyle w:val="9"/>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noWrap w:val="0"/>
            <w:vAlign w:val="center"/>
          </w:tcPr>
          <w:p>
            <w:pPr>
              <w:numPr>
                <w:ilvl w:val="0"/>
                <w:numId w:val="4"/>
              </w:numPr>
              <w:spacing w:line="360" w:lineRule="auto"/>
              <w:ind w:left="635" w:leftChars="0" w:hanging="425" w:firstLineChars="0"/>
              <w:rPr>
                <w:rFonts w:hint="eastAsia" w:ascii="宋体" w:hAnsi="宋体" w:eastAsia="宋体" w:cs="宋体"/>
                <w:color w:val="auto"/>
                <w:sz w:val="24"/>
                <w:highlight w:val="none"/>
              </w:rPr>
            </w:pPr>
          </w:p>
        </w:tc>
        <w:tc>
          <w:tcPr>
            <w:tcW w:w="1212"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投标报价</w:t>
            </w:r>
          </w:p>
        </w:tc>
        <w:tc>
          <w:tcPr>
            <w:tcW w:w="1238" w:type="dxa"/>
            <w:noWrap w:val="0"/>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10分</w:t>
            </w:r>
          </w:p>
        </w:tc>
        <w:tc>
          <w:tcPr>
            <w:tcW w:w="3124" w:type="dxa"/>
            <w:noWrap w:val="0"/>
            <w:vAlign w:val="center"/>
          </w:tcPr>
          <w:p>
            <w:pPr>
              <w:spacing w:line="360" w:lineRule="auto"/>
              <w:ind w:firstLine="240" w:firstLineChars="1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按投标人向耗材供应商收取配送服务费率评分。</w:t>
            </w:r>
          </w:p>
        </w:tc>
        <w:tc>
          <w:tcPr>
            <w:tcW w:w="2205" w:type="dxa"/>
            <w:noWrap w:val="0"/>
            <w:vAlign w:val="center"/>
          </w:tcPr>
          <w:p>
            <w:pPr>
              <w:spacing w:line="360" w:lineRule="auto"/>
              <w:rPr>
                <w:rFonts w:hint="default"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noWrap w:val="0"/>
            <w:vAlign w:val="center"/>
          </w:tcPr>
          <w:p>
            <w:pPr>
              <w:numPr>
                <w:ilvl w:val="0"/>
                <w:numId w:val="4"/>
              </w:numPr>
              <w:spacing w:line="360" w:lineRule="auto"/>
              <w:ind w:left="635" w:leftChars="0" w:hanging="425" w:firstLineChars="0"/>
              <w:rPr>
                <w:rFonts w:hint="eastAsia" w:ascii="宋体" w:hAnsi="宋体" w:eastAsia="宋体" w:cs="宋体"/>
                <w:color w:val="auto"/>
                <w:sz w:val="24"/>
                <w:highlight w:val="none"/>
              </w:rPr>
            </w:pPr>
          </w:p>
        </w:tc>
        <w:tc>
          <w:tcPr>
            <w:tcW w:w="1212"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业   绩</w:t>
            </w:r>
          </w:p>
        </w:tc>
        <w:tc>
          <w:tcPr>
            <w:tcW w:w="1238" w:type="dxa"/>
            <w:noWrap w:val="0"/>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10分</w:t>
            </w:r>
          </w:p>
        </w:tc>
        <w:tc>
          <w:tcPr>
            <w:tcW w:w="3124"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投标人提供近三年（202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年01月01日-至投标截止时间）</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lang w:val="en-US" w:eastAsia="zh-CN"/>
              </w:rPr>
              <w:t>或SPD厂家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类似</w:t>
            </w:r>
            <w:r>
              <w:rPr>
                <w:rFonts w:hint="eastAsia" w:ascii="宋体" w:hAnsi="宋体" w:eastAsia="宋体" w:cs="宋体"/>
                <w:color w:val="auto"/>
                <w:sz w:val="24"/>
                <w:highlight w:val="none"/>
              </w:rPr>
              <w:t>业绩</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每提供一项得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分，最多得</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tc>
        <w:tc>
          <w:tcPr>
            <w:tcW w:w="2205"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证明资料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中标通知书</w:t>
            </w:r>
            <w:r>
              <w:rPr>
                <w:rFonts w:hint="eastAsia" w:ascii="宋体" w:hAnsi="宋体" w:eastAsia="宋体" w:cs="宋体"/>
                <w:color w:val="auto"/>
                <w:sz w:val="24"/>
                <w:highlight w:val="none"/>
                <w:lang w:eastAsia="zh-CN"/>
              </w:rPr>
              <w:t>彩色扫描件</w:t>
            </w:r>
            <w:r>
              <w:rPr>
                <w:rFonts w:hint="eastAsia" w:ascii="宋体" w:hAnsi="宋体" w:eastAsia="宋体" w:cs="宋体"/>
                <w:color w:val="auto"/>
                <w:sz w:val="24"/>
                <w:highlight w:val="none"/>
              </w:rPr>
              <w:t>加盖公章为准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w:t>
            </w:r>
            <w:r>
              <w:rPr>
                <w:rFonts w:hint="eastAsia" w:ascii="宋体" w:hAnsi="宋体" w:eastAsia="宋体" w:cs="宋体"/>
                <w:color w:val="auto"/>
                <w:sz w:val="24"/>
                <w:highlight w:val="none"/>
                <w:lang w:eastAsia="zh-CN"/>
              </w:rPr>
              <w:t>按要求</w:t>
            </w:r>
            <w:r>
              <w:rPr>
                <w:rFonts w:hint="eastAsia" w:ascii="宋体" w:hAnsi="宋体" w:eastAsia="宋体" w:cs="宋体"/>
                <w:color w:val="auto"/>
                <w:sz w:val="24"/>
                <w:highlight w:val="none"/>
              </w:rPr>
              <w:t>提供证明资料或无法辨识的，视为无效业绩不计分。</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注：此项内容要求为投标人业绩。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7" w:hRule="atLeast"/>
        </w:trPr>
        <w:tc>
          <w:tcPr>
            <w:tcW w:w="743" w:type="dxa"/>
            <w:noWrap w:val="0"/>
            <w:vAlign w:val="center"/>
          </w:tcPr>
          <w:p>
            <w:pPr>
              <w:numPr>
                <w:ilvl w:val="0"/>
                <w:numId w:val="4"/>
              </w:numPr>
              <w:spacing w:line="360" w:lineRule="auto"/>
              <w:ind w:left="635" w:leftChars="0" w:hanging="425" w:firstLineChars="0"/>
              <w:rPr>
                <w:rFonts w:hint="eastAsia" w:ascii="宋体" w:hAnsi="宋体" w:eastAsia="宋体" w:cs="宋体"/>
                <w:color w:val="auto"/>
                <w:sz w:val="24"/>
                <w:highlight w:val="none"/>
              </w:rPr>
            </w:pPr>
          </w:p>
        </w:tc>
        <w:tc>
          <w:tcPr>
            <w:tcW w:w="1212" w:type="dxa"/>
            <w:noWrap w:val="0"/>
            <w:vAlign w:val="center"/>
          </w:tcPr>
          <w:p>
            <w:pPr>
              <w:numPr>
                <w:ilvl w:val="0"/>
                <w:numId w:val="0"/>
              </w:numPr>
              <w:shd w:val="clear" w:color="auto" w:fill="auto"/>
              <w:suppressAutoHyphens/>
              <w:spacing w:line="300" w:lineRule="exact"/>
              <w:ind w:left="0" w:leftChars="0" w:right="0" w:rightChars="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1"/>
                <w:szCs w:val="21"/>
                <w:highlight w:val="none"/>
                <w:lang w:val="en-US" w:eastAsia="zh-CN" w:bidi="ar-SA"/>
              </w:rPr>
              <w:t>履约服务能力</w:t>
            </w:r>
          </w:p>
        </w:tc>
        <w:tc>
          <w:tcPr>
            <w:tcW w:w="1238" w:type="dxa"/>
            <w:noWrap w:val="0"/>
            <w:vAlign w:val="center"/>
          </w:tcPr>
          <w:p>
            <w:pPr>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10分</w:t>
            </w:r>
          </w:p>
        </w:tc>
        <w:tc>
          <w:tcPr>
            <w:tcW w:w="3124" w:type="dxa"/>
            <w:noWrap w:val="0"/>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（1）提供SPD相关软件著作权原件或公证件或加盖公章的复印件，每项著作权得0.5分，最高</w:t>
            </w:r>
            <w:r>
              <w:rPr>
                <w:rFonts w:hint="default"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（2）提供智能硬件操作软件著作权原件或公证件或加盖公章的复印件每项得0.5分，最高</w:t>
            </w:r>
            <w:r>
              <w:rPr>
                <w:rFonts w:hint="default"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（3）SPD软件、智能硬件为同一生产厂家者得5分。</w:t>
            </w:r>
          </w:p>
        </w:tc>
        <w:tc>
          <w:tcPr>
            <w:tcW w:w="2205" w:type="dxa"/>
            <w:noWrap w:val="0"/>
            <w:vAlign w:val="center"/>
          </w:tcPr>
          <w:p>
            <w:pPr>
              <w:numPr>
                <w:ilvl w:val="0"/>
                <w:numId w:val="0"/>
              </w:numPr>
              <w:shd w:val="clear" w:color="auto" w:fill="auto"/>
              <w:suppressAutoHyphens/>
              <w:spacing w:line="300" w:lineRule="exact"/>
              <w:ind w:left="0" w:leftChars="0" w:right="0" w:rightChars="0" w:firstLine="0" w:firstLineChars="0"/>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7" w:hRule="atLeast"/>
        </w:trPr>
        <w:tc>
          <w:tcPr>
            <w:tcW w:w="743" w:type="dxa"/>
            <w:noWrap w:val="0"/>
            <w:vAlign w:val="center"/>
          </w:tcPr>
          <w:p>
            <w:pPr>
              <w:numPr>
                <w:ilvl w:val="0"/>
                <w:numId w:val="4"/>
              </w:numPr>
              <w:spacing w:line="360" w:lineRule="auto"/>
              <w:ind w:left="635" w:leftChars="0" w:hanging="425" w:firstLineChars="0"/>
              <w:rPr>
                <w:rFonts w:hint="eastAsia" w:ascii="宋体" w:hAnsi="宋体" w:eastAsia="宋体" w:cs="宋体"/>
                <w:color w:val="auto"/>
                <w:sz w:val="24"/>
                <w:highlight w:val="none"/>
              </w:rPr>
            </w:pPr>
          </w:p>
        </w:tc>
        <w:tc>
          <w:tcPr>
            <w:tcW w:w="1212"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技术指标响应</w:t>
            </w:r>
          </w:p>
        </w:tc>
        <w:tc>
          <w:tcPr>
            <w:tcW w:w="1238" w:type="dxa"/>
            <w:noWrap w:val="0"/>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32分</w:t>
            </w:r>
          </w:p>
        </w:tc>
        <w:tc>
          <w:tcPr>
            <w:tcW w:w="3124" w:type="dxa"/>
            <w:noWrap w:val="0"/>
            <w:vAlign w:val="center"/>
          </w:tcPr>
          <w:p>
            <w:pPr>
              <w:numPr>
                <w:ilvl w:val="0"/>
                <w:numId w:val="0"/>
              </w:numPr>
              <w:spacing w:line="360" w:lineRule="auto"/>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对招标文件技术规格要求的响应程度，每偏离（负偏离）1条指标的扣1分，标有“▲”指标的扣</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分，扣完为止；</w:t>
            </w:r>
          </w:p>
        </w:tc>
        <w:tc>
          <w:tcPr>
            <w:tcW w:w="2205" w:type="dxa"/>
            <w:noWrap w:val="0"/>
            <w:vAlign w:val="center"/>
          </w:tcPr>
          <w:p>
            <w:pPr>
              <w:spacing w:line="360" w:lineRule="auto"/>
              <w:ind w:firstLine="240" w:firstLineChars="1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noWrap w:val="0"/>
            <w:vAlign w:val="center"/>
          </w:tcPr>
          <w:p>
            <w:pPr>
              <w:numPr>
                <w:ilvl w:val="0"/>
                <w:numId w:val="4"/>
              </w:numPr>
              <w:spacing w:line="360" w:lineRule="auto"/>
              <w:ind w:left="635" w:leftChars="0" w:hanging="425" w:firstLineChars="0"/>
              <w:rPr>
                <w:rFonts w:hint="eastAsia" w:ascii="宋体" w:hAnsi="宋体" w:eastAsia="宋体" w:cs="宋体"/>
                <w:color w:val="auto"/>
                <w:sz w:val="24"/>
                <w:highlight w:val="none"/>
              </w:rPr>
            </w:pPr>
          </w:p>
        </w:tc>
        <w:tc>
          <w:tcPr>
            <w:tcW w:w="1212"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上线时间</w:t>
            </w:r>
          </w:p>
        </w:tc>
        <w:tc>
          <w:tcPr>
            <w:tcW w:w="1238" w:type="dxa"/>
            <w:noWrap w:val="0"/>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3分</w:t>
            </w:r>
          </w:p>
        </w:tc>
        <w:tc>
          <w:tcPr>
            <w:tcW w:w="3124" w:type="dxa"/>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满足招标文件要求</w:t>
            </w:r>
            <w:r>
              <w:rPr>
                <w:rFonts w:hint="eastAsia" w:ascii="宋体" w:hAnsi="宋体" w:eastAsia="宋体" w:cs="宋体"/>
                <w:color w:val="auto"/>
                <w:sz w:val="24"/>
                <w:highlight w:val="none"/>
                <w:lang w:eastAsia="zh-CN"/>
              </w:rPr>
              <w:t>不得</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提前</w:t>
            </w:r>
            <w:r>
              <w:rPr>
                <w:rFonts w:hint="eastAsia" w:ascii="宋体" w:hAnsi="宋体" w:eastAsia="宋体" w:cs="宋体"/>
                <w:color w:val="auto"/>
                <w:sz w:val="24"/>
                <w:highlight w:val="none"/>
                <w:lang w:val="en-US" w:eastAsia="zh-CN"/>
              </w:rPr>
              <w:t>10天以上（含）得1.5分，提前20天（含）以上得3分。</w:t>
            </w:r>
          </w:p>
        </w:tc>
        <w:tc>
          <w:tcPr>
            <w:tcW w:w="2205" w:type="dxa"/>
            <w:noWrap w:val="0"/>
            <w:vAlign w:val="center"/>
          </w:tcPr>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需提供承诺并加盖投标人公章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noWrap w:val="0"/>
            <w:vAlign w:val="center"/>
          </w:tcPr>
          <w:p>
            <w:pPr>
              <w:numPr>
                <w:ilvl w:val="0"/>
                <w:numId w:val="4"/>
              </w:numPr>
              <w:spacing w:line="360" w:lineRule="auto"/>
              <w:ind w:left="635" w:leftChars="0" w:hanging="425" w:firstLineChars="0"/>
              <w:rPr>
                <w:rFonts w:hint="eastAsia" w:ascii="宋体" w:hAnsi="宋体" w:eastAsia="宋体" w:cs="宋体"/>
                <w:color w:val="auto"/>
                <w:sz w:val="24"/>
                <w:highlight w:val="none"/>
                <w:lang w:val="en-US" w:eastAsia="zh-CN"/>
              </w:rPr>
            </w:pPr>
          </w:p>
        </w:tc>
        <w:tc>
          <w:tcPr>
            <w:tcW w:w="1212"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技术培训</w:t>
            </w:r>
          </w:p>
        </w:tc>
        <w:tc>
          <w:tcPr>
            <w:tcW w:w="1238" w:type="dxa"/>
            <w:noWrap w:val="0"/>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8分</w:t>
            </w:r>
          </w:p>
        </w:tc>
        <w:tc>
          <w:tcPr>
            <w:tcW w:w="312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能结合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现有资源提出详细的技术培训方案，并提供完整的相关培训资料，并有效提升工作质量。方案包括：培训目的、培训对象、培训形式、培训计划、培训费用、培训成果，最高得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分，内容每缺少一项或内容简单或内容不详细扣</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.5分；未提供不得分；</w:t>
            </w:r>
          </w:p>
        </w:tc>
        <w:tc>
          <w:tcPr>
            <w:tcW w:w="2205" w:type="dxa"/>
            <w:noWrap w:val="0"/>
            <w:vAlign w:val="center"/>
          </w:tcPr>
          <w:p>
            <w:pPr>
              <w:spacing w:line="360" w:lineRule="auto"/>
              <w:ind w:firstLine="240" w:firstLineChars="1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noWrap w:val="0"/>
            <w:vAlign w:val="center"/>
          </w:tcPr>
          <w:p>
            <w:pPr>
              <w:numPr>
                <w:ilvl w:val="0"/>
                <w:numId w:val="4"/>
              </w:numPr>
              <w:spacing w:line="360" w:lineRule="auto"/>
              <w:ind w:left="635" w:leftChars="0" w:hanging="425" w:firstLineChars="0"/>
              <w:rPr>
                <w:rFonts w:hint="eastAsia" w:ascii="宋体" w:hAnsi="宋体" w:eastAsia="宋体" w:cs="宋体"/>
                <w:color w:val="auto"/>
                <w:sz w:val="24"/>
                <w:highlight w:val="none"/>
                <w:lang w:val="en-US" w:eastAsia="zh-CN"/>
              </w:rPr>
            </w:pPr>
          </w:p>
        </w:tc>
        <w:tc>
          <w:tcPr>
            <w:tcW w:w="1212"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管理制度</w:t>
            </w:r>
          </w:p>
        </w:tc>
        <w:tc>
          <w:tcPr>
            <w:tcW w:w="1238" w:type="dxa"/>
            <w:noWrap w:val="0"/>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3分</w:t>
            </w:r>
          </w:p>
        </w:tc>
        <w:tc>
          <w:tcPr>
            <w:tcW w:w="312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提供完善的质量管理人员岗位职责</w:t>
            </w:r>
            <w:r>
              <w:rPr>
                <w:rFonts w:hint="eastAsia" w:ascii="宋体" w:hAnsi="宋体" w:eastAsia="宋体" w:cs="宋体"/>
                <w:color w:val="auto"/>
                <w:sz w:val="24"/>
                <w:szCs w:val="24"/>
                <w:highlight w:val="none"/>
                <w:lang w:eastAsia="zh-CN"/>
              </w:rPr>
              <w:t>、采购、收货、验收管理制度、贮存检查和入库管理制度、销售和售后服务管理制度、不合格医疗器械管理制度、医疗器械退、换货管理制度、医疗器械不良事件监测和报告管理制度、医疗器械召回管理制度、设施设备维护及验证和校准管理制度，</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分，内容每缺少一项或内容简单或内容不详细扣</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分；未提供不得分；</w:t>
            </w:r>
          </w:p>
        </w:tc>
        <w:tc>
          <w:tcPr>
            <w:tcW w:w="2205" w:type="dxa"/>
            <w:noWrap w:val="0"/>
            <w:vAlign w:val="center"/>
          </w:tcPr>
          <w:p>
            <w:pPr>
              <w:spacing w:line="360" w:lineRule="auto"/>
              <w:ind w:firstLine="240" w:firstLineChars="1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noWrap w:val="0"/>
            <w:vAlign w:val="center"/>
          </w:tcPr>
          <w:p>
            <w:pPr>
              <w:numPr>
                <w:ilvl w:val="0"/>
                <w:numId w:val="4"/>
              </w:numPr>
              <w:spacing w:line="360" w:lineRule="auto"/>
              <w:ind w:left="635" w:leftChars="0" w:hanging="425" w:firstLineChars="0"/>
              <w:rPr>
                <w:rFonts w:hint="eastAsia" w:ascii="宋体" w:hAnsi="宋体" w:eastAsia="宋体" w:cs="宋体"/>
                <w:color w:val="auto"/>
                <w:sz w:val="24"/>
                <w:highlight w:val="none"/>
                <w:lang w:eastAsia="zh-CN"/>
              </w:rPr>
            </w:pPr>
          </w:p>
        </w:tc>
        <w:tc>
          <w:tcPr>
            <w:tcW w:w="1212"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售后服务内容</w:t>
            </w:r>
          </w:p>
        </w:tc>
        <w:tc>
          <w:tcPr>
            <w:tcW w:w="1238" w:type="dxa"/>
            <w:noWrap w:val="0"/>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10分</w:t>
            </w:r>
          </w:p>
        </w:tc>
        <w:tc>
          <w:tcPr>
            <w:tcW w:w="312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①售后服务地点：须提供场地合同、照片、地址等证明材料，得3分；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②响应时间：提供承诺书格式自拟，加盖投标人公章；须提供到达采购人指定地点的距离、时间、交通工具等证明材料，加盖投标人公章）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a.提供7×24小时的服务，接到采购人的通知后在1小时内（含）响应的得1分；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b提供7×24小时的服务，接到采购人的通知后在2小时内（含）响应的，得0.5分；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c提供7×24小时的服务，接到采购人的通知后在超过2小时内响应的，不得分；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根据投标人提供的售后服务方案进行评审，包括但不限于：售后服务范围、售后服务人员配备情况、服务方式、收费标准（免费质保期除外）、其他售后服务工作等方面进行评审，以上方案内容符合项目实际情况、完全满足项目实施得7分；内容每缺少一项或内容简单或内容不详细扣1分；未提供不得分；</w:t>
            </w:r>
          </w:p>
        </w:tc>
        <w:tc>
          <w:tcPr>
            <w:tcW w:w="2205" w:type="dxa"/>
            <w:noWrap w:val="0"/>
            <w:vAlign w:val="center"/>
          </w:tcPr>
          <w:p>
            <w:pPr>
              <w:spacing w:line="360" w:lineRule="auto"/>
              <w:ind w:firstLine="240" w:firstLineChars="1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noWrap w:val="0"/>
            <w:vAlign w:val="center"/>
          </w:tcPr>
          <w:p>
            <w:pPr>
              <w:numPr>
                <w:ilvl w:val="0"/>
                <w:numId w:val="4"/>
              </w:numPr>
              <w:spacing w:line="360" w:lineRule="auto"/>
              <w:ind w:left="635" w:leftChars="0" w:hanging="425" w:firstLineChars="0"/>
              <w:rPr>
                <w:rFonts w:hint="eastAsia" w:ascii="宋体" w:hAnsi="宋体" w:eastAsia="宋体" w:cs="宋体"/>
                <w:color w:val="auto"/>
                <w:sz w:val="24"/>
                <w:highlight w:val="none"/>
                <w:lang w:val="en-US" w:eastAsia="zh-CN"/>
              </w:rPr>
            </w:pPr>
          </w:p>
        </w:tc>
        <w:tc>
          <w:tcPr>
            <w:tcW w:w="1212"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实施方案</w:t>
            </w:r>
          </w:p>
        </w:tc>
        <w:tc>
          <w:tcPr>
            <w:tcW w:w="1238" w:type="dxa"/>
            <w:noWrap w:val="0"/>
            <w:vAlign w:val="center"/>
          </w:tcPr>
          <w:p>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14分</w:t>
            </w:r>
          </w:p>
        </w:tc>
        <w:tc>
          <w:tcPr>
            <w:tcW w:w="3124"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投标人根据本项目需求提供详细的项目实施方案，内容包含但不限于：①服务总体计划、②服务流程、 ③服务原则、④厂家的选择、⑤服务保障措施、⑥成本控制、⑦进度控制措施；以上方案内容符合项目实际情况、完全满足项目实施得14分；内容每缺少一项或内容简单或内容不详细扣1分；未提供不得分；</w:t>
            </w:r>
          </w:p>
        </w:tc>
        <w:tc>
          <w:tcPr>
            <w:tcW w:w="2205" w:type="dxa"/>
            <w:noWrap w:val="0"/>
            <w:vAlign w:val="center"/>
          </w:tcPr>
          <w:p>
            <w:pPr>
              <w:spacing w:line="360" w:lineRule="auto"/>
              <w:ind w:firstLine="240" w:firstLineChars="1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5" w:type="dxa"/>
            <w:gridSpan w:val="2"/>
            <w:noWrap w:val="0"/>
            <w:vAlign w:val="center"/>
          </w:tcPr>
          <w:p>
            <w:pPr>
              <w:pStyle w:val="9"/>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1238" w:type="dxa"/>
            <w:noWrap w:val="0"/>
            <w:vAlign w:val="center"/>
          </w:tcPr>
          <w:p>
            <w:pPr>
              <w:pStyle w:val="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分</w:t>
            </w:r>
          </w:p>
        </w:tc>
        <w:tc>
          <w:tcPr>
            <w:tcW w:w="5329" w:type="dxa"/>
            <w:gridSpan w:val="2"/>
            <w:noWrap w:val="0"/>
            <w:vAlign w:val="center"/>
          </w:tcPr>
          <w:p>
            <w:pPr>
              <w:pStyle w:val="9"/>
              <w:spacing w:line="360" w:lineRule="auto"/>
              <w:rPr>
                <w:rFonts w:hint="eastAsia" w:ascii="宋体" w:hAnsi="宋体" w:eastAsia="宋体" w:cs="宋体"/>
                <w:bCs/>
                <w:color w:val="auto"/>
                <w:sz w:val="24"/>
                <w:highlight w:val="none"/>
              </w:rPr>
            </w:pPr>
          </w:p>
        </w:tc>
      </w:tr>
    </w:tbl>
    <w:p>
      <w:pPr>
        <w:rPr>
          <w:rFonts w:hint="eastAsia" w:ascii="宋体" w:hAnsi="宋体" w:cs="宋体"/>
          <w:color w:val="auto"/>
          <w:sz w:val="24"/>
          <w:highlight w:val="none"/>
        </w:rPr>
      </w:pPr>
    </w:p>
    <w:p>
      <w:pPr>
        <w:pStyle w:val="4"/>
        <w:ind w:firstLine="480"/>
        <w:rPr>
          <w:rFonts w:hint="eastAsia" w:ascii="宋体" w:hAnsi="宋体" w:cs="宋体"/>
          <w:color w:val="auto"/>
          <w:sz w:val="24"/>
          <w:highlight w:val="none"/>
        </w:rPr>
      </w:pPr>
    </w:p>
    <w:p/>
    <w:p>
      <w:pPr>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C91AE"/>
    <w:multiLevelType w:val="singleLevel"/>
    <w:tmpl w:val="B2CC91AE"/>
    <w:lvl w:ilvl="0" w:tentative="0">
      <w:start w:val="1"/>
      <w:numFmt w:val="decimal"/>
      <w:lvlText w:val="%1."/>
      <w:lvlJc w:val="left"/>
      <w:pPr>
        <w:ind w:left="635" w:hanging="425"/>
      </w:pPr>
      <w:rPr>
        <w:rFonts w:hint="default"/>
      </w:rPr>
    </w:lvl>
  </w:abstractNum>
  <w:abstractNum w:abstractNumId="1">
    <w:nsid w:val="BFA131FA"/>
    <w:multiLevelType w:val="singleLevel"/>
    <w:tmpl w:val="BFA131FA"/>
    <w:lvl w:ilvl="0" w:tentative="0">
      <w:start w:val="1"/>
      <w:numFmt w:val="decimal"/>
      <w:suff w:val="nothing"/>
      <w:lvlText w:val="%1、"/>
      <w:lvlJc w:val="left"/>
    </w:lvl>
  </w:abstractNum>
  <w:abstractNum w:abstractNumId="2">
    <w:nsid w:val="CDB11FDF"/>
    <w:multiLevelType w:val="multilevel"/>
    <w:tmpl w:val="CDB11FDF"/>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189936B6"/>
    <w:multiLevelType w:val="singleLevel"/>
    <w:tmpl w:val="189936B6"/>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D4AF4"/>
    <w:rsid w:val="0A8D4AF4"/>
    <w:rsid w:val="37F44563"/>
    <w:rsid w:val="4B8C0A01"/>
    <w:rsid w:val="4F4C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pacing w:before="240" w:after="120" w:line="300" w:lineRule="auto"/>
      <w:jc w:val="center"/>
      <w:outlineLvl w:val="0"/>
    </w:pPr>
    <w:rPr>
      <w:rFonts w:ascii="Calibri" w:hAnsi="Calibri" w:eastAsia="宋体" w:cs="Times New Roman"/>
      <w:kern w:val="44"/>
      <w:sz w:val="44"/>
      <w:szCs w:val="22"/>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Indent"/>
    <w:basedOn w:val="1"/>
    <w:next w:val="1"/>
    <w:qFormat/>
    <w:uiPriority w:val="0"/>
    <w:pPr>
      <w:spacing w:line="300" w:lineRule="auto"/>
      <w:ind w:firstLine="200" w:firstLineChars="200"/>
    </w:pPr>
  </w:style>
  <w:style w:type="character" w:customStyle="1" w:styleId="7">
    <w:name w:val="NormalCharacter"/>
    <w:link w:val="8"/>
    <w:qFormat/>
    <w:uiPriority w:val="0"/>
    <w:rPr>
      <w:rFonts w:ascii="Times New Roman" w:hAnsi="Times New Roman" w:eastAsia="宋体"/>
      <w:kern w:val="2"/>
      <w:sz w:val="21"/>
      <w:szCs w:val="24"/>
    </w:rPr>
  </w:style>
  <w:style w:type="paragraph" w:customStyle="1" w:styleId="8">
    <w:name w:val="UserStyle_2"/>
    <w:basedOn w:val="1"/>
    <w:link w:val="7"/>
    <w:qFormat/>
    <w:uiPriority w:val="0"/>
    <w:pPr>
      <w:textAlignment w:val="baseline"/>
    </w:pPr>
    <w:rPr>
      <w:rFonts w:ascii="Times New Roman" w:hAnsi="Times New Roman" w:eastAsia="宋体"/>
      <w:kern w:val="2"/>
      <w:sz w:val="21"/>
      <w:szCs w:val="24"/>
    </w:rPr>
  </w:style>
  <w:style w:type="paragraph" w:customStyle="1" w:styleId="9">
    <w:name w:val="无间隔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2025-01-06T08:29:00Z</dcterms:created>
  <dc:creator>DDDDD</dc:creator>
  <cp:lastModifiedBy>Administrator</cp:lastModifiedBy>
  <dcterms:modified xsi:type="dcterms:W3CDTF">2025-01-27T08:33:50Z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FE7D16C8A3194B5A9FCFFB18D7249662_13</vt:lpwstr>
  </property>
  <property fmtid="{D5CDD505-2E9C-101B-9397-08002B2CF9AE}" pid="4" name="KSOTemplateDocerSaveRecord">
    <vt:lpwstr>eyJoZGlkIjoiNTNlMzM3MjAxY2ZiNmFjNzQ4ZjE0M2I2YTVlMWVlMWQiLCJ1c2VySWQiOiI3MjUzOTM4MzMifQ==</vt:lpwstr>
  </property>
</Properties>
</file>