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768F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ascii="Noto Sans SC" w:hAnsi="Noto Sans SC" w:eastAsia="Noto Sans SC" w:cs="Noto Sans SC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布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政府采购项目需求论证表</w:t>
      </w:r>
    </w:p>
    <w:tbl>
      <w:tblPr>
        <w:tblStyle w:val="4"/>
        <w:tblW w:w="88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4451"/>
      </w:tblGrid>
      <w:tr w14:paraId="56DF3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76" w:type="dxa"/>
            <w:noWrap w:val="0"/>
            <w:vAlign w:val="top"/>
          </w:tcPr>
          <w:p w14:paraId="721FFCC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项目名称：</w:t>
            </w:r>
          </w:p>
        </w:tc>
        <w:tc>
          <w:tcPr>
            <w:tcW w:w="6436" w:type="dxa"/>
            <w:gridSpan w:val="2"/>
            <w:noWrap w:val="0"/>
            <w:vAlign w:val="center"/>
          </w:tcPr>
          <w:p w14:paraId="0266A5E1">
            <w:pPr>
              <w:spacing w:line="500" w:lineRule="exact"/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  <w:t>布尔津县互联网安全改造项目</w:t>
            </w:r>
          </w:p>
        </w:tc>
      </w:tr>
      <w:tr w14:paraId="6438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76" w:type="dxa"/>
            <w:noWrap w:val="0"/>
            <w:vAlign w:val="top"/>
          </w:tcPr>
          <w:p w14:paraId="0F2F743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采购单位：</w:t>
            </w:r>
          </w:p>
        </w:tc>
        <w:tc>
          <w:tcPr>
            <w:tcW w:w="6436" w:type="dxa"/>
            <w:gridSpan w:val="2"/>
            <w:noWrap w:val="0"/>
            <w:vAlign w:val="top"/>
          </w:tcPr>
          <w:p w14:paraId="491F6703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布尔津县大数据发展服务中心</w:t>
            </w:r>
          </w:p>
        </w:tc>
      </w:tr>
      <w:tr w14:paraId="550DF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76" w:type="dxa"/>
            <w:noWrap w:val="0"/>
            <w:vAlign w:val="top"/>
          </w:tcPr>
          <w:p w14:paraId="5A5D0C9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预算金额：</w:t>
            </w:r>
          </w:p>
        </w:tc>
        <w:tc>
          <w:tcPr>
            <w:tcW w:w="6436" w:type="dxa"/>
            <w:gridSpan w:val="2"/>
            <w:noWrap w:val="0"/>
            <w:vAlign w:val="top"/>
          </w:tcPr>
          <w:p w14:paraId="0F2D6878"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3万元</w:t>
            </w:r>
          </w:p>
        </w:tc>
      </w:tr>
      <w:tr w14:paraId="5AE4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76" w:type="dxa"/>
            <w:vMerge w:val="restart"/>
            <w:noWrap w:val="0"/>
            <w:vAlign w:val="center"/>
          </w:tcPr>
          <w:p w14:paraId="61C958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政府采购政</w:t>
            </w:r>
          </w:p>
          <w:p w14:paraId="3BFEA2BF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策扶持范围：</w:t>
            </w:r>
          </w:p>
          <w:p w14:paraId="6FC9821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（勾选）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C8F6">
            <w:pPr>
              <w:snapToGrid w:val="0"/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国货、自主创新产品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52"/>
            </w:r>
          </w:p>
        </w:tc>
        <w:tc>
          <w:tcPr>
            <w:tcW w:w="4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E58453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需采用进口产品的，应在获得财政部门核准后，依法开展政府采购活动。</w:t>
            </w:r>
          </w:p>
        </w:tc>
      </w:tr>
      <w:tr w14:paraId="7F26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273309B9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DF1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中小微企业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</w:p>
          <w:p w14:paraId="5B652F41">
            <w:pPr>
              <w:snapToGrid w:val="0"/>
              <w:spacing w:line="36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92AC02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有编制部门预算职责的各部门应当加强政府采购计划的编制工作，制定向中小企业采购的具体方案，统筹确定本部门面向中小企业采购的项目。在满足机构自身运转和提供公共服务基本需求的前提下，应当预留本部门年度政府采购项目预算总额的30%以上，专门面向中小企业采购，其中，预留给小型和微型企业的比例不低于60%。</w:t>
            </w:r>
          </w:p>
        </w:tc>
      </w:tr>
      <w:tr w14:paraId="18B6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4FCC7F5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9E3A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特殊性质企业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9E74B3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少数民族、残疾人、贫困地区企业。</w:t>
            </w:r>
          </w:p>
        </w:tc>
      </w:tr>
      <w:tr w14:paraId="62C0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35A9C9C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F8D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节能环保产品□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65F4CF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政府采购属于节能清单和环境标志清单中的产品时，在技术、服务等指标同等条件下，应当优先采购。</w:t>
            </w:r>
          </w:p>
        </w:tc>
      </w:tr>
      <w:tr w14:paraId="252A6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76" w:type="dxa"/>
            <w:vMerge w:val="restart"/>
            <w:noWrap w:val="0"/>
            <w:vAlign w:val="center"/>
          </w:tcPr>
          <w:p w14:paraId="6E358758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拟采用的采购方式：（勾选）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47D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公开招标□</w:t>
            </w:r>
          </w:p>
          <w:p w14:paraId="1901C7E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邀请招标□</w:t>
            </w:r>
          </w:p>
        </w:tc>
        <w:tc>
          <w:tcPr>
            <w:tcW w:w="4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0A3E4">
            <w:pPr>
              <w:spacing w:line="360" w:lineRule="exact"/>
              <w:ind w:left="1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评分方法分为最低评标价法、综合评分法。</w:t>
            </w:r>
          </w:p>
        </w:tc>
      </w:tr>
      <w:tr w14:paraId="74305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5E3CDE8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CE3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竞争性谈判□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3504FE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最低价评分法</w:t>
            </w:r>
          </w:p>
        </w:tc>
      </w:tr>
      <w:tr w14:paraId="4696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02758FE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1C0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竞争性磋商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DCD275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综合评分法</w:t>
            </w:r>
          </w:p>
        </w:tc>
      </w:tr>
      <w:tr w14:paraId="6F072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7001CD85">
            <w:pPr>
              <w:spacing w:line="500" w:lineRule="exact"/>
              <w:jc w:val="lef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9CA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询价采购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21F897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最低价评分法</w:t>
            </w:r>
          </w:p>
        </w:tc>
      </w:tr>
      <w:tr w14:paraId="2EE4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76" w:type="dxa"/>
            <w:vMerge w:val="continue"/>
            <w:noWrap w:val="0"/>
            <w:vAlign w:val="center"/>
          </w:tcPr>
          <w:p w14:paraId="021A5FF4">
            <w:pPr>
              <w:spacing w:line="500" w:lineRule="exact"/>
              <w:jc w:val="lef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C20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单一来源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B8729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价格协商</w:t>
            </w:r>
          </w:p>
        </w:tc>
      </w:tr>
      <w:tr w14:paraId="7AF5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376" w:type="dxa"/>
            <w:noWrap w:val="0"/>
            <w:vAlign w:val="center"/>
          </w:tcPr>
          <w:p w14:paraId="01FF2C7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供应商资质要求：</w:t>
            </w:r>
          </w:p>
        </w:tc>
        <w:tc>
          <w:tcPr>
            <w:tcW w:w="6436" w:type="dxa"/>
            <w:gridSpan w:val="2"/>
            <w:noWrap w:val="0"/>
            <w:vAlign w:val="center"/>
          </w:tcPr>
          <w:p w14:paraId="0AB08A50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1.具有独立承担民事责任的能力；</w:t>
            </w:r>
          </w:p>
          <w:p w14:paraId="077EC730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2.具有良好的商业信誉和健全的财务会计制度；</w:t>
            </w:r>
          </w:p>
          <w:p w14:paraId="090A7E12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3.具有履行合同所必需的设备和专业技术能力：</w:t>
            </w:r>
          </w:p>
          <w:p w14:paraId="21DC7273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4.有依法缴纳税收和社会保障资金的良好记录；</w:t>
            </w:r>
          </w:p>
          <w:p w14:paraId="037579D0"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5.参加政府采购活动前三年内，未因违法经营受到刑事处罚或者责令停产停业、吊销许可证或者执照、较大数额罚款等行政处罚。</w:t>
            </w:r>
          </w:p>
        </w:tc>
      </w:tr>
      <w:tr w14:paraId="0B62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76" w:type="dxa"/>
            <w:tcBorders>
              <w:right w:val="single" w:color="auto" w:sz="4" w:space="0"/>
            </w:tcBorders>
            <w:noWrap w:val="0"/>
            <w:vAlign w:val="center"/>
          </w:tcPr>
          <w:p w14:paraId="25E77D5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采购数量：</w:t>
            </w:r>
          </w:p>
        </w:tc>
        <w:tc>
          <w:tcPr>
            <w:tcW w:w="64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1B1D80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1项</w:t>
            </w:r>
          </w:p>
        </w:tc>
      </w:tr>
      <w:tr w14:paraId="44D8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3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7AA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64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D2EA4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认证方式升级：</w:t>
            </w:r>
          </w:p>
          <w:p w14:paraId="099B0310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从 “静态 IP-MAC 绑定” 转向 “动态准入认证”，支持用户名 / 密码、数字证书、动态令牌等多因子认证方式，兼容 PC、移动设备及访客终端。</w:t>
            </w:r>
          </w:p>
          <w:p w14:paraId="66188216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实现 “终端即插即用”，终端接入时自动触发准入检测，无需人工干预。</w:t>
            </w:r>
          </w:p>
          <w:p w14:paraId="08C2EE3E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准入能力强化：</w:t>
            </w:r>
          </w:p>
          <w:p w14:paraId="2FA5C5A8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部署下一代网络准入设备（NAC），与现有上网行为管理设备深度联动，构建 “认证 - 检测 - 授权 - 审计” 闭环：</w:t>
            </w:r>
          </w:p>
          <w:p w14:paraId="6C0AC165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接入前：检测终端安全状态（如系统补丁、杀毒软件运行状态、合规软件安装情况）；</w:t>
            </w:r>
          </w:p>
          <w:p w14:paraId="2F3E6E9E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接入时：根据用户角色（如普通员工、管理员、访客）动态分配网络权限（如限制访客仅能访问互联网，禁止接入政务资源）；</w:t>
            </w:r>
          </w:p>
          <w:p w14:paraId="568E65E0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接入后：实时监控终端安全状态，发现异常（如病毒感染）自动隔离并触发报警。</w:t>
            </w:r>
          </w:p>
          <w:p w14:paraId="4000129E"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管理体系优化：</w:t>
            </w:r>
          </w:p>
          <w:p w14:paraId="1A3CEE5E">
            <w:pPr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建立集中化准入管理平台，支持批量策略配置、终端状态可视化监控、准入日志审计，降低运维复杂度。</w:t>
            </w:r>
          </w:p>
        </w:tc>
      </w:tr>
      <w:tr w14:paraId="2C8AB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168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服务标准：</w:t>
            </w:r>
          </w:p>
        </w:tc>
        <w:tc>
          <w:tcPr>
            <w:tcW w:w="6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8E5B0">
            <w:pPr>
              <w:spacing w:line="50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</w:rPr>
              <w:t>提供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产品安装服务，实施</w:t>
            </w:r>
            <w:r>
              <w:rPr>
                <w:rFonts w:hint="eastAsia" w:ascii="仿宋" w:hAnsi="仿宋" w:eastAsia="仿宋" w:cs="Times New Roman"/>
                <w:sz w:val="24"/>
              </w:rPr>
              <w:t>人员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Times New Roman"/>
                <w:sz w:val="24"/>
              </w:rPr>
              <w:t>或电话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7*24小时</w:t>
            </w:r>
            <w:r>
              <w:rPr>
                <w:rFonts w:hint="eastAsia" w:ascii="仿宋" w:hAnsi="仿宋" w:eastAsia="仿宋" w:cs="Times New Roman"/>
                <w:sz w:val="24"/>
              </w:rPr>
              <w:t>技术服务。</w:t>
            </w:r>
          </w:p>
        </w:tc>
      </w:tr>
      <w:tr w14:paraId="6586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76" w:type="dxa"/>
            <w:tcBorders>
              <w:right w:val="single" w:color="auto" w:sz="4" w:space="0"/>
            </w:tcBorders>
            <w:noWrap w:val="0"/>
            <w:vAlign w:val="center"/>
          </w:tcPr>
          <w:p w14:paraId="548AB0D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履约起止时间：</w:t>
            </w:r>
          </w:p>
        </w:tc>
        <w:tc>
          <w:tcPr>
            <w:tcW w:w="643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5B4D86B">
            <w:pPr>
              <w:spacing w:line="5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合同签订之日起30个工作日</w:t>
            </w:r>
          </w:p>
        </w:tc>
      </w:tr>
      <w:tr w14:paraId="06329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3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CC78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拟约定合同条款：</w:t>
            </w:r>
          </w:p>
        </w:tc>
        <w:tc>
          <w:tcPr>
            <w:tcW w:w="64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91BF8E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1.合作基本条件、合作基本原则、合作基本内容。</w:t>
            </w:r>
          </w:p>
          <w:p w14:paraId="0F0126E5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2.双方权利和义务</w:t>
            </w:r>
          </w:p>
          <w:p w14:paraId="5E228634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3.计费与结算</w:t>
            </w:r>
          </w:p>
          <w:p w14:paraId="2BC129C1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4.客户服务</w:t>
            </w:r>
          </w:p>
          <w:p w14:paraId="6D383A8B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5.保密条款</w:t>
            </w:r>
          </w:p>
          <w:p w14:paraId="0EAAFE54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6.违约责任</w:t>
            </w:r>
          </w:p>
          <w:p w14:paraId="23FB6B94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7.免责条款</w:t>
            </w:r>
          </w:p>
          <w:p w14:paraId="4A863A77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8.争议解决</w:t>
            </w:r>
          </w:p>
          <w:p w14:paraId="18BF4659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9.合同期限</w:t>
            </w:r>
          </w:p>
          <w:p w14:paraId="35A5DCFB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10.合同的生效、变更、终止</w:t>
            </w:r>
          </w:p>
          <w:p w14:paraId="35D4DAE3">
            <w:pPr>
              <w:spacing w:line="5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11.其他事项</w:t>
            </w:r>
          </w:p>
        </w:tc>
      </w:tr>
    </w:tbl>
    <w:p w14:paraId="5EFD9839">
      <w:pPr>
        <w:rPr>
          <w:rFonts w:hint="eastAsia" w:ascii="Noto Sans SC" w:hAnsi="Noto Sans SC" w:eastAsia="Noto Sans SC" w:cs="Noto Sans SC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F2FD7"/>
    <w:rsid w:val="57E47AB5"/>
    <w:rsid w:val="582F1556"/>
    <w:rsid w:val="663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2025-05-14T10:50:00Z</dcterms:created>
  <dc:creator>25283</dc:creator>
  <cp:lastModifiedBy>Administrator</cp:lastModifiedBy>
  <dcterms:modified xsi:type="dcterms:W3CDTF">2025-05-16T04:06:59Z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eyJoZGlkIjoiN2FmNDlkODQwOTExMjkwZGMxZWVjMzhmMzM0Yjc5NTUiLCJ1c2VySWQiOiIyNzgwNDUzMzIifQ==</vt:lpwstr>
  </property>
  <property fmtid="{D5CDD505-2E9C-101B-9397-08002B2CF9AE}" pid="4" name="ICV">
    <vt:lpwstr>86754D68C9474B859573EBD2EEA2A918_13</vt:lpwstr>
  </property>
</Properties>
</file>