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bidi w:val="0"/>
        <w:spacing w:line="360" w:lineRule="auto"/>
        <w:ind w:left="0" w:leftChars="0" w:firstLine="0" w:firstLineChars="0"/>
        <w:jc w:val="center"/>
        <w:rPr>
          <w:rFonts w:hint="eastAsia" w:ascii="宋体" w:hAnsi="宋体" w:eastAsia="宋体" w:cs="宋体"/>
          <w:b/>
          <w:bCs/>
          <w:color w:val="auto"/>
          <w:sz w:val="48"/>
          <w:szCs w:val="48"/>
          <w:highlight w:val="none"/>
          <w:u w:val="none"/>
        </w:rPr>
      </w:pPr>
      <w:bookmarkStart w:id="0" w:name="_Hlk83600134"/>
      <w:bookmarkEnd w:id="0"/>
      <w:r>
        <w:rPr>
          <w:rFonts w:hint="eastAsia" w:ascii="宋体" w:hAnsi="宋体" w:eastAsia="宋体" w:cs="宋体"/>
          <w:b/>
          <w:bCs/>
          <w:color w:val="auto"/>
          <w:sz w:val="48"/>
          <w:szCs w:val="48"/>
          <w:highlight w:val="none"/>
          <w:u w:val="none"/>
        </w:rPr>
        <w:t>北塔山贸易加工产业园区引供水项目</w:t>
      </w:r>
    </w:p>
    <w:p>
      <w:pPr>
        <w:pageBreakBefore w:val="0"/>
        <w:kinsoku/>
        <w:wordWrap/>
        <w:overflowPunct/>
        <w:bidi w:val="0"/>
        <w:spacing w:line="360" w:lineRule="auto"/>
        <w:ind w:left="0" w:leftChars="0" w:firstLine="0" w:firstLineChars="0"/>
        <w:jc w:val="center"/>
        <w:rPr>
          <w:rFonts w:hint="eastAsia" w:ascii="宋体" w:hAnsi="宋体" w:eastAsia="宋体" w:cs="宋体"/>
          <w:b/>
          <w:bCs/>
          <w:color w:val="auto"/>
          <w:sz w:val="48"/>
          <w:szCs w:val="48"/>
          <w:highlight w:val="none"/>
          <w:u w:val="none"/>
        </w:rPr>
      </w:pPr>
      <w:r>
        <w:rPr>
          <w:rFonts w:hint="eastAsia" w:ascii="宋体" w:hAnsi="宋体" w:eastAsia="宋体" w:cs="宋体"/>
          <w:b/>
          <w:bCs/>
          <w:color w:val="auto"/>
          <w:sz w:val="48"/>
          <w:szCs w:val="48"/>
          <w:highlight w:val="none"/>
          <w:u w:val="none"/>
        </w:rPr>
        <w:t>（全过程造价及跟踪审计咨询服务）</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Style w:val="13"/>
        <w:suppressAutoHyphens/>
        <w:adjustRightInd w:val="0"/>
        <w:snapToGrid w:val="0"/>
        <w:spacing w:line="360" w:lineRule="auto"/>
        <w:jc w:val="center"/>
        <w:rPr>
          <w:rFonts w:hint="eastAsia" w:ascii="宋体" w:hAnsi="宋体" w:eastAsia="宋体" w:cs="宋体"/>
          <w:b/>
          <w:sz w:val="62"/>
          <w:szCs w:val="84"/>
          <w:lang w:eastAsia="zh-CN"/>
        </w:rPr>
      </w:pPr>
      <w:bookmarkStart w:id="1" w:name="_Toc21846"/>
      <w:bookmarkStart w:id="2" w:name="_Toc25246"/>
    </w:p>
    <w:p>
      <w:pPr>
        <w:pStyle w:val="13"/>
        <w:suppressAutoHyphens/>
        <w:adjustRightInd w:val="0"/>
        <w:snapToGrid w:val="0"/>
        <w:spacing w:line="360" w:lineRule="auto"/>
        <w:jc w:val="center"/>
        <w:rPr>
          <w:rFonts w:hint="eastAsia" w:ascii="宋体" w:hAnsi="宋体" w:eastAsia="宋体" w:cs="宋体"/>
          <w:b/>
          <w:sz w:val="62"/>
          <w:szCs w:val="84"/>
          <w:lang w:eastAsia="zh-CN"/>
        </w:rPr>
      </w:pPr>
      <w:r>
        <w:rPr>
          <w:rFonts w:hint="eastAsia" w:ascii="宋体" w:hAnsi="宋体" w:eastAsia="宋体" w:cs="宋体"/>
          <w:b/>
          <w:sz w:val="62"/>
          <w:szCs w:val="84"/>
          <w:lang w:eastAsia="zh-CN"/>
        </w:rPr>
        <w:t>竞争性谈判文件</w:t>
      </w:r>
      <w:bookmarkEnd w:id="1"/>
      <w:bookmarkEnd w:id="2"/>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spacing w:before="240" w:line="360" w:lineRule="auto"/>
        <w:jc w:val="center"/>
        <w:rPr>
          <w:rFonts w:hint="eastAsia" w:ascii="宋体" w:hAnsi="宋体" w:eastAsia="宋体;SimSun" w:cs="宋体"/>
          <w:b/>
          <w:kern w:val="2"/>
          <w:sz w:val="30"/>
          <w:szCs w:val="30"/>
          <w:highlight w:val="none"/>
          <w:lang w:val="en-US" w:eastAsia="zh-CN" w:bidi="ar-SA"/>
        </w:rPr>
      </w:pP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采   购   人</w:t>
      </w:r>
      <w:r>
        <w:rPr>
          <w:rFonts w:hint="eastAsia" w:ascii="宋体" w:hAnsi="宋体" w:eastAsia="宋体;SimSun" w:cs="宋体"/>
          <w:b/>
          <w:kern w:val="2"/>
          <w:sz w:val="30"/>
          <w:szCs w:val="30"/>
          <w:highlight w:val="none"/>
          <w:lang w:val="en-US" w:eastAsia="zh-CN" w:bidi="ar-SA"/>
        </w:rPr>
        <w:t>：</w:t>
      </w:r>
      <w:r>
        <w:rPr>
          <w:rFonts w:hint="eastAsia" w:ascii="宋体" w:hAnsi="宋体" w:eastAsia="宋体;SimSun" w:cs="宋体"/>
          <w:b/>
          <w:kern w:val="2"/>
          <w:sz w:val="30"/>
          <w:szCs w:val="30"/>
          <w:highlight w:val="none"/>
          <w:u w:val="none"/>
          <w:lang w:val="en-US" w:eastAsia="zh-CN" w:bidi="ar-SA"/>
        </w:rPr>
        <w:t>五家渠经济技术开发区管理委员会</w:t>
      </w:r>
    </w:p>
    <w:p>
      <w:pPr>
        <w:pStyle w:val="13"/>
        <w:adjustRightInd w:val="0"/>
        <w:snapToGrid w:val="0"/>
        <w:spacing w:line="360" w:lineRule="auto"/>
        <w:ind w:firstLine="1205" w:firstLineChars="400"/>
        <w:rPr>
          <w:rFonts w:hint="eastAsia" w:ascii="宋体" w:hAnsi="宋体" w:cs="宋体"/>
          <w:b/>
          <w:sz w:val="30"/>
          <w:szCs w:val="30"/>
          <w:highlight w:val="none"/>
          <w:lang w:eastAsia="zh-CN"/>
        </w:rPr>
      </w:pPr>
      <w:r>
        <w:rPr>
          <w:rFonts w:hint="eastAsia" w:ascii="宋体" w:hAnsi="宋体" w:cs="宋体"/>
          <w:b/>
          <w:sz w:val="30"/>
          <w:szCs w:val="30"/>
          <w:highlight w:val="none"/>
        </w:rPr>
        <w:t xml:space="preserve">采购代理机构: </w:t>
      </w:r>
      <w:r>
        <w:rPr>
          <w:rFonts w:hint="eastAsia" w:ascii="宋体" w:hAnsi="宋体" w:cs="宋体"/>
          <w:b/>
          <w:sz w:val="30"/>
          <w:szCs w:val="30"/>
          <w:highlight w:val="none"/>
          <w:u w:val="none"/>
          <w:lang w:eastAsia="zh-CN"/>
        </w:rPr>
        <w:t>中招国际招标有限公司</w:t>
      </w:r>
    </w:p>
    <w:p>
      <w:pPr>
        <w:pStyle w:val="13"/>
        <w:adjustRightInd w:val="0"/>
        <w:snapToGrid w:val="0"/>
        <w:spacing w:line="360" w:lineRule="auto"/>
        <w:ind w:firstLine="1205" w:firstLineChars="400"/>
        <w:rPr>
          <w:rFonts w:hint="eastAsia" w:ascii="宋体" w:hAnsi="宋体" w:cs="宋体"/>
          <w:b/>
          <w:sz w:val="30"/>
          <w:szCs w:val="30"/>
          <w:highlight w:val="none"/>
          <w:u w:val="none"/>
        </w:rPr>
      </w:pPr>
      <w:r>
        <w:rPr>
          <w:rFonts w:hint="eastAsia" w:ascii="宋体" w:hAnsi="宋体" w:cs="宋体"/>
          <w:b/>
          <w:sz w:val="30"/>
          <w:szCs w:val="30"/>
          <w:highlight w:val="none"/>
        </w:rPr>
        <w:t>项  目 编 号：</w:t>
      </w:r>
      <w:r>
        <w:rPr>
          <w:rFonts w:hint="eastAsia" w:ascii="宋体" w:hAnsi="宋体" w:cs="宋体"/>
          <w:b/>
          <w:sz w:val="30"/>
          <w:szCs w:val="30"/>
          <w:highlight w:val="none"/>
          <w:u w:val="none"/>
        </w:rPr>
        <w:t>TC259H0GY</w:t>
      </w:r>
    </w:p>
    <w:p>
      <w:pPr>
        <w:pageBreakBefore w:val="0"/>
        <w:kinsoku/>
        <w:wordWrap/>
        <w:overflowPunct/>
        <w:bidi w:val="0"/>
        <w:snapToGrid w:val="0"/>
        <w:spacing w:line="360" w:lineRule="auto"/>
        <w:ind w:firstLine="482" w:firstLineChars="200"/>
        <w:jc w:val="center"/>
        <w:rPr>
          <w:rFonts w:hint="eastAsia" w:ascii="宋体" w:hAnsi="宋体" w:eastAsia="宋体" w:cs="宋体"/>
          <w:b/>
          <w:color w:val="auto"/>
          <w:sz w:val="24"/>
          <w:szCs w:val="24"/>
          <w:highlight w:val="none"/>
        </w:rPr>
      </w:pPr>
    </w:p>
    <w:p>
      <w:pPr>
        <w:pageBreakBefore w:val="0"/>
        <w:kinsoku/>
        <w:wordWrap/>
        <w:overflowPunct/>
        <w:bidi w:val="0"/>
        <w:snapToGrid w:val="0"/>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招</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国</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际</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招</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标</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有</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限</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公</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司</w:t>
      </w:r>
    </w:p>
    <w:p>
      <w:pPr>
        <w:pageBreakBefore w:val="0"/>
        <w:kinsoku/>
        <w:wordWrap/>
        <w:overflowPunct/>
        <w:bidi w:val="0"/>
        <w:snapToGrid w:val="0"/>
        <w:spacing w:line="360" w:lineRule="auto"/>
        <w:ind w:firstLine="482" w:firstLineChars="20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二〇二</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年</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月</w:t>
      </w:r>
    </w:p>
    <w:p>
      <w:pPr>
        <w:pageBreakBefore w:val="0"/>
        <w:kinsoku/>
        <w:wordWrap/>
        <w:overflowPunct/>
        <w:bidi w:val="0"/>
        <w:snapToGrid w:val="0"/>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特 别 提 示</w:t>
      </w:r>
    </w:p>
    <w:p>
      <w:pPr>
        <w:pStyle w:val="40"/>
        <w:spacing w:line="360" w:lineRule="auto"/>
        <w:jc w:val="center"/>
        <w:rPr>
          <w:rFonts w:hint="eastAsia" w:ascii="仿宋" w:hAnsi="仿宋" w:eastAsia="仿宋" w:cs="仿宋"/>
          <w:b/>
          <w:color w:val="auto"/>
          <w:sz w:val="28"/>
          <w:szCs w:val="28"/>
        </w:rPr>
      </w:pPr>
    </w:p>
    <w:p>
      <w:pPr>
        <w:pStyle w:val="40"/>
        <w:spacing w:line="360" w:lineRule="auto"/>
        <w:jc w:val="center"/>
        <w:rPr>
          <w:rFonts w:hint="eastAsia" w:ascii="仿宋" w:hAnsi="仿宋" w:eastAsia="仿宋" w:cs="仿宋"/>
          <w:b/>
          <w:color w:val="auto"/>
          <w:sz w:val="28"/>
          <w:szCs w:val="28"/>
        </w:rPr>
      </w:pPr>
    </w:p>
    <w:p>
      <w:pPr>
        <w:pStyle w:val="4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各供应商：</w:t>
      </w:r>
    </w:p>
    <w:p>
      <w:pPr>
        <w:pStyle w:val="4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pPr>
        <w:pStyle w:val="40"/>
        <w:spacing w:line="360" w:lineRule="auto"/>
        <w:jc w:val="center"/>
        <w:rPr>
          <w:rFonts w:hint="eastAsia" w:ascii="仿宋" w:hAnsi="仿宋" w:eastAsia="仿宋" w:cs="仿宋"/>
          <w:b/>
          <w:color w:val="auto"/>
          <w:sz w:val="36"/>
        </w:rPr>
      </w:pPr>
      <w:r>
        <w:rPr>
          <w:rFonts w:hint="eastAsia" w:ascii="仿宋" w:hAnsi="仿宋" w:eastAsia="仿宋" w:cs="仿宋"/>
          <w:b/>
          <w:color w:val="auto"/>
          <w:sz w:val="28"/>
          <w:szCs w:val="28"/>
        </w:rPr>
        <w:t>在参与本次谈判时，请按谈判文件中规定的可能导致无效谈判和黑体字的内容逐条响应,若不响应将导致采购失败。</w:t>
      </w:r>
    </w:p>
    <w:p>
      <w:pPr>
        <w:pageBreakBefore w:val="0"/>
        <w:kinsoku/>
        <w:wordWrap/>
        <w:overflowPunct/>
        <w:bidi w:val="0"/>
        <w:snapToGrid w:val="0"/>
        <w:spacing w:line="360" w:lineRule="auto"/>
        <w:ind w:firstLine="480" w:firstLineChars="200"/>
        <w:jc w:val="center"/>
        <w:rPr>
          <w:rFonts w:hint="eastAsia" w:ascii="宋体" w:hAnsi="宋体" w:eastAsia="宋体" w:cs="宋体"/>
          <w:sz w:val="24"/>
          <w:szCs w:val="24"/>
          <w:highlight w:val="none"/>
        </w:rPr>
      </w:pPr>
    </w:p>
    <w:p>
      <w:pPr>
        <w:pageBreakBefore w:val="0"/>
        <w:kinsoku/>
        <w:wordWrap/>
        <w:overflowPunct/>
        <w:bidi w:val="0"/>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    录</w:t>
      </w:r>
    </w:p>
    <w:p>
      <w:pPr>
        <w:pStyle w:val="32"/>
        <w:pageBreakBefore w:val="0"/>
        <w:kinsoku/>
        <w:wordWrap/>
        <w:overflowPunct/>
        <w:bidi w:val="0"/>
        <w:spacing w:line="360" w:lineRule="auto"/>
        <w:ind w:firstLine="560" w:firstLineChars="200"/>
        <w:jc w:val="left"/>
        <w:rPr>
          <w:rFonts w:hint="eastAsia" w:ascii="宋体" w:hAnsi="宋体" w:eastAsia="宋体" w:cs="宋体"/>
          <w:color w:val="auto"/>
          <w:sz w:val="24"/>
          <w:szCs w:val="24"/>
          <w:highlight w:val="none"/>
        </w:rPr>
      </w:pPr>
    </w:p>
    <w:p>
      <w:pPr>
        <w:pStyle w:val="16"/>
        <w:pageBreakBefore w:val="0"/>
        <w:tabs>
          <w:tab w:val="right" w:leader="dot" w:pos="8306"/>
        </w:tabs>
        <w:kinsoku/>
        <w:overflowPunct/>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yellow"/>
        </w:rPr>
        <w:fldChar w:fldCharType="begin"/>
      </w:r>
      <w:r>
        <w:rPr>
          <w:rFonts w:hint="eastAsia" w:ascii="宋体" w:hAnsi="宋体" w:eastAsia="宋体" w:cs="宋体"/>
          <w:color w:val="auto"/>
          <w:sz w:val="24"/>
          <w:szCs w:val="24"/>
          <w:highlight w:val="yellow"/>
        </w:rPr>
        <w:instrText xml:space="preserve">TOC \o "1-3" \h \z \u</w:instrText>
      </w:r>
      <w:r>
        <w:rPr>
          <w:rFonts w:hint="eastAsia" w:ascii="宋体" w:hAnsi="宋体" w:eastAsia="宋体" w:cs="宋体"/>
          <w:color w:val="auto"/>
          <w:sz w:val="24"/>
          <w:szCs w:val="24"/>
          <w:highlight w:val="yellow"/>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_Toc19560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竞争性</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_Toc19560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pageBreakBefore w:val="0"/>
        <w:tabs>
          <w:tab w:val="right" w:leader="dot" w:pos="8306"/>
        </w:tabs>
        <w:kinsoku/>
        <w:overflowPunct/>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_Toc20713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lang w:val="en-US" w:eastAsia="zh-CN" w:bidi="ar-SA"/>
        </w:rPr>
        <w:t xml:space="preserve">第二章 </w:t>
      </w:r>
      <w:r>
        <w:rPr>
          <w:rFonts w:hint="eastAsia" w:ascii="宋体" w:hAnsi="宋体" w:eastAsia="宋体" w:cs="宋体"/>
          <w:sz w:val="24"/>
          <w:szCs w:val="24"/>
          <w:highlight w:val="none"/>
        </w:rPr>
        <w:t>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_Toc20713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pageBreakBefore w:val="0"/>
        <w:tabs>
          <w:tab w:val="right" w:leader="dot" w:pos="8306"/>
        </w:tabs>
        <w:kinsoku/>
        <w:overflowPunct/>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_Toc1569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第三章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pageBreakBefore w:val="0"/>
        <w:tabs>
          <w:tab w:val="right" w:leader="dot" w:pos="8306"/>
        </w:tabs>
        <w:kinsoku/>
        <w:overflowPunct/>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_Toc18530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第四章 合同条款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_Toc18530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pageBreakBefore w:val="0"/>
        <w:tabs>
          <w:tab w:val="right" w:leader="dot" w:pos="8306"/>
        </w:tabs>
        <w:kinsoku/>
        <w:overflowPunct/>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_Toc32436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评审办法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_Toc32436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pageBreakBefore w:val="0"/>
        <w:tabs>
          <w:tab w:val="right" w:leader="dot" w:pos="8306"/>
        </w:tabs>
        <w:kinsoku/>
        <w:overflowPunct/>
        <w:bidi w:val="0"/>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_Toc10796 </w:instrText>
      </w:r>
      <w:r>
        <w:rPr>
          <w:rFonts w:hint="eastAsia" w:ascii="宋体" w:hAnsi="宋体" w:eastAsia="宋体" w:cs="宋体"/>
          <w:sz w:val="24"/>
          <w:szCs w:val="24"/>
          <w:highlight w:val="none"/>
        </w:rPr>
        <w:fldChar w:fldCharType="separate"/>
      </w:r>
      <w:r>
        <w:rPr>
          <w:rFonts w:hint="eastAsia" w:ascii="宋体" w:hAnsi="宋体" w:eastAsia="宋体" w:cs="宋体"/>
          <w:spacing w:val="6"/>
          <w:sz w:val="24"/>
          <w:szCs w:val="24"/>
          <w:highlight w:val="none"/>
        </w:rPr>
        <w:t>第六章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_Toc10796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pageBreakBefore w:val="0"/>
        <w:tabs>
          <w:tab w:val="right" w:leader="dot" w:pos="8306"/>
        </w:tabs>
        <w:kinsoku/>
        <w:overflowPunct/>
        <w:bidi w:val="0"/>
        <w:spacing w:line="360" w:lineRule="auto"/>
        <w:ind w:firstLine="480" w:firstLineChars="200"/>
        <w:jc w:val="left"/>
        <w:rPr>
          <w:rFonts w:hint="eastAsia" w:ascii="宋体" w:hAnsi="宋体" w:eastAsia="宋体" w:cs="宋体"/>
          <w:sz w:val="24"/>
          <w:szCs w:val="24"/>
          <w:highlight w:val="yellow"/>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_Toc29371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其他资料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_Toc29371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34"/>
        <w:pageBreakBefore w:val="0"/>
        <w:tabs>
          <w:tab w:val="right" w:leader="dot" w:pos="9016"/>
        </w:tabs>
        <w:kinsoku/>
        <w:wordWrap/>
        <w:overflowPunct/>
        <w:bidi w:val="0"/>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yellow"/>
        </w:rPr>
        <w:fldChar w:fldCharType="end"/>
      </w:r>
    </w:p>
    <w:p>
      <w:pPr>
        <w:pStyle w:val="34"/>
        <w:pageBreakBefore w:val="0"/>
        <w:tabs>
          <w:tab w:val="right" w:leader="dot" w:pos="9016"/>
        </w:tabs>
        <w:kinsoku/>
        <w:wordWrap/>
        <w:overflowPunct/>
        <w:bidi w:val="0"/>
        <w:spacing w:line="360" w:lineRule="auto"/>
        <w:ind w:left="0" w:firstLine="480" w:firstLineChars="200"/>
        <w:jc w:val="left"/>
        <w:rPr>
          <w:rFonts w:hint="eastAsia" w:ascii="宋体" w:hAnsi="宋体" w:eastAsia="宋体" w:cs="宋体"/>
          <w:color w:val="auto"/>
          <w:sz w:val="24"/>
          <w:szCs w:val="24"/>
          <w:highlight w:val="none"/>
        </w:rPr>
        <w:sectPr>
          <w:footerReference r:id="rId3" w:type="default"/>
          <w:pgSz w:w="11906" w:h="16838"/>
          <w:pgMar w:top="2098" w:right="1474" w:bottom="1984" w:left="1587" w:header="851" w:footer="752" w:gutter="0"/>
          <w:pgBorders>
            <w:top w:val="none" w:sz="0" w:space="0"/>
            <w:left w:val="none" w:sz="0" w:space="0"/>
            <w:bottom w:val="none" w:sz="0" w:space="0"/>
            <w:right w:val="none" w:sz="0" w:space="0"/>
          </w:pgBorders>
          <w:pgNumType w:fmt="numberInDash" w:start="1"/>
          <w:cols w:space="720" w:num="1"/>
          <w:formProt w:val="0"/>
          <w:rtlGutter w:val="0"/>
          <w:docGrid w:type="lines" w:linePitch="312" w:charSpace="0"/>
        </w:sectPr>
      </w:pPr>
    </w:p>
    <w:p>
      <w:pPr>
        <w:pageBreakBefore w:val="0"/>
        <w:widowControl/>
        <w:numPr>
          <w:ilvl w:val="0"/>
          <w:numId w:val="2"/>
        </w:numPr>
        <w:kinsoku/>
        <w:wordWrap/>
        <w:overflowPunct/>
        <w:bidi w:val="0"/>
        <w:spacing w:line="360" w:lineRule="auto"/>
        <w:ind w:firstLine="482" w:firstLineChars="200"/>
        <w:jc w:val="center"/>
        <w:outlineLvl w:val="0"/>
        <w:rPr>
          <w:rStyle w:val="35"/>
          <w:rFonts w:hint="eastAsia" w:ascii="黑体" w:hAnsi="黑体" w:eastAsia="黑体" w:cs="黑体"/>
          <w:b/>
          <w:bCs/>
          <w:color w:val="auto"/>
          <w:sz w:val="24"/>
          <w:szCs w:val="24"/>
          <w:highlight w:val="none"/>
        </w:rPr>
      </w:pPr>
      <w:bookmarkStart w:id="3" w:name="_Toc19560"/>
      <w:bookmarkStart w:id="4" w:name="OLE_LINK1"/>
      <w:r>
        <w:rPr>
          <w:rStyle w:val="35"/>
          <w:rFonts w:hint="eastAsia" w:ascii="黑体" w:hAnsi="黑体" w:eastAsia="黑体" w:cs="黑体"/>
          <w:b/>
          <w:bCs/>
          <w:color w:val="auto"/>
          <w:sz w:val="24"/>
          <w:szCs w:val="24"/>
          <w:highlight w:val="none"/>
        </w:rPr>
        <w:t>竞争性</w:t>
      </w:r>
      <w:r>
        <w:rPr>
          <w:rStyle w:val="35"/>
          <w:rFonts w:hint="eastAsia" w:ascii="黑体" w:hAnsi="黑体" w:eastAsia="黑体" w:cs="黑体"/>
          <w:b/>
          <w:bCs/>
          <w:color w:val="auto"/>
          <w:sz w:val="24"/>
          <w:szCs w:val="24"/>
          <w:highlight w:val="none"/>
          <w:lang w:eastAsia="zh-CN"/>
        </w:rPr>
        <w:t>谈判</w:t>
      </w:r>
      <w:r>
        <w:rPr>
          <w:rStyle w:val="35"/>
          <w:rFonts w:hint="eastAsia" w:ascii="黑体" w:hAnsi="黑体" w:eastAsia="黑体" w:cs="黑体"/>
          <w:b/>
          <w:bCs/>
          <w:color w:val="auto"/>
          <w:sz w:val="24"/>
          <w:szCs w:val="24"/>
          <w:highlight w:val="none"/>
        </w:rPr>
        <w:t>公告</w:t>
      </w:r>
      <w:bookmarkEnd w:id="3"/>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ageBreakBefore w:val="0"/>
        <w:pBdr>
          <w:top w:val="single" w:color="auto" w:sz="4" w:space="1"/>
          <w:left w:val="single" w:color="auto" w:sz="4" w:space="4"/>
          <w:bottom w:val="single" w:color="auto" w:sz="4" w:space="1"/>
          <w:right w:val="single" w:color="auto" w:sz="4" w:space="4"/>
        </w:pBdr>
        <w:kinsoku/>
        <w:wordWrap/>
        <w:overflowPunct/>
        <w:bidi w:val="0"/>
        <w:spacing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lang w:eastAsia="zh-CN"/>
        </w:rPr>
        <w:t>项目概况：北塔山贸易加工产业园区引供水项目（全过程造价及跟踪审计咨询服务）的潜在供应商</w:t>
      </w:r>
      <w:r>
        <w:rPr>
          <w:rFonts w:hint="eastAsia" w:ascii="宋体" w:hAnsi="宋体" w:eastAsia="宋体" w:cs="宋体"/>
          <w:sz w:val="24"/>
          <w:szCs w:val="24"/>
          <w:highlight w:val="none"/>
          <w:lang w:val="en-US" w:eastAsia="zh-CN"/>
        </w:rPr>
        <w:t>在中招国际招标有限公司新疆分公司获取</w:t>
      </w:r>
      <w:r>
        <w:rPr>
          <w:rFonts w:hint="eastAsia" w:ascii="宋体" w:hAnsi="宋体" w:eastAsia="宋体" w:cs="宋体"/>
          <w:sz w:val="24"/>
          <w:szCs w:val="24"/>
          <w:highlight w:val="none"/>
        </w:rPr>
        <w:t>采购文件，并于</w:t>
      </w:r>
      <w:r>
        <w:rPr>
          <w:rFonts w:hint="eastAsia" w:ascii="宋体" w:hAnsi="宋体" w:eastAsia="宋体" w:cs="宋体"/>
          <w:color w:val="auto"/>
          <w:sz w:val="24"/>
          <w:szCs w:val="24"/>
          <w:highlight w:val="none"/>
          <w:lang w:val="en-US" w:eastAsia="zh-CN"/>
        </w:rPr>
        <w:t>2025年5月12</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11:30</w:t>
      </w:r>
      <w:r>
        <w:rPr>
          <w:rFonts w:hint="eastAsia" w:ascii="宋体" w:hAnsi="宋体" w:eastAsia="宋体" w:cs="宋体"/>
          <w:color w:val="auto"/>
          <w:sz w:val="24"/>
          <w:szCs w:val="24"/>
          <w:highlight w:val="none"/>
          <w:lang w:eastAsia="zh-CN"/>
        </w:rPr>
        <w:t>（北京时间）前提交响应文件。</w:t>
      </w:r>
    </w:p>
    <w:p>
      <w:pPr>
        <w:pStyle w:val="11"/>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ageBreakBefore w:val="0"/>
        <w:widowControl/>
        <w:kinsoku/>
        <w:wordWrap/>
        <w:overflowPunct/>
        <w:bidi w:val="0"/>
        <w:spacing w:line="360" w:lineRule="auto"/>
        <w:ind w:firstLine="482" w:firstLineChars="200"/>
        <w:jc w:val="left"/>
        <w:outlineLvl w:val="1"/>
        <w:rPr>
          <w:rFonts w:hint="eastAsia" w:ascii="宋体" w:hAnsi="宋体" w:eastAsia="宋体" w:cs="宋体"/>
          <w:b/>
          <w:color w:val="auto"/>
          <w:kern w:val="0"/>
          <w:sz w:val="24"/>
          <w:szCs w:val="24"/>
          <w:highlight w:val="none"/>
        </w:rPr>
      </w:pPr>
      <w:bookmarkStart w:id="5" w:name="_Toc23983"/>
      <w:bookmarkStart w:id="6" w:name="_Toc32472"/>
      <w:bookmarkStart w:id="7" w:name="_Toc6755"/>
      <w:bookmarkStart w:id="8" w:name="_Toc9511"/>
      <w:bookmarkStart w:id="9" w:name="_Toc24793"/>
      <w:bookmarkStart w:id="10" w:name="_Toc4190"/>
      <w:bookmarkStart w:id="11" w:name="_Toc30734"/>
      <w:r>
        <w:rPr>
          <w:rFonts w:hint="eastAsia" w:ascii="宋体" w:hAnsi="宋体" w:eastAsia="宋体" w:cs="宋体"/>
          <w:b/>
          <w:color w:val="auto"/>
          <w:kern w:val="0"/>
          <w:sz w:val="24"/>
          <w:szCs w:val="24"/>
          <w:highlight w:val="none"/>
        </w:rPr>
        <w:t>一、</w:t>
      </w:r>
      <w:bookmarkStart w:id="12" w:name="OLE_LINK2"/>
      <w:r>
        <w:rPr>
          <w:rFonts w:hint="eastAsia" w:ascii="宋体" w:hAnsi="宋体" w:eastAsia="宋体" w:cs="宋体"/>
          <w:b/>
          <w:color w:val="auto"/>
          <w:kern w:val="0"/>
          <w:sz w:val="24"/>
          <w:szCs w:val="24"/>
          <w:highlight w:val="none"/>
        </w:rPr>
        <w:t>项目基本情况</w:t>
      </w:r>
      <w:bookmarkEnd w:id="5"/>
      <w:bookmarkEnd w:id="6"/>
      <w:bookmarkEnd w:id="7"/>
      <w:bookmarkEnd w:id="8"/>
      <w:bookmarkEnd w:id="9"/>
      <w:bookmarkEnd w:id="10"/>
      <w:bookmarkEnd w:id="11"/>
      <w:bookmarkEnd w:id="12"/>
    </w:p>
    <w:p>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项目编号：TC259H0GY</w:t>
      </w:r>
    </w:p>
    <w:p>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eastAsia="zh-CN"/>
        </w:rPr>
        <w:t>北塔山贸易加工产业园区引供水项目（全过程造价及跟踪审计咨询服务）</w:t>
      </w:r>
    </w:p>
    <w:p>
      <w:pPr>
        <w:pageBreakBefore w:val="0"/>
        <w:widowControl/>
        <w:kinsoku/>
        <w:wordWrap/>
        <w:overflowPunct/>
        <w:bidi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采购方式：竞争性</w:t>
      </w:r>
      <w:r>
        <w:rPr>
          <w:rFonts w:hint="eastAsia" w:ascii="宋体" w:hAnsi="宋体" w:eastAsia="宋体" w:cs="宋体"/>
          <w:color w:val="auto"/>
          <w:kern w:val="0"/>
          <w:sz w:val="24"/>
          <w:szCs w:val="24"/>
          <w:highlight w:val="none"/>
          <w:lang w:eastAsia="zh-CN"/>
        </w:rPr>
        <w:t>谈判</w:t>
      </w:r>
    </w:p>
    <w:p>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采购预算：</w:t>
      </w:r>
      <w:r>
        <w:rPr>
          <w:rFonts w:hint="eastAsia" w:ascii="宋体" w:hAnsi="宋体" w:eastAsia="宋体" w:cs="宋体"/>
          <w:color w:val="auto"/>
          <w:kern w:val="0"/>
          <w:sz w:val="24"/>
          <w:szCs w:val="24"/>
          <w:highlight w:val="none"/>
          <w:lang w:val="en-US" w:eastAsia="zh-CN"/>
        </w:rPr>
        <w:t xml:space="preserve"> 48</w:t>
      </w:r>
      <w:r>
        <w:rPr>
          <w:rFonts w:hint="eastAsia" w:ascii="宋体" w:hAnsi="宋体" w:eastAsia="宋体" w:cs="宋体"/>
          <w:color w:val="auto"/>
          <w:kern w:val="0"/>
          <w:sz w:val="24"/>
          <w:szCs w:val="24"/>
          <w:highlight w:val="none"/>
          <w:lang w:eastAsia="zh-CN"/>
        </w:rPr>
        <w:t>万元</w:t>
      </w:r>
    </w:p>
    <w:p>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最高限价：</w:t>
      </w:r>
      <w:r>
        <w:rPr>
          <w:rFonts w:hint="eastAsia" w:ascii="宋体" w:hAnsi="宋体" w:eastAsia="宋体" w:cs="宋体"/>
          <w:color w:val="auto"/>
          <w:kern w:val="0"/>
          <w:sz w:val="24"/>
          <w:szCs w:val="24"/>
          <w:highlight w:val="none"/>
          <w:lang w:val="en-US" w:eastAsia="zh-CN"/>
        </w:rPr>
        <w:t xml:space="preserve"> 48</w:t>
      </w:r>
      <w:r>
        <w:rPr>
          <w:rFonts w:hint="eastAsia" w:ascii="宋体" w:hAnsi="宋体" w:eastAsia="宋体" w:cs="宋体"/>
          <w:color w:val="auto"/>
          <w:kern w:val="0"/>
          <w:sz w:val="24"/>
          <w:szCs w:val="24"/>
          <w:highlight w:val="none"/>
          <w:lang w:eastAsia="zh-CN"/>
        </w:rPr>
        <w:t>万元</w:t>
      </w:r>
    </w:p>
    <w:p>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需求：自项目立项至工程审计结束，确定项目全过程跟踪审计计划、执行全过程跟踪审计程序、获取全过程跟踪审计证据、得出全过程跟踪审计结论，包含工程结算审查、全过程造价审核等并出具审计报告，根据竣工结算审核结果，编制竣工财务决算审核报告。</w:t>
      </w:r>
    </w:p>
    <w:p>
      <w:pPr>
        <w:pageBreakBefore w:val="0"/>
        <w:widowControl/>
        <w:tabs>
          <w:tab w:val="left" w:pos="452"/>
        </w:tabs>
        <w:kinsoku/>
        <w:wordWrap/>
        <w:overflowPunct/>
        <w:bidi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期限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合同签订之日起至项目工程审计结束</w:t>
      </w:r>
    </w:p>
    <w:p>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服务地点：按采购人要求。</w:t>
      </w:r>
    </w:p>
    <w:p>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本项目接受联合体</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zh-CN"/>
        </w:rPr>
        <w:t>。</w:t>
      </w:r>
    </w:p>
    <w:p>
      <w:pPr>
        <w:pageBreakBefore w:val="0"/>
        <w:widowControl/>
        <w:kinsoku/>
        <w:wordWrap/>
        <w:overflowPunct/>
        <w:bidi w:val="0"/>
        <w:spacing w:line="360" w:lineRule="auto"/>
        <w:ind w:firstLine="241" w:firstLineChars="100"/>
        <w:jc w:val="left"/>
        <w:outlineLvl w:val="1"/>
        <w:rPr>
          <w:rFonts w:hint="eastAsia" w:ascii="宋体" w:hAnsi="宋体" w:eastAsia="宋体" w:cs="宋体"/>
          <w:color w:val="auto"/>
          <w:kern w:val="0"/>
          <w:sz w:val="24"/>
          <w:szCs w:val="24"/>
          <w:highlight w:val="none"/>
        </w:rPr>
      </w:pPr>
      <w:bookmarkStart w:id="13" w:name="_Toc6312"/>
      <w:bookmarkStart w:id="14" w:name="_Toc15123"/>
      <w:bookmarkStart w:id="15" w:name="_Toc9229"/>
      <w:bookmarkStart w:id="16" w:name="_Toc24778"/>
      <w:bookmarkStart w:id="17" w:name="_Toc31362"/>
      <w:bookmarkStart w:id="18" w:name="_Toc23557"/>
      <w:bookmarkStart w:id="19" w:name="_Toc5716"/>
      <w:r>
        <w:rPr>
          <w:rFonts w:hint="eastAsia" w:ascii="宋体" w:hAnsi="宋体" w:eastAsia="宋体" w:cs="宋体"/>
          <w:b/>
          <w:color w:val="auto"/>
          <w:kern w:val="0"/>
          <w:sz w:val="24"/>
          <w:szCs w:val="24"/>
          <w:highlight w:val="none"/>
        </w:rPr>
        <w:t>二、申请人的资格要求：</w:t>
      </w:r>
      <w:bookmarkEnd w:id="13"/>
      <w:bookmarkEnd w:id="14"/>
      <w:bookmarkEnd w:id="15"/>
      <w:bookmarkEnd w:id="16"/>
      <w:bookmarkEnd w:id="17"/>
      <w:bookmarkEnd w:id="18"/>
      <w:bookmarkEnd w:id="19"/>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bookmarkStart w:id="20" w:name="_Toc13731"/>
      <w:bookmarkStart w:id="21" w:name="_Toc17971"/>
      <w:bookmarkStart w:id="22" w:name="_Toc8842"/>
      <w:r>
        <w:rPr>
          <w:rFonts w:hint="eastAsia" w:ascii="宋体" w:hAnsi="宋体" w:eastAsia="宋体" w:cs="宋体"/>
          <w:color w:val="auto"/>
          <w:kern w:val="0"/>
          <w:sz w:val="24"/>
          <w:szCs w:val="24"/>
          <w:highlight w:val="none"/>
          <w:lang w:val="en-US" w:eastAsia="zh-CN" w:bidi="ar-SA"/>
        </w:rPr>
        <w:t>1.满足《中</w:t>
      </w:r>
      <w:r>
        <w:rPr>
          <w:rFonts w:hint="eastAsia" w:ascii="宋体" w:hAnsi="宋体" w:eastAsia="宋体" w:cs="宋体"/>
          <w:color w:val="auto"/>
          <w:kern w:val="0"/>
          <w:sz w:val="24"/>
          <w:szCs w:val="24"/>
          <w:highlight w:val="none"/>
          <w:lang w:val="en-US" w:eastAsia="zh-CN" w:bidi="ar"/>
        </w:rPr>
        <w:t>华人民共和国政府采购法》</w:t>
      </w:r>
      <w:r>
        <w:rPr>
          <w:rFonts w:hint="eastAsia" w:ascii="宋体" w:hAnsi="宋体" w:eastAsia="宋体" w:cs="宋体"/>
          <w:color w:val="auto"/>
          <w:kern w:val="0"/>
          <w:sz w:val="24"/>
          <w:szCs w:val="24"/>
          <w:highlight w:val="none"/>
          <w:lang w:val="en-US" w:eastAsia="zh-CN" w:bidi="ar-SA"/>
        </w:rPr>
        <w:t>第二十二条规定；</w:t>
      </w:r>
    </w:p>
    <w:p>
      <w:pPr>
        <w:pStyle w:val="21"/>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2.落实政府采购政策需满足的资格要求：本项目专门面向中小企业采购，供应商须按照采购文件要求提供《中小企业声明函》</w:t>
      </w:r>
      <w:r>
        <w:rPr>
          <w:rFonts w:hint="eastAsia" w:ascii="宋体" w:hAnsi="宋体" w:eastAsia="宋体" w:cs="宋体"/>
          <w:color w:val="auto"/>
          <w:sz w:val="24"/>
          <w:szCs w:val="24"/>
          <w:highlight w:val="none"/>
          <w:lang w:eastAsia="zh-CN"/>
        </w:rPr>
        <w:t>。</w:t>
      </w:r>
    </w:p>
    <w:p>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sz w:val="24"/>
          <w:szCs w:val="24"/>
          <w:u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u w:val="none"/>
        </w:rPr>
        <w:t>单位负责人为同一人或者存在直接控股、管理关系的不同供应商，不得参加同一合同项下的投标；2）为采购项目提供整体设计、规范编制或者项目管理、监理、检测等服务的供应商，不得再参加该采购项目的投标；3）供应商未列入失信被执行人、重大税收违法案件当事人名单、政府采购严重违法失信行为记录名单（财库[2016]125号）；</w:t>
      </w:r>
      <w:r>
        <w:rPr>
          <w:rFonts w:hint="eastAsia" w:ascii="宋体" w:hAnsi="宋体" w:eastAsia="宋体" w:cs="宋体"/>
          <w:sz w:val="24"/>
          <w:szCs w:val="24"/>
          <w:u w:val="none"/>
          <w:lang w:val="en-US" w:eastAsia="zh-CN"/>
        </w:rPr>
        <w:t>4</w:t>
      </w:r>
      <w:r>
        <w:rPr>
          <w:rFonts w:hint="eastAsia" w:ascii="宋体" w:hAnsi="宋体" w:eastAsia="宋体" w:cs="宋体"/>
          <w:color w:val="auto"/>
          <w:sz w:val="24"/>
          <w:szCs w:val="24"/>
          <w:highlight w:val="none"/>
          <w:lang w:val="en-US" w:eastAsia="zh-CN"/>
        </w:rPr>
        <w:t>）项目负责人：具有一级注册造价工程师资格证书（注册单位需与供应商单位名称一致）。项目</w:t>
      </w:r>
      <w:r>
        <w:rPr>
          <w:rFonts w:hint="eastAsia" w:ascii="宋体" w:hAnsi="宋体" w:eastAsia="宋体" w:cs="宋体"/>
          <w:sz w:val="24"/>
          <w:szCs w:val="24"/>
          <w:u w:val="none"/>
          <w:lang w:val="en-US" w:eastAsia="zh-CN"/>
        </w:rPr>
        <w:t>组成员：</w:t>
      </w:r>
      <w:r>
        <w:rPr>
          <w:rFonts w:hint="eastAsia" w:ascii="宋体" w:hAnsi="宋体" w:eastAsia="宋体" w:cs="宋体"/>
          <w:color w:val="auto"/>
          <w:sz w:val="24"/>
          <w:szCs w:val="24"/>
          <w:highlight w:val="none"/>
          <w:lang w:val="en-US" w:eastAsia="zh-CN"/>
        </w:rPr>
        <w:t>至少有2名具备二级造价师以上资格的人员</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sz w:val="24"/>
          <w:szCs w:val="24"/>
          <w:u w:val="none"/>
          <w:lang w:val="en-US" w:eastAsia="zh-CN"/>
        </w:rPr>
        <w:t>业绩要求：提供2022年1月1日至今与本项目采购需求类似的业绩（提供合同关键页）</w:t>
      </w:r>
      <w:r>
        <w:rPr>
          <w:rFonts w:hint="eastAsia" w:ascii="宋体" w:hAnsi="宋体" w:eastAsia="宋体" w:cs="宋体"/>
          <w:sz w:val="24"/>
          <w:szCs w:val="24"/>
          <w:u w:val="none"/>
        </w:rPr>
        <w:t>。</w:t>
      </w:r>
    </w:p>
    <w:p>
      <w:pPr>
        <w:keepNext w:val="0"/>
        <w:keepLines w:val="0"/>
        <w:pageBreakBefore w:val="0"/>
        <w:widowControl/>
        <w:kinsoku/>
        <w:wordWrap/>
        <w:overflowPunct/>
        <w:topLinePunct w:val="0"/>
        <w:autoSpaceDE/>
        <w:autoSpaceDN/>
        <w:bidi w:val="0"/>
        <w:spacing w:line="360" w:lineRule="auto"/>
        <w:ind w:firstLine="482" w:firstLineChars="200"/>
        <w:jc w:val="left"/>
        <w:textAlignment w:val="auto"/>
        <w:outlineLvl w:val="1"/>
        <w:rPr>
          <w:rFonts w:hint="eastAsia" w:ascii="宋体" w:hAnsi="宋体" w:eastAsia="宋体" w:cs="宋体"/>
          <w:b/>
          <w:color w:val="auto"/>
          <w:kern w:val="0"/>
          <w:sz w:val="24"/>
          <w:szCs w:val="24"/>
          <w:highlight w:val="none"/>
        </w:rPr>
      </w:pPr>
      <w:bookmarkStart w:id="23" w:name="_Toc5813"/>
      <w:bookmarkStart w:id="24" w:name="_Toc31486"/>
      <w:bookmarkStart w:id="25" w:name="_Toc2666"/>
      <w:bookmarkStart w:id="26" w:name="_Toc25327"/>
      <w:r>
        <w:rPr>
          <w:rFonts w:hint="eastAsia" w:ascii="宋体" w:hAnsi="宋体" w:eastAsia="宋体" w:cs="宋体"/>
          <w:b/>
          <w:color w:val="auto"/>
          <w:kern w:val="0"/>
          <w:sz w:val="24"/>
          <w:szCs w:val="24"/>
          <w:highlight w:val="none"/>
        </w:rPr>
        <w:t>三、获取采购文件</w:t>
      </w:r>
      <w:bookmarkEnd w:id="20"/>
      <w:bookmarkEnd w:id="21"/>
      <w:bookmarkEnd w:id="22"/>
      <w:bookmarkEnd w:id="23"/>
      <w:bookmarkEnd w:id="24"/>
      <w:bookmarkEnd w:id="25"/>
      <w:bookmarkEnd w:id="26"/>
    </w:p>
    <w:p>
      <w:pPr>
        <w:spacing w:line="440" w:lineRule="exact"/>
        <w:ind w:firstLine="540"/>
        <w:rPr>
          <w:rFonts w:hint="eastAsia"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5</w:t>
      </w:r>
      <w:r>
        <w:rPr>
          <w:rFonts w:hint="eastAsia" w:ascii="宋体" w:hAnsi="宋体" w:cs="宋体"/>
          <w:sz w:val="24"/>
          <w:szCs w:val="24"/>
          <w:u w:val="single"/>
        </w:rPr>
        <w:t>月</w:t>
      </w:r>
      <w:r>
        <w:rPr>
          <w:rFonts w:hint="eastAsia" w:ascii="宋体" w:hAnsi="宋体" w:cs="宋体"/>
          <w:sz w:val="24"/>
          <w:szCs w:val="24"/>
          <w:u w:val="single"/>
          <w:lang w:val="en-US" w:eastAsia="zh-CN"/>
        </w:rPr>
        <w:t>1</w:t>
      </w:r>
      <w:r>
        <w:rPr>
          <w:rFonts w:hint="eastAsia" w:ascii="宋体" w:hAnsi="宋体" w:cs="宋体"/>
          <w:sz w:val="24"/>
          <w:szCs w:val="24"/>
          <w:u w:val="single"/>
        </w:rPr>
        <w:t>日至202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 xml:space="preserve"> 5</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 9</w:t>
      </w:r>
      <w:r>
        <w:rPr>
          <w:rFonts w:hint="eastAsia" w:ascii="宋体" w:hAnsi="宋体" w:cs="宋体"/>
          <w:sz w:val="24"/>
          <w:szCs w:val="24"/>
          <w:u w:val="single"/>
        </w:rPr>
        <w:t>日</w:t>
      </w:r>
      <w:r>
        <w:rPr>
          <w:rFonts w:hint="eastAsia" w:ascii="宋体" w:hAnsi="宋体" w:cs="宋体"/>
          <w:sz w:val="24"/>
          <w:szCs w:val="24"/>
        </w:rPr>
        <w:t>，每天上午</w:t>
      </w:r>
      <w:r>
        <w:rPr>
          <w:rFonts w:hint="eastAsia" w:ascii="宋体" w:hAnsi="宋体" w:cs="宋体"/>
          <w:sz w:val="24"/>
          <w:szCs w:val="24"/>
          <w:u w:val="single"/>
          <w:lang w:val="en-US" w:eastAsia="zh-CN"/>
        </w:rPr>
        <w:t>10</w:t>
      </w:r>
      <w:r>
        <w:rPr>
          <w:rFonts w:hint="eastAsia" w:ascii="宋体" w:hAnsi="宋体" w:cs="宋体"/>
          <w:sz w:val="24"/>
          <w:szCs w:val="24"/>
          <w:u w:val="single"/>
        </w:rPr>
        <w:t>:00</w:t>
      </w:r>
      <w:r>
        <w:rPr>
          <w:rFonts w:hint="eastAsia" w:ascii="宋体" w:hAnsi="宋体" w:cs="宋体"/>
          <w:sz w:val="24"/>
          <w:szCs w:val="24"/>
        </w:rPr>
        <w:t>至</w:t>
      </w:r>
      <w:r>
        <w:rPr>
          <w:rFonts w:hint="eastAsia" w:ascii="宋体" w:hAnsi="宋体" w:cs="宋体"/>
          <w:sz w:val="24"/>
          <w:szCs w:val="24"/>
          <w:u w:val="single"/>
          <w:lang w:val="en-US" w:eastAsia="zh-CN"/>
        </w:rPr>
        <w:t>13</w:t>
      </w:r>
      <w:r>
        <w:rPr>
          <w:rFonts w:hint="eastAsia" w:ascii="宋体" w:hAnsi="宋体" w:cs="宋体"/>
          <w:sz w:val="24"/>
          <w:szCs w:val="24"/>
          <w:u w:val="single"/>
        </w:rPr>
        <w:t>:</w:t>
      </w:r>
      <w:r>
        <w:rPr>
          <w:rFonts w:hint="eastAsia" w:ascii="宋体" w:hAnsi="宋体" w:cs="宋体"/>
          <w:sz w:val="24"/>
          <w:szCs w:val="24"/>
          <w:u w:val="single"/>
          <w:lang w:val="en-US" w:eastAsia="zh-CN"/>
        </w:rPr>
        <w:t>3</w:t>
      </w:r>
      <w:r>
        <w:rPr>
          <w:rFonts w:hint="eastAsia" w:ascii="宋体" w:hAnsi="宋体" w:cs="宋体"/>
          <w:sz w:val="24"/>
          <w:szCs w:val="24"/>
          <w:u w:val="single"/>
        </w:rPr>
        <w:t>0</w:t>
      </w:r>
      <w:r>
        <w:rPr>
          <w:rFonts w:hint="eastAsia" w:ascii="宋体" w:hAnsi="宋体" w:cs="宋体"/>
          <w:sz w:val="24"/>
          <w:szCs w:val="24"/>
        </w:rPr>
        <w:t>，下午</w:t>
      </w:r>
      <w:r>
        <w:rPr>
          <w:rFonts w:hint="eastAsia" w:ascii="宋体" w:hAnsi="宋体" w:cs="宋体"/>
          <w:sz w:val="24"/>
          <w:szCs w:val="24"/>
          <w:u w:val="single"/>
        </w:rPr>
        <w:t>1</w:t>
      </w:r>
      <w:r>
        <w:rPr>
          <w:rFonts w:hint="eastAsia" w:ascii="宋体" w:hAnsi="宋体" w:cs="宋体"/>
          <w:sz w:val="24"/>
          <w:szCs w:val="24"/>
          <w:u w:val="single"/>
          <w:lang w:val="en-US" w:eastAsia="zh-CN"/>
        </w:rPr>
        <w:t>5：3</w:t>
      </w:r>
      <w:r>
        <w:rPr>
          <w:rFonts w:hint="eastAsia" w:ascii="宋体" w:hAnsi="宋体" w:cs="宋体"/>
          <w:sz w:val="24"/>
          <w:szCs w:val="24"/>
          <w:u w:val="single"/>
        </w:rPr>
        <w:t>0</w:t>
      </w:r>
      <w:r>
        <w:rPr>
          <w:rFonts w:hint="eastAsia" w:ascii="宋体" w:hAnsi="宋体" w:cs="宋体"/>
          <w:sz w:val="24"/>
          <w:szCs w:val="24"/>
        </w:rPr>
        <w:t>至</w:t>
      </w:r>
      <w:r>
        <w:rPr>
          <w:rFonts w:hint="eastAsia" w:ascii="宋体" w:hAnsi="宋体" w:cs="宋体"/>
          <w:sz w:val="24"/>
          <w:szCs w:val="24"/>
          <w:lang w:val="en-US" w:eastAsia="zh-CN"/>
        </w:rPr>
        <w:t>19</w:t>
      </w:r>
      <w:r>
        <w:rPr>
          <w:rFonts w:hint="eastAsia" w:ascii="宋体" w:hAnsi="宋体" w:cs="宋体"/>
          <w:sz w:val="24"/>
          <w:szCs w:val="24"/>
          <w:u w:val="single"/>
        </w:rPr>
        <w:t>:</w:t>
      </w:r>
      <w:r>
        <w:rPr>
          <w:rFonts w:hint="eastAsia" w:ascii="宋体" w:hAnsi="宋体" w:cs="宋体"/>
          <w:sz w:val="24"/>
          <w:szCs w:val="24"/>
          <w:u w:val="single"/>
          <w:lang w:val="en-US" w:eastAsia="zh-CN"/>
        </w:rPr>
        <w:t>00</w:t>
      </w:r>
      <w:r>
        <w:rPr>
          <w:rFonts w:hint="eastAsia" w:ascii="宋体" w:hAnsi="宋体" w:cs="宋体"/>
          <w:sz w:val="24"/>
          <w:szCs w:val="24"/>
        </w:rPr>
        <w:t>（北京时间）</w:t>
      </w:r>
    </w:p>
    <w:p>
      <w:pPr>
        <w:spacing w:line="440" w:lineRule="exact"/>
        <w:ind w:firstLine="540"/>
        <w:jc w:val="left"/>
        <w:rPr>
          <w:rFonts w:hint="eastAsia" w:ascii="宋体" w:hAnsi="宋体" w:cs="宋体"/>
          <w:sz w:val="24"/>
          <w:szCs w:val="24"/>
        </w:rPr>
      </w:pPr>
      <w:r>
        <w:rPr>
          <w:rFonts w:hint="eastAsia" w:ascii="宋体" w:hAnsi="宋体" w:cs="宋体"/>
          <w:sz w:val="24"/>
          <w:szCs w:val="24"/>
        </w:rPr>
        <w:t>地点：</w:t>
      </w:r>
      <w:r>
        <w:rPr>
          <w:rFonts w:hint="eastAsia" w:ascii="宋体" w:hAnsi="宋体" w:cs="宋体"/>
          <w:sz w:val="24"/>
          <w:szCs w:val="24"/>
          <w:u w:val="single"/>
          <w:lang w:val="zh-CN"/>
        </w:rPr>
        <w:t>乌鲁木齐市水磨沟区南湖北路</w:t>
      </w:r>
      <w:r>
        <w:rPr>
          <w:rFonts w:hint="eastAsia" w:ascii="宋体" w:hAnsi="宋体" w:cs="宋体"/>
          <w:sz w:val="24"/>
          <w:szCs w:val="24"/>
          <w:u w:val="single"/>
        </w:rPr>
        <w:t>486</w:t>
      </w:r>
      <w:r>
        <w:rPr>
          <w:rFonts w:hint="eastAsia" w:ascii="宋体" w:hAnsi="宋体" w:cs="宋体"/>
          <w:sz w:val="24"/>
          <w:szCs w:val="24"/>
          <w:u w:val="single"/>
          <w:lang w:val="zh-CN"/>
        </w:rPr>
        <w:t>号南湖明珠大厦南区</w:t>
      </w:r>
      <w:r>
        <w:rPr>
          <w:rFonts w:hint="eastAsia" w:ascii="宋体" w:hAnsi="宋体" w:cs="宋体"/>
          <w:sz w:val="24"/>
          <w:szCs w:val="24"/>
          <w:u w:val="single"/>
        </w:rPr>
        <w:t>8</w:t>
      </w:r>
      <w:r>
        <w:rPr>
          <w:rFonts w:hint="eastAsia" w:ascii="宋体" w:hAnsi="宋体" w:cs="宋体"/>
          <w:sz w:val="24"/>
          <w:szCs w:val="24"/>
          <w:u w:val="single"/>
          <w:lang w:val="zh-CN"/>
        </w:rPr>
        <w:t>楼</w:t>
      </w:r>
    </w:p>
    <w:p>
      <w:pPr>
        <w:spacing w:line="440" w:lineRule="exact"/>
        <w:ind w:firstLine="540"/>
        <w:rPr>
          <w:rFonts w:hint="eastAsia" w:ascii="宋体" w:hAnsi="宋体" w:cs="宋体"/>
          <w:sz w:val="24"/>
          <w:szCs w:val="24"/>
          <w:highlight w:val="none"/>
        </w:rPr>
      </w:pPr>
      <w:r>
        <w:rPr>
          <w:rFonts w:hint="eastAsia" w:ascii="宋体" w:hAnsi="宋体" w:cs="宋体"/>
          <w:sz w:val="24"/>
          <w:szCs w:val="24"/>
          <w:lang w:val="en-US" w:eastAsia="zh-CN"/>
        </w:rPr>
        <w:t>获取</w:t>
      </w:r>
      <w:r>
        <w:rPr>
          <w:rFonts w:hint="eastAsia" w:ascii="宋体" w:hAnsi="宋体" w:cs="宋体"/>
          <w:sz w:val="24"/>
          <w:szCs w:val="24"/>
        </w:rPr>
        <w:t>方式：</w:t>
      </w:r>
      <w:r>
        <w:rPr>
          <w:rFonts w:hint="eastAsia" w:ascii="宋体" w:hAnsi="宋体" w:cs="宋体"/>
          <w:sz w:val="24"/>
          <w:szCs w:val="24"/>
          <w:highlight w:val="none"/>
        </w:rPr>
        <w:t>供应商</w:t>
      </w:r>
      <w:r>
        <w:rPr>
          <w:rFonts w:hint="eastAsia" w:ascii="宋体" w:hAnsi="宋体" w:cs="宋体"/>
          <w:sz w:val="24"/>
          <w:szCs w:val="24"/>
          <w:highlight w:val="none"/>
          <w:lang w:val="en-US" w:eastAsia="zh-CN"/>
        </w:rPr>
        <w:t>提供营业执照复印件加盖公章，法人身份证明或授权委托书原件，以上资料的扫描件PDF格式发送至zhaoxiongfei@cntcitc.com.cn</w:t>
      </w:r>
      <w:r>
        <w:rPr>
          <w:rFonts w:hint="eastAsia" w:ascii="宋体" w:hAnsi="宋体" w:cs="宋体"/>
          <w:sz w:val="24"/>
          <w:szCs w:val="24"/>
          <w:highlight w:val="none"/>
        </w:rPr>
        <w:t>。</w:t>
      </w:r>
    </w:p>
    <w:p>
      <w:pPr>
        <w:keepNext w:val="0"/>
        <w:keepLines w:val="0"/>
        <w:pageBreakBefore w:val="0"/>
        <w:widowControl/>
        <w:kinsoku/>
        <w:wordWrap/>
        <w:overflowPunct/>
        <w:topLinePunct w:val="0"/>
        <w:autoSpaceDE/>
        <w:autoSpaceDN/>
        <w:bidi w:val="0"/>
        <w:spacing w:line="360" w:lineRule="auto"/>
        <w:ind w:firstLine="482" w:firstLineChars="200"/>
        <w:jc w:val="left"/>
        <w:textAlignment w:val="auto"/>
        <w:outlineLvl w:val="1"/>
        <w:rPr>
          <w:rFonts w:hint="eastAsia" w:ascii="宋体" w:hAnsi="宋体" w:eastAsia="宋体" w:cs="宋体"/>
          <w:b/>
          <w:color w:val="auto"/>
          <w:kern w:val="0"/>
          <w:sz w:val="24"/>
          <w:szCs w:val="24"/>
          <w:highlight w:val="none"/>
        </w:rPr>
      </w:pPr>
      <w:bookmarkStart w:id="27" w:name="_Toc10548"/>
      <w:bookmarkStart w:id="28" w:name="_Toc28359015"/>
      <w:bookmarkStart w:id="29" w:name="_Toc71282079"/>
      <w:bookmarkStart w:id="30" w:name="_Toc35393801"/>
      <w:bookmarkStart w:id="31" w:name="_Toc35393632"/>
      <w:bookmarkStart w:id="32" w:name="_Toc28359092"/>
      <w:r>
        <w:rPr>
          <w:rFonts w:hint="eastAsia" w:ascii="宋体" w:hAnsi="宋体" w:eastAsia="宋体" w:cs="宋体"/>
          <w:b/>
          <w:color w:val="auto"/>
          <w:kern w:val="0"/>
          <w:sz w:val="24"/>
          <w:szCs w:val="24"/>
          <w:highlight w:val="none"/>
        </w:rPr>
        <w:t>四、响应文件提交</w:t>
      </w:r>
      <w:bookmarkEnd w:id="27"/>
      <w:bookmarkEnd w:id="28"/>
      <w:bookmarkEnd w:id="29"/>
      <w:bookmarkEnd w:id="30"/>
      <w:bookmarkEnd w:id="31"/>
      <w:bookmarkEnd w:id="32"/>
    </w:p>
    <w:p>
      <w:pPr>
        <w:spacing w:line="440" w:lineRule="exact"/>
        <w:ind w:firstLine="480" w:firstLineChars="200"/>
        <w:rPr>
          <w:rFonts w:hint="eastAsia" w:ascii="宋体" w:hAnsi="宋体" w:cs="宋体"/>
          <w:bCs/>
          <w:sz w:val="24"/>
          <w:szCs w:val="24"/>
          <w:u w:val="single"/>
        </w:rPr>
      </w:pPr>
      <w:r>
        <w:rPr>
          <w:rFonts w:hint="eastAsia" w:ascii="宋体" w:hAnsi="宋体" w:cs="宋体"/>
          <w:sz w:val="24"/>
          <w:szCs w:val="24"/>
        </w:rPr>
        <w:t>截止时间：</w:t>
      </w: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2025年5月12日11:30</w:t>
      </w:r>
      <w:r>
        <w:rPr>
          <w:rFonts w:hint="eastAsia" w:ascii="宋体" w:hAnsi="宋体" w:cs="宋体"/>
          <w:bCs/>
          <w:sz w:val="24"/>
          <w:szCs w:val="24"/>
        </w:rPr>
        <w:t>（北京时间）</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地点：乌鲁木齐市水磨沟区南湖北路486号南湖明珠大厦南区8楼</w:t>
      </w:r>
      <w:r>
        <w:rPr>
          <w:rFonts w:hint="eastAsia" w:ascii="宋体" w:hAnsi="宋体" w:cs="宋体"/>
          <w:sz w:val="24"/>
          <w:szCs w:val="24"/>
          <w:lang w:val="en-US" w:eastAsia="zh-CN"/>
        </w:rPr>
        <w:t>会议室</w:t>
      </w:r>
    </w:p>
    <w:p>
      <w:pPr>
        <w:keepNext w:val="0"/>
        <w:keepLines w:val="0"/>
        <w:pageBreakBefore w:val="0"/>
        <w:widowControl/>
        <w:kinsoku/>
        <w:wordWrap/>
        <w:overflowPunct/>
        <w:topLinePunct w:val="0"/>
        <w:autoSpaceDE/>
        <w:autoSpaceDN/>
        <w:bidi w:val="0"/>
        <w:spacing w:line="360" w:lineRule="auto"/>
        <w:ind w:firstLine="482" w:firstLineChars="200"/>
        <w:jc w:val="left"/>
        <w:textAlignment w:val="auto"/>
        <w:outlineLvl w:val="1"/>
        <w:rPr>
          <w:rFonts w:hint="eastAsia" w:ascii="宋体" w:hAnsi="宋体" w:eastAsia="宋体" w:cs="宋体"/>
          <w:b/>
          <w:color w:val="auto"/>
          <w:kern w:val="0"/>
          <w:sz w:val="24"/>
          <w:szCs w:val="24"/>
          <w:highlight w:val="none"/>
        </w:rPr>
      </w:pPr>
      <w:bookmarkStart w:id="33" w:name="_Toc28359016"/>
      <w:bookmarkStart w:id="34" w:name="_Toc71282080"/>
      <w:bookmarkStart w:id="35" w:name="_Toc1607"/>
      <w:bookmarkStart w:id="36" w:name="_Toc28359093"/>
      <w:bookmarkStart w:id="37" w:name="_Toc35393802"/>
      <w:bookmarkStart w:id="38" w:name="_Toc35393633"/>
      <w:r>
        <w:rPr>
          <w:rFonts w:hint="eastAsia" w:ascii="宋体" w:hAnsi="宋体" w:eastAsia="宋体" w:cs="宋体"/>
          <w:b/>
          <w:color w:val="auto"/>
          <w:kern w:val="0"/>
          <w:sz w:val="24"/>
          <w:szCs w:val="24"/>
          <w:highlight w:val="none"/>
        </w:rPr>
        <w:t>五、开启</w:t>
      </w:r>
      <w:bookmarkEnd w:id="33"/>
      <w:bookmarkEnd w:id="34"/>
      <w:bookmarkEnd w:id="35"/>
      <w:bookmarkEnd w:id="36"/>
      <w:bookmarkEnd w:id="37"/>
      <w:bookmarkEnd w:id="38"/>
    </w:p>
    <w:p>
      <w:pPr>
        <w:spacing w:line="440" w:lineRule="exact"/>
        <w:ind w:firstLine="480" w:firstLineChars="200"/>
        <w:rPr>
          <w:rFonts w:hint="eastAsia" w:ascii="宋体" w:hAnsi="宋体" w:cs="宋体"/>
          <w:bCs/>
          <w:sz w:val="24"/>
          <w:szCs w:val="24"/>
          <w:u w:val="single"/>
        </w:rPr>
      </w:pPr>
      <w:r>
        <w:rPr>
          <w:rFonts w:hint="eastAsia" w:ascii="宋体" w:hAnsi="宋体" w:cs="宋体"/>
          <w:sz w:val="24"/>
          <w:szCs w:val="24"/>
        </w:rPr>
        <w:t>时间：</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bCs/>
          <w:sz w:val="24"/>
          <w:szCs w:val="24"/>
          <w:u w:val="single"/>
        </w:rPr>
        <w:t>年</w:t>
      </w:r>
      <w:r>
        <w:rPr>
          <w:rFonts w:hint="eastAsia" w:ascii="宋体" w:hAnsi="宋体" w:cs="宋体"/>
          <w:bCs/>
          <w:sz w:val="24"/>
          <w:szCs w:val="24"/>
          <w:u w:val="single"/>
          <w:lang w:val="en-US" w:eastAsia="zh-CN"/>
        </w:rPr>
        <w:t>5</w:t>
      </w:r>
      <w:r>
        <w:rPr>
          <w:rFonts w:hint="eastAsia" w:ascii="宋体" w:hAnsi="宋体" w:cs="宋体"/>
          <w:bCs/>
          <w:sz w:val="24"/>
          <w:szCs w:val="24"/>
          <w:u w:val="single"/>
        </w:rPr>
        <w:t>月</w:t>
      </w:r>
      <w:r>
        <w:rPr>
          <w:rFonts w:hint="eastAsia" w:ascii="宋体" w:hAnsi="宋体" w:cs="宋体"/>
          <w:bCs/>
          <w:sz w:val="24"/>
          <w:szCs w:val="24"/>
          <w:u w:val="single"/>
          <w:lang w:val="en-US" w:eastAsia="zh-CN"/>
        </w:rPr>
        <w:t>12</w:t>
      </w:r>
      <w:r>
        <w:rPr>
          <w:rFonts w:hint="eastAsia" w:ascii="宋体" w:hAnsi="宋体" w:cs="宋体"/>
          <w:bCs/>
          <w:sz w:val="24"/>
          <w:szCs w:val="24"/>
          <w:u w:val="single"/>
        </w:rPr>
        <w:t>日1</w:t>
      </w:r>
      <w:r>
        <w:rPr>
          <w:rFonts w:ascii="宋体" w:hAnsi="宋体" w:cs="宋体"/>
          <w:bCs/>
          <w:sz w:val="24"/>
          <w:szCs w:val="24"/>
          <w:u w:val="single"/>
        </w:rPr>
        <w:t>1</w:t>
      </w:r>
      <w:r>
        <w:rPr>
          <w:rFonts w:hint="eastAsia" w:ascii="宋体" w:hAnsi="宋体" w:cs="宋体"/>
          <w:bCs/>
          <w:sz w:val="24"/>
          <w:szCs w:val="24"/>
          <w:u w:val="single"/>
        </w:rPr>
        <w:t>点</w:t>
      </w:r>
      <w:r>
        <w:rPr>
          <w:rFonts w:hint="eastAsia" w:ascii="宋体" w:hAnsi="宋体" w:cs="宋体"/>
          <w:bCs/>
          <w:sz w:val="24"/>
          <w:szCs w:val="24"/>
          <w:u w:val="single"/>
          <w:lang w:val="en-US" w:eastAsia="zh-CN"/>
        </w:rPr>
        <w:t>3</w:t>
      </w:r>
      <w:r>
        <w:rPr>
          <w:rFonts w:hint="eastAsia" w:ascii="宋体" w:hAnsi="宋体" w:cs="宋体"/>
          <w:bCs/>
          <w:sz w:val="24"/>
          <w:szCs w:val="24"/>
          <w:u w:val="single"/>
        </w:rPr>
        <w:t>0分</w:t>
      </w:r>
      <w:r>
        <w:rPr>
          <w:rFonts w:hint="eastAsia" w:ascii="宋体" w:hAnsi="宋体" w:cs="宋体"/>
          <w:bCs/>
          <w:sz w:val="24"/>
          <w:szCs w:val="24"/>
        </w:rPr>
        <w:t>（北京时间）</w:t>
      </w:r>
    </w:p>
    <w:p>
      <w:pPr>
        <w:spacing w:line="440" w:lineRule="exact"/>
        <w:ind w:firstLine="480" w:firstLineChars="200"/>
        <w:rPr>
          <w:rFonts w:hint="eastAsia" w:ascii="宋体" w:hAnsi="宋体" w:cs="宋体"/>
          <w:sz w:val="24"/>
          <w:szCs w:val="24"/>
          <w:u w:val="single"/>
        </w:rPr>
      </w:pPr>
      <w:r>
        <w:rPr>
          <w:rFonts w:hint="eastAsia" w:ascii="宋体" w:hAnsi="宋体" w:cs="宋体"/>
          <w:sz w:val="24"/>
          <w:szCs w:val="24"/>
        </w:rPr>
        <w:t>地点：</w:t>
      </w:r>
      <w:bookmarkStart w:id="39" w:name="_Toc35393803"/>
      <w:bookmarkStart w:id="40" w:name="_Toc35393634"/>
      <w:bookmarkStart w:id="41" w:name="_Toc28359094"/>
      <w:bookmarkStart w:id="42" w:name="_Toc71282081"/>
      <w:bookmarkStart w:id="43" w:name="_Toc28359017"/>
      <w:r>
        <w:rPr>
          <w:rFonts w:hint="eastAsia" w:ascii="宋体" w:hAnsi="宋体" w:cs="宋体"/>
          <w:sz w:val="24"/>
          <w:szCs w:val="24"/>
        </w:rPr>
        <w:t>乌鲁木齐市水磨沟区南湖北路486号南湖明珠大厦南区8楼</w:t>
      </w:r>
      <w:r>
        <w:rPr>
          <w:rFonts w:hint="eastAsia" w:ascii="宋体" w:hAnsi="宋体" w:cs="宋体"/>
          <w:sz w:val="24"/>
          <w:szCs w:val="24"/>
          <w:lang w:val="en-US" w:eastAsia="zh-CN"/>
        </w:rPr>
        <w:t>会议室</w:t>
      </w:r>
    </w:p>
    <w:p>
      <w:pPr>
        <w:keepNext w:val="0"/>
        <w:keepLines w:val="0"/>
        <w:pageBreakBefore w:val="0"/>
        <w:widowControl/>
        <w:numPr>
          <w:ilvl w:val="0"/>
          <w:numId w:val="3"/>
        </w:numPr>
        <w:kinsoku/>
        <w:wordWrap/>
        <w:overflowPunct/>
        <w:topLinePunct w:val="0"/>
        <w:autoSpaceDE/>
        <w:autoSpaceDN/>
        <w:bidi w:val="0"/>
        <w:spacing w:line="360" w:lineRule="auto"/>
        <w:ind w:firstLine="482" w:firstLineChars="200"/>
        <w:jc w:val="left"/>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公告期限</w:t>
      </w:r>
      <w:bookmarkEnd w:id="39"/>
      <w:bookmarkEnd w:id="40"/>
      <w:bookmarkEnd w:id="41"/>
      <w:bookmarkEnd w:id="42"/>
      <w:bookmarkEnd w:id="43"/>
    </w:p>
    <w:p>
      <w:pPr>
        <w:keepNext w:val="0"/>
        <w:keepLines w:val="0"/>
        <w:pageBreakBefore w:val="0"/>
        <w:widowControl/>
        <w:numPr>
          <w:numId w:val="0"/>
        </w:numPr>
        <w:kinsoku/>
        <w:wordWrap/>
        <w:overflowPunct/>
        <w:topLinePunct w:val="0"/>
        <w:autoSpaceDE/>
        <w:autoSpaceDN/>
        <w:bidi w:val="0"/>
        <w:spacing w:line="360" w:lineRule="auto"/>
        <w:ind w:firstLine="480" w:firstLineChars="200"/>
        <w:jc w:val="left"/>
        <w:textAlignment w:val="auto"/>
        <w:outlineLvl w:val="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自本公告发布之日起3个工作日。</w:t>
      </w:r>
    </w:p>
    <w:p>
      <w:pPr>
        <w:pageBreakBefore w:val="0"/>
        <w:widowControl/>
        <w:numPr>
          <w:ilvl w:val="0"/>
          <w:numId w:val="4"/>
        </w:numPr>
        <w:kinsoku/>
        <w:wordWrap/>
        <w:overflowPunct/>
        <w:bidi w:val="0"/>
        <w:spacing w:line="360" w:lineRule="auto"/>
        <w:ind w:firstLine="482" w:firstLineChars="200"/>
        <w:jc w:val="left"/>
        <w:outlineLvl w:val="1"/>
        <w:rPr>
          <w:rFonts w:hint="eastAsia" w:ascii="宋体" w:hAnsi="宋体" w:eastAsia="宋体" w:cs="宋体"/>
          <w:b/>
          <w:color w:val="auto"/>
          <w:kern w:val="0"/>
          <w:sz w:val="24"/>
          <w:szCs w:val="24"/>
          <w:highlight w:val="none"/>
        </w:rPr>
      </w:pPr>
      <w:bookmarkStart w:id="44" w:name="_Toc4449"/>
      <w:bookmarkStart w:id="45" w:name="_Toc7972"/>
      <w:bookmarkStart w:id="46" w:name="_Toc5106"/>
      <w:bookmarkStart w:id="47" w:name="_Toc7542"/>
      <w:bookmarkStart w:id="48" w:name="_Toc6626"/>
      <w:bookmarkStart w:id="49" w:name="_Toc5856"/>
      <w:bookmarkStart w:id="50" w:name="_Toc13623"/>
      <w:r>
        <w:rPr>
          <w:rFonts w:hint="eastAsia" w:ascii="宋体" w:hAnsi="宋体" w:eastAsia="宋体" w:cs="宋体"/>
          <w:b/>
          <w:color w:val="auto"/>
          <w:kern w:val="0"/>
          <w:sz w:val="24"/>
          <w:szCs w:val="24"/>
          <w:highlight w:val="none"/>
        </w:rPr>
        <w:t>其他补充事宜</w:t>
      </w:r>
      <w:bookmarkEnd w:id="44"/>
      <w:bookmarkEnd w:id="45"/>
      <w:bookmarkEnd w:id="46"/>
      <w:bookmarkEnd w:id="47"/>
      <w:bookmarkEnd w:id="48"/>
      <w:bookmarkEnd w:id="49"/>
      <w:bookmarkEnd w:id="50"/>
    </w:p>
    <w:p>
      <w:pPr>
        <w:pageBreakBefore w:val="0"/>
        <w:widowControl/>
        <w:numPr>
          <w:ilvl w:val="0"/>
          <w:numId w:val="0"/>
        </w:numPr>
        <w:kinsoku/>
        <w:wordWrap/>
        <w:overflowPunct/>
        <w:bidi w:val="0"/>
        <w:spacing w:line="360" w:lineRule="auto"/>
        <w:ind w:firstLine="480" w:firstLineChars="200"/>
        <w:jc w:val="left"/>
        <w:outlineLvl w:val="1"/>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pageBreakBefore w:val="0"/>
        <w:widowControl/>
        <w:numPr>
          <w:ilvl w:val="0"/>
          <w:numId w:val="0"/>
        </w:numPr>
        <w:kinsoku/>
        <w:wordWrap/>
        <w:overflowPunct/>
        <w:bidi w:val="0"/>
        <w:spacing w:line="360" w:lineRule="auto"/>
        <w:jc w:val="left"/>
        <w:outlineLvl w:val="1"/>
        <w:rPr>
          <w:rFonts w:hint="eastAsia" w:ascii="宋体" w:hAnsi="宋体" w:eastAsia="宋体" w:cs="宋体"/>
          <w:b/>
          <w:color w:val="auto"/>
          <w:kern w:val="0"/>
          <w:sz w:val="24"/>
          <w:szCs w:val="24"/>
          <w:highlight w:val="none"/>
        </w:rPr>
      </w:pPr>
    </w:p>
    <w:p>
      <w:pPr>
        <w:pageBreakBefore w:val="0"/>
        <w:widowControl/>
        <w:kinsoku/>
        <w:wordWrap/>
        <w:overflowPunct/>
        <w:bidi w:val="0"/>
        <w:spacing w:line="360" w:lineRule="auto"/>
        <w:ind w:firstLine="482" w:firstLineChars="200"/>
        <w:jc w:val="left"/>
        <w:outlineLvl w:val="1"/>
        <w:rPr>
          <w:rFonts w:hint="eastAsia" w:ascii="宋体" w:hAnsi="宋体" w:eastAsia="宋体" w:cs="宋体"/>
          <w:b/>
          <w:color w:val="auto"/>
          <w:kern w:val="0"/>
          <w:sz w:val="24"/>
          <w:szCs w:val="24"/>
          <w:highlight w:val="none"/>
        </w:rPr>
      </w:pPr>
      <w:bookmarkStart w:id="51" w:name="_Toc17548"/>
      <w:bookmarkStart w:id="52" w:name="_Toc19691"/>
      <w:bookmarkStart w:id="53" w:name="_Toc10592"/>
      <w:bookmarkStart w:id="54" w:name="_Toc9280"/>
      <w:bookmarkStart w:id="55" w:name="_Toc25946"/>
      <w:bookmarkStart w:id="56" w:name="_Toc921"/>
      <w:bookmarkStart w:id="57" w:name="_Toc12385"/>
      <w:r>
        <w:rPr>
          <w:rFonts w:hint="eastAsia" w:ascii="宋体" w:hAnsi="宋体" w:eastAsia="宋体" w:cs="宋体"/>
          <w:b/>
          <w:color w:val="auto"/>
          <w:kern w:val="0"/>
          <w:sz w:val="24"/>
          <w:szCs w:val="24"/>
          <w:highlight w:val="none"/>
          <w:lang w:val="en-US" w:eastAsia="zh-CN"/>
        </w:rPr>
        <w:t>八</w:t>
      </w:r>
      <w:r>
        <w:rPr>
          <w:rFonts w:hint="eastAsia" w:ascii="宋体" w:hAnsi="宋体" w:eastAsia="宋体" w:cs="宋体"/>
          <w:b/>
          <w:color w:val="auto"/>
          <w:kern w:val="0"/>
          <w:sz w:val="24"/>
          <w:szCs w:val="24"/>
          <w:highlight w:val="none"/>
        </w:rPr>
        <w:t>、对本次采购提出询问，请按以下方式联系</w:t>
      </w:r>
      <w:bookmarkEnd w:id="51"/>
      <w:bookmarkEnd w:id="52"/>
      <w:bookmarkEnd w:id="53"/>
      <w:bookmarkEnd w:id="54"/>
      <w:bookmarkEnd w:id="55"/>
      <w:bookmarkEnd w:id="56"/>
      <w:bookmarkEnd w:id="57"/>
    </w:p>
    <w:p>
      <w:pPr>
        <w:pageBreakBefore w:val="0"/>
        <w:widowControl/>
        <w:kinsoku/>
        <w:wordWrap/>
        <w:overflowPunct/>
        <w:bidi w:val="0"/>
        <w:spacing w:line="360" w:lineRule="auto"/>
        <w:ind w:firstLine="480" w:firstLineChars="200"/>
        <w:jc w:val="left"/>
        <w:outlineLvl w:val="2"/>
        <w:rPr>
          <w:rFonts w:hint="eastAsia" w:ascii="宋体" w:hAnsi="宋体" w:eastAsia="宋体" w:cs="宋体"/>
          <w:color w:val="auto"/>
          <w:kern w:val="0"/>
          <w:sz w:val="24"/>
          <w:szCs w:val="24"/>
          <w:highlight w:val="none"/>
        </w:rPr>
      </w:pPr>
      <w:bookmarkStart w:id="58" w:name="_Toc16355"/>
      <w:bookmarkStart w:id="59" w:name="_Toc1557"/>
      <w:bookmarkStart w:id="60" w:name="_Toc293"/>
      <w:bookmarkStart w:id="61" w:name="_Toc19009"/>
      <w:bookmarkStart w:id="62" w:name="_Toc11686"/>
      <w:bookmarkStart w:id="63" w:name="_Toc29903"/>
      <w:bookmarkStart w:id="64" w:name="_Toc585"/>
      <w:r>
        <w:rPr>
          <w:rFonts w:hint="eastAsia" w:ascii="宋体" w:hAnsi="宋体" w:eastAsia="宋体" w:cs="宋体"/>
          <w:color w:val="auto"/>
          <w:kern w:val="0"/>
          <w:sz w:val="24"/>
          <w:szCs w:val="24"/>
          <w:highlight w:val="none"/>
        </w:rPr>
        <w:t>1.采购人信息</w:t>
      </w:r>
      <w:bookmarkEnd w:id="58"/>
      <w:bookmarkEnd w:id="59"/>
      <w:bookmarkEnd w:id="60"/>
      <w:bookmarkEnd w:id="61"/>
      <w:bookmarkEnd w:id="62"/>
      <w:bookmarkEnd w:id="63"/>
      <w:bookmarkEnd w:id="64"/>
    </w:p>
    <w:p>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名 称：</w:t>
      </w:r>
      <w:r>
        <w:rPr>
          <w:rFonts w:hint="eastAsia" w:ascii="宋体" w:hAnsi="宋体" w:eastAsia="宋体" w:cs="宋体"/>
          <w:color w:val="auto"/>
          <w:kern w:val="0"/>
          <w:sz w:val="24"/>
          <w:szCs w:val="24"/>
          <w:highlight w:val="none"/>
          <w:lang w:eastAsia="zh-CN"/>
        </w:rPr>
        <w:t>五家渠经济技术开发区管理委员会</w:t>
      </w:r>
    </w:p>
    <w:p>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地 址：</w:t>
      </w:r>
      <w:bookmarkStart w:id="65" w:name="OLE_LINK10"/>
      <w:r>
        <w:rPr>
          <w:rFonts w:hint="eastAsia" w:ascii="宋体" w:hAnsi="宋体" w:eastAsia="宋体" w:cs="宋体"/>
          <w:color w:val="auto"/>
          <w:kern w:val="0"/>
          <w:sz w:val="24"/>
          <w:szCs w:val="24"/>
          <w:highlight w:val="none"/>
          <w:lang w:eastAsia="zh-CN"/>
        </w:rPr>
        <w:t>新疆五家渠市东工业园区纬六西街699号五家渠开发区东工业园中小企业创业园主研发办公楼608会议室</w:t>
      </w:r>
    </w:p>
    <w:bookmarkEnd w:id="65"/>
    <w:p>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项目联系人：</w:t>
      </w:r>
      <w:bookmarkStart w:id="66" w:name="OLE_LINK8"/>
      <w:r>
        <w:rPr>
          <w:rFonts w:hint="eastAsia" w:ascii="宋体" w:hAnsi="宋体" w:eastAsia="宋体" w:cs="宋体"/>
          <w:color w:val="auto"/>
          <w:kern w:val="0"/>
          <w:sz w:val="24"/>
          <w:szCs w:val="24"/>
          <w:highlight w:val="none"/>
          <w:lang w:val="en-US" w:eastAsia="zh-CN"/>
        </w:rPr>
        <w:t>张华</w:t>
      </w:r>
      <w:bookmarkEnd w:id="66"/>
    </w:p>
    <w:p>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项目联系方式：</w:t>
      </w:r>
      <w:bookmarkStart w:id="67" w:name="OLE_LINK11"/>
      <w:bookmarkStart w:id="68" w:name="OLE_LINK9"/>
      <w:r>
        <w:rPr>
          <w:rFonts w:hint="eastAsia" w:ascii="宋体" w:hAnsi="宋体" w:eastAsia="宋体" w:cs="宋体"/>
          <w:color w:val="auto"/>
          <w:kern w:val="0"/>
          <w:sz w:val="24"/>
          <w:szCs w:val="24"/>
          <w:highlight w:val="none"/>
        </w:rPr>
        <w:t>18709940567</w:t>
      </w:r>
      <w:bookmarkEnd w:id="67"/>
    </w:p>
    <w:bookmarkEnd w:id="68"/>
    <w:p>
      <w:pPr>
        <w:pageBreakBefore w:val="0"/>
        <w:widowControl/>
        <w:kinsoku/>
        <w:wordWrap/>
        <w:overflowPunct/>
        <w:bidi w:val="0"/>
        <w:spacing w:line="360" w:lineRule="auto"/>
        <w:ind w:firstLine="480" w:firstLineChars="200"/>
        <w:jc w:val="left"/>
        <w:outlineLvl w:val="2"/>
        <w:rPr>
          <w:rFonts w:hint="eastAsia" w:ascii="宋体" w:hAnsi="宋体" w:eastAsia="宋体" w:cs="宋体"/>
          <w:color w:val="auto"/>
          <w:kern w:val="0"/>
          <w:sz w:val="24"/>
          <w:szCs w:val="24"/>
          <w:highlight w:val="none"/>
        </w:rPr>
      </w:pPr>
      <w:bookmarkStart w:id="69" w:name="_Toc1921"/>
      <w:bookmarkStart w:id="70" w:name="_Toc25859"/>
      <w:bookmarkStart w:id="71" w:name="_Toc5390"/>
      <w:bookmarkStart w:id="72" w:name="_Toc2819"/>
      <w:bookmarkStart w:id="73" w:name="_Toc12889"/>
      <w:bookmarkStart w:id="74" w:name="_Toc9123"/>
      <w:bookmarkStart w:id="75" w:name="_Toc14852"/>
      <w:r>
        <w:rPr>
          <w:rFonts w:hint="eastAsia" w:ascii="宋体" w:hAnsi="宋体" w:eastAsia="宋体" w:cs="宋体"/>
          <w:color w:val="auto"/>
          <w:kern w:val="0"/>
          <w:sz w:val="24"/>
          <w:szCs w:val="24"/>
          <w:highlight w:val="none"/>
        </w:rPr>
        <w:t>2.采购代理机构信息</w:t>
      </w:r>
      <w:bookmarkEnd w:id="69"/>
      <w:bookmarkEnd w:id="70"/>
      <w:bookmarkEnd w:id="71"/>
      <w:bookmarkEnd w:id="72"/>
      <w:bookmarkEnd w:id="73"/>
      <w:bookmarkEnd w:id="74"/>
      <w:bookmarkEnd w:id="75"/>
    </w:p>
    <w:p>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w:t>
      </w:r>
      <w:bookmarkStart w:id="76" w:name="OLE_LINK6"/>
      <w:r>
        <w:rPr>
          <w:rFonts w:hint="eastAsia" w:ascii="宋体" w:hAnsi="宋体" w:eastAsia="宋体" w:cs="宋体"/>
          <w:color w:val="auto"/>
          <w:kern w:val="0"/>
          <w:sz w:val="24"/>
          <w:szCs w:val="24"/>
          <w:highlight w:val="none"/>
        </w:rPr>
        <w:t>中招国际招标有限公司</w:t>
      </w:r>
    </w:p>
    <w:bookmarkEnd w:id="76"/>
    <w:p>
      <w:pPr>
        <w:pStyle w:val="36"/>
        <w:pageBreakBefore w:val="0"/>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bookmarkStart w:id="77" w:name="OLE_LINK5"/>
      <w:bookmarkStart w:id="78" w:name="OLE_LINK7"/>
      <w:r>
        <w:rPr>
          <w:rFonts w:hint="eastAsia" w:ascii="宋体" w:hAnsi="宋体" w:eastAsia="宋体" w:cs="宋体"/>
          <w:color w:val="auto"/>
          <w:kern w:val="0"/>
          <w:sz w:val="24"/>
          <w:szCs w:val="24"/>
          <w:highlight w:val="none"/>
          <w:lang w:val="zh-CN"/>
        </w:rPr>
        <w:t>乌鲁木齐市水磨沟区南湖北路</w:t>
      </w:r>
      <w:r>
        <w:rPr>
          <w:rFonts w:hint="eastAsia" w:ascii="宋体" w:hAnsi="宋体" w:eastAsia="宋体" w:cs="宋体"/>
          <w:color w:val="auto"/>
          <w:kern w:val="0"/>
          <w:sz w:val="24"/>
          <w:szCs w:val="24"/>
          <w:highlight w:val="none"/>
        </w:rPr>
        <w:t>486</w:t>
      </w:r>
      <w:r>
        <w:rPr>
          <w:rFonts w:hint="eastAsia" w:ascii="宋体" w:hAnsi="宋体" w:eastAsia="宋体" w:cs="宋体"/>
          <w:color w:val="auto"/>
          <w:kern w:val="0"/>
          <w:sz w:val="24"/>
          <w:szCs w:val="24"/>
          <w:highlight w:val="none"/>
          <w:lang w:val="zh-CN"/>
        </w:rPr>
        <w:t>号南湖明珠大厦南区</w:t>
      </w: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zh-CN"/>
        </w:rPr>
        <w:t>楼</w:t>
      </w:r>
      <w:bookmarkEnd w:id="77"/>
    </w:p>
    <w:bookmarkEnd w:id="78"/>
    <w:p>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项目联系人</w:t>
      </w:r>
      <w:r>
        <w:rPr>
          <w:rFonts w:hint="eastAsia" w:ascii="宋体" w:hAnsi="宋体" w:eastAsia="宋体" w:cs="宋体"/>
          <w:color w:val="auto"/>
          <w:kern w:val="0"/>
          <w:sz w:val="24"/>
          <w:szCs w:val="24"/>
          <w:highlight w:val="none"/>
          <w:lang w:eastAsia="zh-CN"/>
        </w:rPr>
        <w:t>：</w:t>
      </w:r>
      <w:bookmarkStart w:id="79" w:name="OLE_LINK3"/>
      <w:r>
        <w:rPr>
          <w:rFonts w:hint="eastAsia" w:ascii="宋体" w:hAnsi="宋体" w:eastAsia="宋体" w:cs="宋体"/>
          <w:color w:val="auto"/>
          <w:kern w:val="0"/>
          <w:sz w:val="24"/>
          <w:szCs w:val="24"/>
          <w:highlight w:val="none"/>
          <w:lang w:val="en-US" w:eastAsia="zh-CN"/>
        </w:rPr>
        <w:t>赵雄飞、于昭洋、侯秀英</w:t>
      </w:r>
      <w:bookmarkEnd w:id="79"/>
    </w:p>
    <w:p>
      <w:pPr>
        <w:pageBreakBefore w:val="0"/>
        <w:widowControl/>
        <w:kinsoku/>
        <w:wordWrap/>
        <w:overflowPunct/>
        <w:bidi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项目联系方式：</w:t>
      </w:r>
      <w:bookmarkStart w:id="80" w:name="OLE_LINK4"/>
      <w:r>
        <w:rPr>
          <w:rFonts w:hint="eastAsia" w:ascii="宋体" w:hAnsi="宋体" w:eastAsia="宋体" w:cs="宋体"/>
          <w:color w:val="auto"/>
          <w:kern w:val="0"/>
          <w:sz w:val="24"/>
          <w:szCs w:val="24"/>
          <w:highlight w:val="none"/>
          <w:lang w:val="en-US" w:eastAsia="zh-CN"/>
        </w:rPr>
        <w:t>0991-2316185；13009678050</w:t>
      </w:r>
      <w:bookmarkEnd w:id="80"/>
    </w:p>
    <w:p>
      <w:pPr>
        <w:pStyle w:val="22"/>
        <w:pageBreakBefore w:val="0"/>
        <w:numPr>
          <w:ilvl w:val="0"/>
          <w:numId w:val="0"/>
        </w:numPr>
        <w:kinsoku/>
        <w:wordWrap/>
        <w:overflowPunct/>
        <w:bidi w:val="0"/>
        <w:spacing w:line="360" w:lineRule="auto"/>
        <w:ind w:firstLine="480" w:firstLineChars="200"/>
        <w:jc w:val="left"/>
        <w:outlineLvl w:val="0"/>
        <w:rPr>
          <w:rFonts w:hint="eastAsia" w:ascii="宋体" w:hAnsi="宋体" w:eastAsia="宋体" w:cs="宋体"/>
          <w:color w:val="auto"/>
          <w:kern w:val="2"/>
          <w:sz w:val="24"/>
          <w:szCs w:val="24"/>
          <w:highlight w:val="none"/>
          <w:lang w:val="en-US" w:eastAsia="zh-CN" w:bidi="ar-SA"/>
        </w:rPr>
        <w:sectPr>
          <w:footerReference r:id="rId4" w:type="default"/>
          <w:pgSz w:w="11906" w:h="16838"/>
          <w:pgMar w:top="2098" w:right="1474" w:bottom="1984" w:left="1587" w:header="851" w:footer="752" w:gutter="0"/>
          <w:pgBorders>
            <w:top w:val="none" w:sz="0" w:space="0"/>
            <w:left w:val="none" w:sz="0" w:space="0"/>
            <w:bottom w:val="none" w:sz="0" w:space="0"/>
            <w:right w:val="none" w:sz="0" w:space="0"/>
          </w:pgBorders>
          <w:cols w:space="720" w:num="1"/>
          <w:formProt w:val="0"/>
          <w:rtlGutter w:val="0"/>
          <w:docGrid w:type="lines" w:linePitch="312" w:charSpace="0"/>
        </w:sectPr>
      </w:pPr>
    </w:p>
    <w:bookmarkEnd w:id="4"/>
    <w:p>
      <w:pPr>
        <w:pStyle w:val="22"/>
        <w:pageBreakBefore w:val="0"/>
        <w:numPr>
          <w:ilvl w:val="0"/>
          <w:numId w:val="2"/>
        </w:numPr>
        <w:kinsoku/>
        <w:wordWrap/>
        <w:overflowPunct/>
        <w:bidi w:val="0"/>
        <w:spacing w:line="360" w:lineRule="auto"/>
        <w:ind w:left="0" w:leftChars="0" w:firstLine="480" w:firstLineChars="200"/>
        <w:jc w:val="center"/>
        <w:outlineLvl w:val="0"/>
        <w:rPr>
          <w:rFonts w:hint="eastAsia" w:ascii="宋体" w:hAnsi="宋体" w:eastAsia="宋体" w:cs="宋体"/>
          <w:color w:val="auto"/>
          <w:sz w:val="24"/>
          <w:szCs w:val="24"/>
          <w:highlight w:val="none"/>
        </w:rPr>
      </w:pPr>
      <w:bookmarkStart w:id="81" w:name="_Toc20713"/>
      <w:r>
        <w:rPr>
          <w:rStyle w:val="35"/>
          <w:rFonts w:hint="eastAsia" w:ascii="宋体" w:hAnsi="宋体" w:eastAsia="宋体" w:cs="宋体"/>
          <w:color w:val="auto"/>
          <w:sz w:val="24"/>
          <w:szCs w:val="24"/>
          <w:highlight w:val="none"/>
        </w:rPr>
        <w:t>供应商须知</w:t>
      </w:r>
      <w:bookmarkEnd w:id="81"/>
      <w:bookmarkStart w:id="82" w:name="_Toc26549"/>
      <w:bookmarkStart w:id="83" w:name="_Toc27973"/>
      <w:bookmarkStart w:id="84" w:name="_Toc6866"/>
      <w:bookmarkStart w:id="85" w:name="_Toc16152"/>
      <w:bookmarkStart w:id="86" w:name="_Toc22248"/>
      <w:bookmarkStart w:id="87" w:name="_Toc5033"/>
      <w:bookmarkStart w:id="88" w:name="_Toc16991"/>
    </w:p>
    <w:p>
      <w:pPr>
        <w:pStyle w:val="22"/>
        <w:pageBreakBefore w:val="0"/>
        <w:numPr>
          <w:ilvl w:val="0"/>
          <w:numId w:val="0"/>
        </w:numPr>
        <w:kinsoku/>
        <w:wordWrap/>
        <w:overflowPunct/>
        <w:bidi w:val="0"/>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一、供应商须知前附表</w:t>
      </w:r>
      <w:bookmarkEnd w:id="82"/>
      <w:bookmarkEnd w:id="83"/>
      <w:bookmarkEnd w:id="84"/>
      <w:bookmarkEnd w:id="85"/>
      <w:bookmarkEnd w:id="86"/>
      <w:bookmarkEnd w:id="87"/>
      <w:bookmarkEnd w:id="88"/>
    </w:p>
    <w:tbl>
      <w:tblPr>
        <w:tblStyle w:val="24"/>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825"/>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bookmarkStart w:id="89" w:name="_Toc37090959"/>
            <w:bookmarkStart w:id="90" w:name="_Toc14359"/>
            <w:r>
              <w:rPr>
                <w:rFonts w:hint="eastAsia" w:ascii="宋体" w:hAnsi="宋体" w:eastAsia="宋体" w:cs="宋体"/>
                <w:color w:val="auto"/>
                <w:kern w:val="0"/>
                <w:sz w:val="24"/>
                <w:szCs w:val="24"/>
                <w:highlight w:val="none"/>
              </w:rPr>
              <w:t>项号</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  容</w:t>
            </w:r>
          </w:p>
        </w:tc>
        <w:tc>
          <w:tcPr>
            <w:tcW w:w="7059" w:type="dxa"/>
            <w:noWrap w:val="0"/>
            <w:vAlign w:val="top"/>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vMerge w:val="restart"/>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１</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7059" w:type="dxa"/>
            <w:noWrap w:val="0"/>
            <w:vAlign w:val="top"/>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北塔山贸易加工产业园区引供水项目（全过程造价及跟踪审计咨询服务）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98" w:type="dxa"/>
            <w:vMerge w:val="continue"/>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项目编号</w:t>
            </w:r>
          </w:p>
        </w:tc>
        <w:tc>
          <w:tcPr>
            <w:tcW w:w="7059" w:type="dxa"/>
            <w:noWrap w:val="0"/>
            <w:vAlign w:val="top"/>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TC259H0GY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vMerge w:val="continue"/>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7059" w:type="dxa"/>
            <w:noWrap w:val="0"/>
            <w:vAlign w:val="top"/>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p>
        </w:tc>
        <w:tc>
          <w:tcPr>
            <w:tcW w:w="7059" w:type="dxa"/>
            <w:noWrap w:val="0"/>
            <w:vAlign w:val="top"/>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vMerge w:val="continue"/>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资格审查方式</w:t>
            </w:r>
          </w:p>
        </w:tc>
        <w:tc>
          <w:tcPr>
            <w:tcW w:w="7059" w:type="dxa"/>
            <w:noWrap w:val="0"/>
            <w:vAlign w:val="top"/>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vMerge w:val="continue"/>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采购需求</w:t>
            </w:r>
          </w:p>
        </w:tc>
        <w:tc>
          <w:tcPr>
            <w:tcW w:w="7059" w:type="dxa"/>
            <w:noWrap w:val="0"/>
            <w:vAlign w:val="top"/>
          </w:tcPr>
          <w:p>
            <w:pPr>
              <w:pageBreakBefore w:val="0"/>
              <w:widowControl/>
              <w:kinsoku/>
              <w:wordWrap/>
              <w:overflowPunct/>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自项目立项至工程审计结束，确定项目全过程跟踪审计计划、执行全过程跟踪审计程序、获取全过程跟踪审计证据、得出全过程跟踪审计结论，包含工程结算审查、全过程造价审核等并出具审计报告。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w:t>
            </w:r>
            <w:r>
              <w:rPr>
                <w:rFonts w:hint="eastAsia" w:ascii="宋体" w:hAnsi="宋体" w:eastAsia="宋体" w:cs="宋体"/>
                <w:color w:val="auto"/>
                <w:sz w:val="24"/>
                <w:szCs w:val="24"/>
                <w:highlight w:val="none"/>
              </w:rPr>
              <w:t>及最高限价</w:t>
            </w:r>
          </w:p>
        </w:tc>
        <w:tc>
          <w:tcPr>
            <w:tcW w:w="7059" w:type="dxa"/>
            <w:noWrap w:val="0"/>
            <w:vAlign w:val="top"/>
          </w:tcPr>
          <w:p>
            <w:pPr>
              <w:keepNext w:val="0"/>
              <w:keepLines w:val="0"/>
              <w:pageBreakBefore w:val="0"/>
              <w:widowControl/>
              <w:shd w:val="clear" w:color="auto" w:fill="FFFFFF"/>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u w:val="single"/>
                <w:lang w:val="en-US" w:eastAsia="zh-CN"/>
              </w:rPr>
              <w:t xml:space="preserve"> 48</w:t>
            </w:r>
            <w:r>
              <w:rPr>
                <w:rFonts w:hint="eastAsia" w:ascii="宋体" w:hAnsi="宋体" w:eastAsia="宋体" w:cs="宋体"/>
                <w:color w:val="auto"/>
                <w:kern w:val="0"/>
                <w:sz w:val="24"/>
                <w:szCs w:val="24"/>
                <w:highlight w:val="none"/>
                <w:u w:val="single"/>
                <w:lang w:eastAsia="zh-CN"/>
              </w:rPr>
              <w:t>万元</w:t>
            </w:r>
            <w:r>
              <w:rPr>
                <w:rFonts w:hint="eastAsia" w:ascii="宋体" w:hAnsi="宋体" w:eastAsia="宋体" w:cs="宋体"/>
                <w:color w:val="auto"/>
                <w:sz w:val="24"/>
                <w:szCs w:val="24"/>
                <w:highlight w:val="none"/>
              </w:rPr>
              <w:t>，最高限价：</w:t>
            </w:r>
            <w:r>
              <w:rPr>
                <w:rFonts w:hint="eastAsia" w:ascii="宋体" w:hAnsi="宋体" w:eastAsia="宋体" w:cs="宋体"/>
                <w:color w:val="auto"/>
                <w:kern w:val="0"/>
                <w:sz w:val="24"/>
                <w:szCs w:val="24"/>
                <w:highlight w:val="none"/>
                <w:u w:val="single"/>
                <w:shd w:val="clear"/>
                <w:lang w:val="en-US" w:eastAsia="zh-CN"/>
              </w:rPr>
              <w:t>48</w:t>
            </w:r>
            <w:r>
              <w:rPr>
                <w:rFonts w:hint="eastAsia" w:ascii="宋体" w:hAnsi="宋体" w:eastAsia="宋体" w:cs="宋体"/>
                <w:color w:val="auto"/>
                <w:kern w:val="0"/>
                <w:sz w:val="24"/>
                <w:szCs w:val="24"/>
                <w:highlight w:val="none"/>
                <w:u w:val="single"/>
                <w:lang w:eastAsia="zh-CN"/>
              </w:rPr>
              <w:t>万元</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供应商</w:t>
            </w:r>
            <w:r>
              <w:rPr>
                <w:rFonts w:hint="eastAsia" w:ascii="宋体" w:hAnsi="宋体" w:eastAsia="宋体" w:cs="宋体"/>
                <w:b/>
                <w:color w:val="auto"/>
                <w:sz w:val="24"/>
                <w:szCs w:val="24"/>
                <w:highlight w:val="none"/>
                <w:lang w:eastAsia="zh-CN"/>
              </w:rPr>
              <w:t>谈判</w:t>
            </w:r>
            <w:r>
              <w:rPr>
                <w:rFonts w:hint="eastAsia" w:ascii="宋体" w:hAnsi="宋体" w:eastAsia="宋体" w:cs="宋体"/>
                <w:b/>
                <w:color w:val="auto"/>
                <w:sz w:val="24"/>
                <w:szCs w:val="24"/>
                <w:highlight w:val="none"/>
              </w:rPr>
              <w:t>报价若超过本项目采购预算或最高限价的，将视为未实质性响应</w:t>
            </w:r>
            <w:r>
              <w:rPr>
                <w:rFonts w:hint="eastAsia" w:ascii="宋体" w:hAnsi="宋体" w:eastAsia="宋体" w:cs="宋体"/>
                <w:b/>
                <w:color w:val="auto"/>
                <w:sz w:val="24"/>
                <w:szCs w:val="24"/>
                <w:highlight w:val="none"/>
                <w:lang w:eastAsia="zh-CN"/>
              </w:rPr>
              <w:t>竞争性谈判文件</w:t>
            </w:r>
            <w:r>
              <w:rPr>
                <w:rFonts w:hint="eastAsia" w:ascii="宋体" w:hAnsi="宋体" w:eastAsia="宋体" w:cs="宋体"/>
                <w:b/>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质量标准</w:t>
            </w:r>
          </w:p>
        </w:tc>
        <w:tc>
          <w:tcPr>
            <w:tcW w:w="7059" w:type="dxa"/>
            <w:noWrap w:val="0"/>
            <w:vAlign w:val="top"/>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供应商资格</w:t>
            </w:r>
          </w:p>
        </w:tc>
        <w:tc>
          <w:tcPr>
            <w:tcW w:w="7059" w:type="dxa"/>
            <w:noWrap w:val="0"/>
            <w:vAlign w:val="top"/>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40" w:lineRule="exact"/>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1.满足《中</w:t>
            </w:r>
            <w:r>
              <w:rPr>
                <w:rFonts w:hint="eastAsia" w:ascii="宋体" w:hAnsi="宋体" w:eastAsia="宋体" w:cs="宋体"/>
                <w:color w:val="auto"/>
                <w:kern w:val="0"/>
                <w:sz w:val="24"/>
                <w:szCs w:val="24"/>
                <w:highlight w:val="none"/>
                <w:lang w:val="en-US" w:eastAsia="zh-CN" w:bidi="ar"/>
              </w:rPr>
              <w:t>华人民共和国政府采购法》</w:t>
            </w:r>
            <w:r>
              <w:rPr>
                <w:rFonts w:hint="eastAsia" w:ascii="宋体" w:hAnsi="宋体" w:eastAsia="宋体" w:cs="宋体"/>
                <w:color w:val="auto"/>
                <w:kern w:val="0"/>
                <w:sz w:val="24"/>
                <w:szCs w:val="24"/>
                <w:highlight w:val="none"/>
                <w:lang w:val="en-US" w:eastAsia="zh-CN" w:bidi="ar-SA"/>
              </w:rPr>
              <w:t>第二十二条规定；</w:t>
            </w:r>
          </w:p>
          <w:p>
            <w:pPr>
              <w:pStyle w:val="21"/>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2.落实政府采购政策需满足的资格要求：本项目专门面向中小企业采购，供应商须按照采购文件要求提供《中小企业声明函》</w:t>
            </w:r>
            <w:r>
              <w:rPr>
                <w:rFonts w:hint="eastAsia" w:ascii="宋体" w:hAnsi="宋体" w:eastAsia="宋体" w:cs="宋体"/>
                <w:color w:val="auto"/>
                <w:sz w:val="24"/>
                <w:szCs w:val="24"/>
                <w:highlight w:val="none"/>
                <w:lang w:eastAsia="zh-CN"/>
              </w:rPr>
              <w:t>。</w:t>
            </w:r>
          </w:p>
          <w:p>
            <w:pPr>
              <w:pStyle w:val="21"/>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u w:val="none"/>
              </w:rPr>
              <w:t>单位负责人为同一人或者存在直接控股、管理关系的不同供应商，不得参加同一合同项下的投标；2）为采购项目提供整体设计、规范编制或者项目管理、监理、检测等服务的供应商，不得再参加该采购项目的投标；3）供应商未列入失信被执行人、重大税收违法案件当事人名单、政府采购严重违法失信行为记录名单（财库[2016]125号）；</w:t>
            </w:r>
            <w:r>
              <w:rPr>
                <w:rFonts w:hint="eastAsia" w:ascii="宋体" w:hAnsi="宋体" w:eastAsia="宋体" w:cs="宋体"/>
                <w:sz w:val="24"/>
                <w:szCs w:val="24"/>
                <w:u w:val="none"/>
                <w:lang w:val="en-US" w:eastAsia="zh-CN"/>
              </w:rPr>
              <w:t>4</w:t>
            </w:r>
            <w:r>
              <w:rPr>
                <w:rFonts w:hint="eastAsia" w:ascii="宋体" w:hAnsi="宋体" w:eastAsia="宋体" w:cs="宋体"/>
                <w:color w:val="auto"/>
                <w:sz w:val="24"/>
                <w:szCs w:val="24"/>
                <w:highlight w:val="none"/>
                <w:lang w:val="en-US" w:eastAsia="zh-CN"/>
              </w:rPr>
              <w:t>）项目负责人：具有一级注册造价工程师资格证书（注册单位需与供应商单位名称一致）。项目</w:t>
            </w:r>
            <w:r>
              <w:rPr>
                <w:rFonts w:hint="eastAsia" w:ascii="宋体" w:hAnsi="宋体" w:eastAsia="宋体" w:cs="宋体"/>
                <w:sz w:val="24"/>
                <w:szCs w:val="24"/>
                <w:u w:val="none"/>
                <w:lang w:val="en-US" w:eastAsia="zh-CN"/>
              </w:rPr>
              <w:t>组成员：</w:t>
            </w:r>
            <w:r>
              <w:rPr>
                <w:rFonts w:hint="eastAsia" w:ascii="宋体" w:hAnsi="宋体" w:eastAsia="宋体" w:cs="宋体"/>
                <w:color w:val="auto"/>
                <w:sz w:val="24"/>
                <w:szCs w:val="24"/>
                <w:highlight w:val="none"/>
                <w:lang w:val="en-US" w:eastAsia="zh-CN"/>
              </w:rPr>
              <w:t>至少有2名具备二级造价师以上资格的人员</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sz w:val="24"/>
                <w:szCs w:val="24"/>
                <w:u w:val="none"/>
                <w:lang w:val="en-US" w:eastAsia="zh-CN"/>
              </w:rPr>
              <w:t>业绩要求：提供2022年1月1日至今与本项目采购需求类似的业绩（提供合同关键页）</w:t>
            </w:r>
            <w:r>
              <w:rPr>
                <w:rFonts w:hint="eastAsia" w:ascii="宋体" w:hAnsi="宋体" w:eastAsia="宋体" w:cs="宋体"/>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响应文件份数</w:t>
            </w:r>
          </w:p>
        </w:tc>
        <w:tc>
          <w:tcPr>
            <w:tcW w:w="7059" w:type="dxa"/>
            <w:noWrap w:val="0"/>
            <w:vAlign w:val="top"/>
          </w:tcPr>
          <w:p>
            <w:pPr>
              <w:keepNext w:val="0"/>
              <w:keepLines w:val="0"/>
              <w:pageBreakBefore w:val="0"/>
              <w:numPr>
                <w:ilvl w:val="0"/>
                <w:numId w:val="5"/>
              </w:numPr>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响应文件正本1份，副本2份；</w:t>
            </w:r>
          </w:p>
          <w:p>
            <w:pPr>
              <w:keepNext w:val="0"/>
              <w:keepLines w:val="0"/>
              <w:pageBreakBefore w:val="0"/>
              <w:numPr>
                <w:ilvl w:val="0"/>
                <w:numId w:val="0"/>
              </w:numPr>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b/>
                <w:color w:val="auto"/>
                <w:kern w:val="0"/>
                <w:sz w:val="24"/>
                <w:szCs w:val="24"/>
                <w:highlight w:val="none"/>
              </w:rPr>
            </w:pPr>
            <w:r>
              <w:rPr>
                <w:rFonts w:hint="eastAsia" w:ascii="宋体" w:hAnsi="宋体" w:eastAsia="宋体" w:cs="宋体"/>
                <w:b w:val="0"/>
                <w:bCs/>
                <w:color w:val="auto"/>
                <w:kern w:val="0"/>
                <w:sz w:val="24"/>
                <w:szCs w:val="24"/>
                <w:highlight w:val="none"/>
              </w:rPr>
              <w:t>（2）要求提供电子版响应文件的形式:电子版U盘1份，并单独密封完好。响应文件电子版要求包含响应文件全部内容，响应文件电子版与纸质版文件不一致时以纸质版正本文件为准，凡进入</w:t>
            </w:r>
            <w:r>
              <w:rPr>
                <w:rFonts w:hint="eastAsia" w:ascii="宋体" w:hAnsi="宋体" w:eastAsia="宋体" w:cs="宋体"/>
                <w:b w:val="0"/>
                <w:bCs/>
                <w:color w:val="auto"/>
                <w:kern w:val="0"/>
                <w:sz w:val="24"/>
                <w:szCs w:val="24"/>
                <w:highlight w:val="none"/>
                <w:lang w:val="en-US" w:eastAsia="zh-CN"/>
              </w:rPr>
              <w:t>评审阶段的</w:t>
            </w:r>
            <w:r>
              <w:rPr>
                <w:rFonts w:hint="eastAsia" w:ascii="宋体" w:hAnsi="宋体" w:eastAsia="宋体" w:cs="宋体"/>
                <w:b w:val="0"/>
                <w:bCs/>
                <w:color w:val="auto"/>
                <w:kern w:val="0"/>
                <w:sz w:val="24"/>
                <w:szCs w:val="24"/>
                <w:highlight w:val="none"/>
              </w:rPr>
              <w:t>响应文件概不退还。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响应文件递交截止时间</w:t>
            </w:r>
          </w:p>
        </w:tc>
        <w:tc>
          <w:tcPr>
            <w:tcW w:w="7059"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日11:30</w:t>
            </w:r>
            <w:r>
              <w:rPr>
                <w:rFonts w:hint="eastAsia" w:ascii="宋体" w:hAnsi="宋体" w:eastAsia="宋体" w:cs="宋体"/>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有效期限</w:t>
            </w:r>
          </w:p>
        </w:tc>
        <w:tc>
          <w:tcPr>
            <w:tcW w:w="7059" w:type="dxa"/>
            <w:noWrap w:val="0"/>
            <w:vAlign w:val="top"/>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响应文件递交截止后</w:t>
            </w:r>
            <w:r>
              <w:rPr>
                <w:rFonts w:hint="eastAsia" w:ascii="宋体" w:hAnsi="宋体" w:eastAsia="宋体" w:cs="宋体"/>
                <w:color w:val="auto"/>
                <w:kern w:val="0"/>
                <w:sz w:val="24"/>
                <w:szCs w:val="24"/>
                <w:highlight w:val="none"/>
                <w:u w:val="single"/>
              </w:rPr>
              <w:t>90</w:t>
            </w:r>
            <w:r>
              <w:rPr>
                <w:rFonts w:hint="eastAsia" w:ascii="宋体" w:hAnsi="宋体" w:eastAsia="宋体" w:cs="宋体"/>
                <w:color w:val="auto"/>
                <w:kern w:val="0"/>
                <w:sz w:val="24"/>
                <w:szCs w:val="24"/>
                <w:highlight w:val="none"/>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响应文件递交地点</w:t>
            </w:r>
          </w:p>
        </w:tc>
        <w:tc>
          <w:tcPr>
            <w:tcW w:w="7059" w:type="dxa"/>
            <w:noWrap w:val="0"/>
            <w:vAlign w:val="top"/>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日11: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（北京时间）</w:t>
            </w:r>
          </w:p>
          <w:p>
            <w:pPr>
              <w:keepNext w:val="0"/>
              <w:keepLines w:val="0"/>
              <w:pageBreakBefore w:val="0"/>
              <w:widowControl/>
              <w:shd w:val="clear" w:color="auto" w:fill="FFFFFF"/>
              <w:kinsoku/>
              <w:wordWrap/>
              <w:overflowPunct/>
              <w:topLinePunct w:val="0"/>
              <w:bidi w:val="0"/>
              <w:adjustRightInd/>
              <w:snapToGrid/>
              <w:spacing w:line="360" w:lineRule="auto"/>
              <w:ind w:firstLine="0" w:firstLineChars="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响应文件递交地点：乌鲁木齐市水磨沟区南湖北路486号南湖明珠大厦南区8楼</w:t>
            </w:r>
            <w:r>
              <w:rPr>
                <w:rFonts w:hint="eastAsia" w:ascii="宋体" w:hAnsi="宋体" w:eastAsia="宋体" w:cs="宋体"/>
                <w:color w:val="auto"/>
                <w:kern w:val="0"/>
                <w:sz w:val="24"/>
                <w:szCs w:val="24"/>
                <w:highlight w:val="none"/>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时间、</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地点</w:t>
            </w:r>
          </w:p>
        </w:tc>
        <w:tc>
          <w:tcPr>
            <w:tcW w:w="7059" w:type="dxa"/>
            <w:noWrap w:val="0"/>
            <w:vAlign w:val="top"/>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日11: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（北京时间）</w:t>
            </w:r>
          </w:p>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地址：</w:t>
            </w:r>
            <w:r>
              <w:rPr>
                <w:rFonts w:hint="eastAsia" w:ascii="宋体" w:hAnsi="宋体" w:cs="宋体"/>
                <w:sz w:val="24"/>
                <w:szCs w:val="24"/>
              </w:rPr>
              <w:t>乌鲁木齐市水磨沟区南湖北路486号南湖明珠大厦南区8楼</w:t>
            </w:r>
            <w:r>
              <w:rPr>
                <w:rFonts w:hint="eastAsia" w:ascii="宋体" w:hAnsi="宋体" w:cs="宋体"/>
                <w:sz w:val="24"/>
                <w:szCs w:val="24"/>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评审办法</w:t>
            </w:r>
          </w:p>
        </w:tc>
        <w:tc>
          <w:tcPr>
            <w:tcW w:w="7059" w:type="dxa"/>
            <w:noWrap w:val="0"/>
            <w:vAlign w:val="top"/>
          </w:tcPr>
          <w:p>
            <w:pPr>
              <w:pStyle w:val="32"/>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本项目的评审方法为：最低评标价法，是指</w:t>
            </w:r>
            <w:r>
              <w:rPr>
                <w:rFonts w:hint="eastAsia" w:ascii="宋体" w:hAnsi="宋体" w:eastAsia="宋体" w:cs="宋体"/>
                <w:color w:val="auto"/>
                <w:spacing w:val="0"/>
                <w:sz w:val="24"/>
                <w:szCs w:val="24"/>
                <w:highlight w:val="none"/>
                <w:lang w:val="en-US" w:eastAsia="zh-CN"/>
              </w:rPr>
              <w:t>响应</w:t>
            </w:r>
            <w:r>
              <w:rPr>
                <w:rFonts w:hint="eastAsia" w:ascii="宋体" w:hAnsi="宋体" w:eastAsia="宋体" w:cs="宋体"/>
                <w:color w:val="auto"/>
                <w:spacing w:val="0"/>
                <w:sz w:val="24"/>
                <w:szCs w:val="24"/>
                <w:highlight w:val="none"/>
              </w:rPr>
              <w:t>文件满足</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rPr>
              <w:t>文件全部实质性要求且</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报价最低的供应商为</w:t>
            </w:r>
            <w:r>
              <w:rPr>
                <w:rFonts w:hint="eastAsia" w:ascii="宋体" w:hAnsi="宋体" w:eastAsia="宋体" w:cs="宋体"/>
                <w:color w:val="auto"/>
                <w:spacing w:val="0"/>
                <w:sz w:val="24"/>
                <w:szCs w:val="24"/>
                <w:highlight w:val="none"/>
                <w:lang w:val="en-US" w:eastAsia="zh-CN"/>
              </w:rPr>
              <w:t>成交</w:t>
            </w:r>
            <w:r>
              <w:rPr>
                <w:rFonts w:hint="eastAsia" w:ascii="宋体" w:hAnsi="宋体" w:eastAsia="宋体" w:cs="宋体"/>
                <w:color w:val="auto"/>
                <w:spacing w:val="0"/>
                <w:sz w:val="24"/>
                <w:szCs w:val="24"/>
                <w:highlight w:val="none"/>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w:t>
            </w:r>
          </w:p>
        </w:tc>
        <w:tc>
          <w:tcPr>
            <w:tcW w:w="7059" w:type="dxa"/>
            <w:noWrap w:val="0"/>
            <w:vAlign w:val="top"/>
          </w:tcPr>
          <w:p>
            <w:pPr>
              <w:pStyle w:val="86"/>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eq \o\ac(</w:instrText>
            </w:r>
            <w:r>
              <w:rPr>
                <w:rFonts w:hint="eastAsia" w:ascii="宋体" w:hAnsi="宋体" w:eastAsia="宋体" w:cs="宋体"/>
                <w:b/>
                <w:bCs/>
                <w:color w:val="000000"/>
                <w:position w:val="-4"/>
                <w:sz w:val="36"/>
                <w:szCs w:val="24"/>
                <w:highlight w:val="none"/>
              </w:rPr>
              <w:instrText xml:space="preserve">□</w:instrText>
            </w:r>
            <w:r>
              <w:rPr>
                <w:rFonts w:hint="eastAsia" w:ascii="宋体" w:hAnsi="宋体" w:eastAsia="宋体" w:cs="宋体"/>
                <w:b/>
                <w:bCs/>
                <w:color w:val="000000"/>
                <w:position w:val="0"/>
                <w:sz w:val="24"/>
                <w:szCs w:val="24"/>
                <w:highlight w:val="none"/>
              </w:rPr>
              <w:instrText xml:space="preserve">)</w:instrText>
            </w:r>
            <w:r>
              <w:rPr>
                <w:rFonts w:hint="eastAsia" w:ascii="宋体" w:hAnsi="宋体" w:eastAsia="宋体" w:cs="宋体"/>
                <w:b/>
                <w:bCs/>
                <w:color w:val="000000"/>
                <w:sz w:val="24"/>
                <w:szCs w:val="24"/>
                <w:highlight w:val="none"/>
              </w:rPr>
              <w:fldChar w:fldCharType="end"/>
            </w:r>
            <w:r>
              <w:rPr>
                <w:rFonts w:hint="eastAsia" w:ascii="宋体" w:hAnsi="宋体" w:eastAsia="宋体" w:cs="宋体"/>
                <w:b/>
                <w:bCs/>
                <w:sz w:val="24"/>
                <w:szCs w:val="24"/>
                <w:highlight w:val="none"/>
              </w:rPr>
              <w:t>不缴纳</w:t>
            </w:r>
          </w:p>
          <w:p>
            <w:pPr>
              <w:pStyle w:val="86"/>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\o\ac(</w:instrText>
            </w:r>
            <w:r>
              <w:rPr>
                <w:rFonts w:hint="eastAsia" w:ascii="宋体" w:hAnsi="宋体" w:eastAsia="宋体" w:cs="宋体"/>
                <w:color w:val="000000"/>
                <w:position w:val="-4"/>
                <w:sz w:val="36"/>
                <w:szCs w:val="24"/>
                <w:highlight w:val="none"/>
              </w:rPr>
              <w:instrText xml:space="preserve">□</w:instrText>
            </w:r>
            <w:r>
              <w:rPr>
                <w:rFonts w:hint="eastAsia" w:ascii="宋体" w:hAnsi="宋体" w:eastAsia="宋体" w:cs="宋体"/>
                <w:color w:val="000000"/>
                <w:position w:val="-4"/>
                <w:sz w:val="36"/>
                <w:szCs w:val="24"/>
                <w:highlight w:val="none"/>
                <w:lang w:eastAsia="zh-CN"/>
              </w:rPr>
              <w:instrText xml:space="preserve">,</w:instrText>
            </w:r>
            <w:r>
              <w:rPr>
                <w:rFonts w:hint="eastAsia" w:ascii="宋体" w:hAnsi="宋体" w:eastAsia="宋体" w:cs="宋体"/>
                <w:color w:val="000000"/>
                <w:position w:val="0"/>
                <w:sz w:val="25"/>
                <w:szCs w:val="24"/>
                <w:highlight w:val="none"/>
                <w:lang w:eastAsia="zh-CN"/>
              </w:rPr>
              <w:instrText xml:space="preserve">√</w:instrText>
            </w:r>
            <w:r>
              <w:rPr>
                <w:rFonts w:hint="eastAsia" w:ascii="宋体" w:hAnsi="宋体" w:eastAsia="宋体" w:cs="宋体"/>
                <w:color w:val="000000"/>
                <w:position w:val="0"/>
                <w:sz w:val="24"/>
                <w:szCs w:val="24"/>
                <w:highlight w:val="none"/>
              </w:rPr>
              <w:instrText xml:space="preserve">)</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缴纳</w:t>
            </w:r>
          </w:p>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保证金金额：</w:t>
            </w:r>
            <w:r>
              <w:rPr>
                <w:rFonts w:hint="eastAsia" w:ascii="宋体" w:hAnsi="宋体" w:eastAsia="宋体" w:cs="宋体"/>
                <w:color w:val="auto"/>
                <w:sz w:val="24"/>
                <w:szCs w:val="24"/>
                <w:highlight w:val="none"/>
                <w:lang w:val="en-US" w:eastAsia="zh-CN"/>
              </w:rPr>
              <w:t>8000</w:t>
            </w:r>
            <w:r>
              <w:rPr>
                <w:rFonts w:hint="eastAsia" w:ascii="宋体" w:eastAsia="宋体" w:cs="宋体"/>
                <w:color w:val="auto"/>
                <w:sz w:val="24"/>
                <w:szCs w:val="24"/>
                <w:highlight w:val="none"/>
                <w:lang w:val="en-US" w:eastAsia="zh-CN"/>
              </w:rPr>
              <w:t>元整</w:t>
            </w:r>
          </w:p>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账户名：中招国际招标有限公司新疆分公司</w:t>
            </w:r>
          </w:p>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开户银行：中国工商银行股份有限公司南湖北路支行</w:t>
            </w:r>
          </w:p>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账号：3002012819100057504</w:t>
            </w:r>
          </w:p>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行号：102881001281</w:t>
            </w:r>
          </w:p>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保证金有效期与</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有效期一致。</w:t>
            </w:r>
          </w:p>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注：缴纳</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保证金时，须在凭证备注栏注明“</w:t>
            </w:r>
            <w:r>
              <w:rPr>
                <w:rFonts w:hint="eastAsia" w:ascii="宋体" w:hAnsi="宋体" w:eastAsia="宋体" w:cs="宋体"/>
                <w:color w:val="auto"/>
                <w:sz w:val="24"/>
                <w:szCs w:val="24"/>
                <w:highlight w:val="none"/>
                <w:lang w:eastAsia="zh-CN"/>
              </w:rPr>
              <w:t>TC259H0GY</w:t>
            </w:r>
            <w:r>
              <w:rPr>
                <w:rFonts w:hint="eastAsia" w:ascii="宋体" w:hAnsi="宋体" w:eastAsia="宋体" w:cs="宋体"/>
                <w:color w:val="auto"/>
                <w:sz w:val="24"/>
                <w:szCs w:val="24"/>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825" w:type="dxa"/>
            <w:noWrap w:val="0"/>
            <w:vAlign w:val="center"/>
          </w:tcPr>
          <w:p>
            <w:pPr>
              <w:pStyle w:val="39"/>
              <w:keepNext w:val="0"/>
              <w:keepLines w:val="0"/>
              <w:pageBreakBefore w:val="0"/>
              <w:shd w:val="clear" w:color="auto" w:fill="FFFFFF"/>
              <w:kinsoku/>
              <w:wordWrap/>
              <w:overflowPunct/>
              <w:topLinePunct w:val="0"/>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的质疑</w:t>
            </w:r>
          </w:p>
        </w:tc>
        <w:tc>
          <w:tcPr>
            <w:tcW w:w="7059" w:type="dxa"/>
            <w:noWrap w:val="0"/>
            <w:vAlign w:val="top"/>
          </w:tcPr>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w:t>
            </w:r>
            <w:r>
              <w:rPr>
                <w:rFonts w:hint="eastAsia" w:ascii="宋体" w:hAnsi="宋体" w:eastAsia="宋体" w:cs="宋体"/>
                <w:color w:val="auto"/>
                <w:sz w:val="24"/>
                <w:szCs w:val="24"/>
                <w:highlight w:val="none"/>
              </w:rPr>
              <w:t>应商若对</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内容质疑，须按以下要求提出：</w:t>
            </w:r>
          </w:p>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①质疑函应以书面形式（详见 供应商须知第14.1款）通知采购代理机构。采购代理机构将在收到质疑函后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个工作日内作出答复，并以书面形式通知质疑供应商和其他有关供应商。</w:t>
            </w:r>
          </w:p>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②供应商应在法定质疑期内一次性提出所有质疑内容。</w:t>
            </w:r>
          </w:p>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③联系部门：中招国际招标有限公司</w:t>
            </w:r>
          </w:p>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④联系电话：</w:t>
            </w:r>
            <w:r>
              <w:rPr>
                <w:rFonts w:hint="eastAsia" w:ascii="宋体" w:hAnsi="宋体" w:eastAsia="宋体" w:cs="宋体"/>
                <w:color w:val="auto"/>
                <w:sz w:val="24"/>
                <w:szCs w:val="24"/>
                <w:highlight w:val="none"/>
                <w:lang w:val="en-US" w:eastAsia="zh-CN"/>
              </w:rPr>
              <w:t>0991-231618</w:t>
            </w:r>
            <w:r>
              <w:rPr>
                <w:rFonts w:hint="eastAsia" w:asci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13009678050</w:t>
            </w:r>
          </w:p>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⑤通讯地址：乌鲁木齐市水磨沟区南湖北路486号南湖明珠大厦南区8楼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p>
        </w:tc>
        <w:tc>
          <w:tcPr>
            <w:tcW w:w="7059" w:type="dxa"/>
            <w:noWrap w:val="0"/>
            <w:vAlign w:val="top"/>
          </w:tcPr>
          <w:p>
            <w:pPr>
              <w:pStyle w:val="39"/>
              <w:keepNext w:val="0"/>
              <w:keepLines w:val="0"/>
              <w:pageBreakBefore w:val="0"/>
              <w:shd w:val="clear" w:color="auto" w:fill="FFFFFF"/>
              <w:kinsoku/>
              <w:wordWrap/>
              <w:overflowPunct/>
              <w:topLinePunct w:val="0"/>
              <w:bidi w:val="0"/>
              <w:adjustRightInd/>
              <w:snapToGrid/>
              <w:spacing w:line="360" w:lineRule="auto"/>
              <w:ind w:firstLine="0" w:firstLineChars="0"/>
              <w:jc w:val="left"/>
              <w:rPr>
                <w:rFonts w:hint="eastAsia" w:ascii="宋体" w:hAnsi="宋体" w:eastAsia="宋体" w:cs="宋体"/>
                <w:color w:val="auto"/>
                <w:sz w:val="24"/>
                <w:szCs w:val="24"/>
                <w:highlight w:val="none"/>
                <w:lang w:eastAsia="zh-CN"/>
              </w:rPr>
            </w:pPr>
            <w:r>
              <w:rPr>
                <w:rFonts w:hint="eastAsia" w:ascii="宋体" w:eastAsia="宋体" w:cs="宋体"/>
                <w:color w:val="auto"/>
                <w:sz w:val="24"/>
                <w:szCs w:val="24"/>
                <w:highlight w:val="none"/>
                <w:lang w:val="en-US"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restart"/>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服务期限</w:t>
            </w:r>
          </w:p>
        </w:tc>
        <w:tc>
          <w:tcPr>
            <w:tcW w:w="7059" w:type="dxa"/>
            <w:noWrap w:val="0"/>
            <w:vAlign w:val="top"/>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合同签订之日起至项目工程审计结束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98" w:type="dxa"/>
            <w:vMerge w:val="continue"/>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服务地点</w:t>
            </w:r>
          </w:p>
        </w:tc>
        <w:tc>
          <w:tcPr>
            <w:tcW w:w="7059" w:type="dxa"/>
            <w:noWrap w:val="0"/>
            <w:vAlign w:val="top"/>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tc>
        <w:tc>
          <w:tcPr>
            <w:tcW w:w="7059" w:type="dxa"/>
            <w:noWrap w:val="0"/>
            <w:vAlign w:val="top"/>
          </w:tcPr>
          <w:p>
            <w:pPr>
              <w:pStyle w:val="96"/>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color w:val="auto"/>
                <w:kern w:val="0"/>
                <w:sz w:val="24"/>
                <w:szCs w:val="24"/>
                <w:highlight w:val="none"/>
                <w:lang w:val="en-US" w:eastAsia="zh-CN"/>
              </w:rPr>
            </w:pPr>
            <w:r>
              <w:rPr>
                <w:rStyle w:val="97"/>
                <w:rFonts w:hint="eastAsia" w:ascii="宋体" w:hAnsi="宋体" w:eastAsia="宋体" w:cs="宋体"/>
                <w:b w:val="0"/>
                <w:sz w:val="24"/>
                <w:szCs w:val="24"/>
                <w:highlight w:val="none"/>
                <w:lang w:val="en-US" w:eastAsia="zh-CN" w:bidi="ar-SA"/>
              </w:rPr>
              <w:t>签订合同后</w:t>
            </w:r>
            <w:r>
              <w:rPr>
                <w:rStyle w:val="97"/>
                <w:rFonts w:hint="eastAsia" w:cs="宋体"/>
                <w:b w:val="0"/>
                <w:sz w:val="24"/>
                <w:szCs w:val="24"/>
                <w:highlight w:val="none"/>
                <w:lang w:val="en-US" w:eastAsia="zh-CN" w:bidi="ar-SA"/>
              </w:rPr>
              <w:t>支付</w:t>
            </w:r>
            <w:r>
              <w:rPr>
                <w:rStyle w:val="97"/>
                <w:rFonts w:hint="eastAsia" w:ascii="宋体" w:hAnsi="宋体" w:eastAsia="宋体" w:cs="宋体"/>
                <w:b w:val="0"/>
                <w:sz w:val="24"/>
                <w:szCs w:val="24"/>
                <w:highlight w:val="none"/>
                <w:lang w:val="en-US" w:eastAsia="zh-CN" w:bidi="ar-SA"/>
              </w:rPr>
              <w:t>合同价</w:t>
            </w:r>
            <w:r>
              <w:rPr>
                <w:rStyle w:val="97"/>
                <w:rFonts w:hint="eastAsia" w:cs="宋体"/>
                <w:b w:val="0"/>
                <w:sz w:val="24"/>
                <w:szCs w:val="24"/>
                <w:highlight w:val="none"/>
                <w:lang w:val="en-US" w:eastAsia="zh-CN" w:bidi="ar-SA"/>
              </w:rPr>
              <w:t>的</w:t>
            </w:r>
            <w:r>
              <w:rPr>
                <w:rStyle w:val="97"/>
                <w:rFonts w:hint="eastAsia" w:ascii="宋体" w:hAnsi="宋体" w:eastAsia="宋体" w:cs="宋体"/>
                <w:b w:val="0"/>
                <w:sz w:val="24"/>
                <w:szCs w:val="24"/>
                <w:highlight w:val="none"/>
                <w:lang w:val="en-US" w:eastAsia="zh-CN" w:bidi="ar-SA"/>
              </w:rPr>
              <w:t>30%，工程竣工验收合格支付至合同价70%，出具工程审计报告后支付至100%</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825"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w:t>
            </w:r>
          </w:p>
        </w:tc>
        <w:tc>
          <w:tcPr>
            <w:tcW w:w="7059" w:type="dxa"/>
            <w:noWrap w:val="0"/>
            <w:vAlign w:val="top"/>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1825" w:type="dxa"/>
            <w:noWrap w:val="0"/>
            <w:vAlign w:val="center"/>
          </w:tcPr>
          <w:p>
            <w:pPr>
              <w:shd w:val="clear" w:color="auto" w:fill="FFFFFF"/>
              <w:autoSpaceDE w:val="0"/>
              <w:autoSpaceDN w:val="0"/>
              <w:snapToGrid/>
              <w:spacing w:line="360" w:lineRule="auto"/>
              <w:jc w:val="both"/>
              <w:rPr>
                <w:rFonts w:hint="default" w:eastAsia="宋体"/>
                <w:lang w:val="en-US" w:eastAsia="zh-CN"/>
              </w:rPr>
            </w:pPr>
            <w:r>
              <w:rPr>
                <w:rFonts w:hint="eastAsia" w:ascii="宋体" w:hAnsi="宋体" w:eastAsia="宋体" w:cs="宋体"/>
                <w:color w:val="auto"/>
                <w:kern w:val="1"/>
                <w:sz w:val="24"/>
                <w:szCs w:val="24"/>
                <w:highlight w:val="none"/>
              </w:rPr>
              <w:t>政府采购政策</w:t>
            </w:r>
          </w:p>
        </w:tc>
        <w:tc>
          <w:tcPr>
            <w:tcW w:w="7059" w:type="dxa"/>
            <w:noWrap w:val="0"/>
            <w:vAlign w:val="top"/>
          </w:tcPr>
          <w:p>
            <w:pPr>
              <w:pStyle w:val="38"/>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(1)根据工信部等部委发布的《关于印发中小企业划型标准规定的通知》（工信部联企业[2011]300号）规定执行；</w:t>
            </w:r>
          </w:p>
          <w:p>
            <w:pPr>
              <w:pStyle w:val="38"/>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(2)价格扣除幅度：价格给予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kern w:val="0"/>
                <w:sz w:val="24"/>
                <w:szCs w:val="24"/>
                <w:highlight w:val="none"/>
              </w:rPr>
              <w:t>%的扣除。</w:t>
            </w:r>
          </w:p>
          <w:p>
            <w:pPr>
              <w:pStyle w:val="38"/>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本项目所属行业：其他未列明行业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825" w:type="dxa"/>
            <w:noWrap w:val="0"/>
            <w:vAlign w:val="center"/>
          </w:tcPr>
          <w:p>
            <w:pPr>
              <w:pStyle w:val="38"/>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其他说明</w:t>
            </w:r>
          </w:p>
        </w:tc>
        <w:tc>
          <w:tcPr>
            <w:tcW w:w="7059" w:type="dxa"/>
            <w:noWrap w:val="0"/>
            <w:vAlign w:val="top"/>
          </w:tcPr>
          <w:p>
            <w:pPr>
              <w:pStyle w:val="38"/>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在本次采购项目中供应商所投内容若涉及商品包装和快递包装的须满足《财政部等三部门联合印发商品包装和快递包装政府采购需求标准》（试行）(财办库〔2020〕123号文)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8884" w:type="dxa"/>
            <w:gridSpan w:val="2"/>
            <w:noWrap w:val="0"/>
            <w:vAlign w:val="center"/>
          </w:tcPr>
          <w:p>
            <w:pPr>
              <w:pStyle w:val="40"/>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1"/>
                <w:sz w:val="24"/>
                <w:szCs w:val="24"/>
                <w:highlight w:val="none"/>
              </w:rPr>
              <w:t>在评审过程直至签订合同前的任何时间，如经证实发现供应商提供虚假</w:t>
            </w:r>
            <w:r>
              <w:rPr>
                <w:rFonts w:hint="eastAsia" w:ascii="宋体" w:hAnsi="宋体" w:eastAsia="宋体" w:cs="宋体"/>
                <w:color w:val="auto"/>
                <w:kern w:val="1"/>
                <w:sz w:val="24"/>
                <w:szCs w:val="24"/>
                <w:highlight w:val="none"/>
                <w:lang w:val="en-US" w:eastAsia="zh-CN"/>
              </w:rPr>
              <w:t>响应</w:t>
            </w:r>
            <w:r>
              <w:rPr>
                <w:rFonts w:hint="eastAsia" w:ascii="宋体" w:hAnsi="宋体" w:eastAsia="宋体" w:cs="宋体"/>
                <w:color w:val="auto"/>
                <w:kern w:val="1"/>
                <w:sz w:val="24"/>
                <w:szCs w:val="24"/>
                <w:highlight w:val="none"/>
              </w:rPr>
              <w:t>资料(包括技术支持资料)或信息骗取成交的，或者未按本</w:t>
            </w:r>
            <w:r>
              <w:rPr>
                <w:rFonts w:hint="eastAsia" w:ascii="宋体" w:hAnsi="宋体" w:eastAsia="宋体" w:cs="宋体"/>
                <w:color w:val="auto"/>
                <w:kern w:val="1"/>
                <w:sz w:val="24"/>
                <w:szCs w:val="24"/>
                <w:highlight w:val="none"/>
                <w:lang w:eastAsia="zh-CN"/>
              </w:rPr>
              <w:t>竞争性谈判文件</w:t>
            </w:r>
            <w:r>
              <w:rPr>
                <w:rFonts w:hint="eastAsia" w:ascii="宋体" w:hAnsi="宋体" w:eastAsia="宋体" w:cs="宋体"/>
                <w:color w:val="auto"/>
                <w:kern w:val="1"/>
                <w:sz w:val="24"/>
                <w:szCs w:val="24"/>
                <w:highlight w:val="none"/>
              </w:rPr>
              <w:t>要求提交履约保证金的（如有要求），将取消其成交资格，没收其</w:t>
            </w:r>
            <w:r>
              <w:rPr>
                <w:rFonts w:hint="eastAsia" w:ascii="宋体" w:hAnsi="宋体" w:eastAsia="宋体" w:cs="宋体"/>
                <w:color w:val="auto"/>
                <w:kern w:val="1"/>
                <w:sz w:val="24"/>
                <w:szCs w:val="24"/>
                <w:highlight w:val="none"/>
                <w:lang w:eastAsia="zh-CN"/>
              </w:rPr>
              <w:t>谈判</w:t>
            </w:r>
            <w:r>
              <w:rPr>
                <w:rFonts w:hint="eastAsia" w:ascii="宋体" w:hAnsi="宋体" w:eastAsia="宋体" w:cs="宋体"/>
                <w:color w:val="auto"/>
                <w:kern w:val="1"/>
                <w:sz w:val="24"/>
                <w:szCs w:val="24"/>
                <w:highlight w:val="none"/>
              </w:rPr>
              <w:t>保证金，并报主管部门备案。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998" w:type="dxa"/>
            <w:noWrap w:val="0"/>
            <w:vAlign w:val="center"/>
          </w:tcPr>
          <w:p>
            <w:pPr>
              <w:keepNext w:val="0"/>
              <w:keepLines w:val="0"/>
              <w:pageBreakBefore w:val="0"/>
              <w:shd w:val="clear" w:color="auto" w:fill="FFFFFF"/>
              <w:kinsoku/>
              <w:wordWrap/>
              <w:overflowPunct/>
              <w:topLinePunct w:val="0"/>
              <w:autoSpaceDE w:val="0"/>
              <w:autoSpaceDN w:val="0"/>
              <w:bidi w:val="0"/>
              <w:adjustRightInd/>
              <w:snapToGrid/>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0</w:t>
            </w:r>
          </w:p>
        </w:tc>
        <w:tc>
          <w:tcPr>
            <w:tcW w:w="8884" w:type="dxa"/>
            <w:gridSpan w:val="2"/>
            <w:noWrap w:val="0"/>
            <w:vAlign w:val="center"/>
          </w:tcPr>
          <w:p>
            <w:pPr>
              <w:pStyle w:val="40"/>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b/>
                <w:color w:val="auto"/>
                <w:kern w:val="1"/>
                <w:sz w:val="24"/>
                <w:szCs w:val="24"/>
                <w:highlight w:val="none"/>
                <w:lang w:eastAsia="zh-CN"/>
              </w:rPr>
            </w:pPr>
            <w:r>
              <w:rPr>
                <w:rFonts w:hint="eastAsia" w:ascii="宋体" w:hAnsi="宋体" w:eastAsia="宋体" w:cs="宋体"/>
                <w:b/>
                <w:color w:val="auto"/>
                <w:kern w:val="1"/>
                <w:sz w:val="24"/>
                <w:szCs w:val="24"/>
                <w:highlight w:val="none"/>
              </w:rPr>
              <w:t>成交服务费：由成交供应商支付，在领取《成交通知书》时向采购代理机构一次性支付成交服务费。其计算标准和方法：以成交单位的</w:t>
            </w:r>
            <w:r>
              <w:rPr>
                <w:rFonts w:hint="eastAsia" w:ascii="宋体" w:hAnsi="宋体" w:eastAsia="宋体" w:cs="宋体"/>
                <w:b/>
                <w:color w:val="auto"/>
                <w:kern w:val="1"/>
                <w:sz w:val="24"/>
                <w:szCs w:val="24"/>
                <w:highlight w:val="none"/>
                <w:lang w:eastAsia="zh-CN"/>
              </w:rPr>
              <w:t>成交</w:t>
            </w:r>
            <w:r>
              <w:rPr>
                <w:rFonts w:hint="eastAsia" w:ascii="宋体" w:hAnsi="宋体" w:eastAsia="宋体" w:cs="宋体"/>
                <w:b/>
                <w:color w:val="auto"/>
                <w:kern w:val="1"/>
                <w:sz w:val="24"/>
                <w:szCs w:val="24"/>
                <w:highlight w:val="none"/>
              </w:rPr>
              <w:t>金额为基准，按</w:t>
            </w:r>
            <w:r>
              <w:rPr>
                <w:rFonts w:hint="eastAsia" w:ascii="宋体" w:hAnsi="宋体" w:eastAsia="宋体" w:cs="宋体"/>
                <w:b/>
                <w:color w:val="auto"/>
                <w:kern w:val="1"/>
                <w:sz w:val="24"/>
                <w:szCs w:val="24"/>
                <w:highlight w:val="none"/>
                <w:lang w:val="en-US" w:eastAsia="zh-CN"/>
              </w:rPr>
              <w:t>以下标准</w:t>
            </w:r>
            <w:r>
              <w:rPr>
                <w:rFonts w:hint="eastAsia" w:ascii="宋体" w:hAnsi="宋体" w:eastAsia="宋体" w:cs="宋体"/>
                <w:b/>
                <w:color w:val="auto"/>
                <w:kern w:val="1"/>
                <w:sz w:val="24"/>
                <w:szCs w:val="24"/>
                <w:highlight w:val="none"/>
              </w:rPr>
              <w:t>计取</w:t>
            </w:r>
            <w:r>
              <w:rPr>
                <w:rFonts w:hint="eastAsia" w:ascii="宋体" w:hAnsi="宋体" w:eastAsia="宋体" w:cs="宋体"/>
                <w:b/>
                <w:color w:val="auto"/>
                <w:kern w:val="1"/>
                <w:sz w:val="24"/>
                <w:szCs w:val="24"/>
                <w:highlight w:val="none"/>
                <w:lang w:eastAsia="zh-CN"/>
              </w:rPr>
              <w:t>：</w:t>
            </w:r>
          </w:p>
          <w:tbl>
            <w:tblPr>
              <w:tblStyle w:val="24"/>
              <w:tblpPr w:leftFromText="180" w:rightFromText="180" w:vertAnchor="text" w:horzAnchor="page" w:tblpX="10" w:tblpY="632"/>
              <w:tblOverlap w:val="never"/>
              <w:tblW w:w="90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2"/>
              <w:gridCol w:w="2029"/>
              <w:gridCol w:w="2029"/>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trPr>
              <w:tc>
                <w:tcPr>
                  <w:tcW w:w="2972" w:type="dxa"/>
                  <w:tcBorders>
                    <w:tl2br w:val="nil"/>
                    <w:tr2bl w:val="nil"/>
                  </w:tcBorders>
                  <w:noWrap w:val="0"/>
                  <w:vAlign w:val="top"/>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bCs/>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410845</wp:posOffset>
                            </wp:positionH>
                            <wp:positionV relativeFrom="paragraph">
                              <wp:posOffset>2540</wp:posOffset>
                            </wp:positionV>
                            <wp:extent cx="1478915" cy="909955"/>
                            <wp:effectExtent l="2540" t="3810" r="12065" b="15875"/>
                            <wp:wrapNone/>
                            <wp:docPr id="6" name="直接连接符 6"/>
                            <wp:cNvGraphicFramePr/>
                            <a:graphic xmlns:a="http://schemas.openxmlformats.org/drawingml/2006/main">
                              <a:graphicData uri="http://schemas.microsoft.com/office/word/2010/wordprocessingShape">
                                <wps:wsp>
                                  <wps:cNvCnPr/>
                                  <wps:spPr>
                                    <a:xfrm>
                                      <a:off x="0" y="0"/>
                                      <a:ext cx="1478915" cy="9099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2.35pt;margin-top:0.2pt;height:71.65pt;width:116.45pt;z-index:251662336;mso-width-relative:page;mso-height-relative:page;" filled="f" stroked="t" coordsize="21600,21600" o:gfxdata="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M09W9YAAAAHAQAADwAAAAAAAAABACAAAAAiAAAAZHJzL2Rvd25yZXYueG1sUEsBAhQA&#10;FAAAAAgAh07iQIR9TlT0AQAA6w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bCs/>
                      <w:sz w:val="24"/>
                      <w:szCs w:val="24"/>
                      <w:highlight w:val="none"/>
                    </w:rPr>
                    <w:t>服务类型</w:t>
                  </w:r>
                </w:p>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bCs/>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11430</wp:posOffset>
                            </wp:positionV>
                            <wp:extent cx="1880235" cy="593725"/>
                            <wp:effectExtent l="1270" t="4445" r="8255" b="11430"/>
                            <wp:wrapNone/>
                            <wp:docPr id="5" name="直接连接符 5"/>
                            <wp:cNvGraphicFramePr/>
                            <a:graphic xmlns:a="http://schemas.openxmlformats.org/drawingml/2006/main">
                              <a:graphicData uri="http://schemas.microsoft.com/office/word/2010/wordprocessingShape">
                                <wps:wsp>
                                  <wps:cNvCnPr/>
                                  <wps:spPr>
                                    <a:xfrm>
                                      <a:off x="0" y="0"/>
                                      <a:ext cx="1880235" cy="5937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35pt;margin-top:0.9pt;height:46.75pt;width:148.05pt;z-index:251663360;mso-width-relative:page;mso-height-relative:page;" filled="f" stroked="t" coordsize="21600,21600" o:gfxdata="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BxQJ0wAAAAUBAAAPAAAAAAAAAAEAIAAAACIAAABkcnMvZG93bnJldi54bWxQSwECFAAU&#10;AAAACACHTuJAVvE+QPYBAADrAwAADgAAAAAAAAABACAAAAAi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bCs/>
                      <w:sz w:val="24"/>
                      <w:szCs w:val="24"/>
                      <w:highlight w:val="none"/>
                    </w:rPr>
                    <w:t>费率</w:t>
                  </w:r>
                </w:p>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-9525</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75pt;height:0pt;width:0.05pt;z-index:251661312;mso-width-relative:page;mso-height-relative:page;" filled="f" stroked="t" coordsize="21600,21600" o:allowincell="f" o:gfxdata="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OQee3XAAAACQEAAA8AAAAAAAAAAQAgAAAAIgAAAGRycy9kb3ducmV2LnhtbFBLAQIUABQAAAAI&#10;AIdO4kAD55AT7gEAAOI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bCs/>
                      <w:sz w:val="24"/>
                      <w:szCs w:val="24"/>
                      <w:highlight w:val="none"/>
                    </w:rPr>
                    <w:t>中标金额（万元）</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bCs/>
                      <w:sz w:val="24"/>
                      <w:szCs w:val="24"/>
                      <w:highlight w:val="none"/>
                    </w:rPr>
                    <w:t>货物招标</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bCs/>
                      <w:sz w:val="24"/>
                      <w:szCs w:val="24"/>
                      <w:highlight w:val="none"/>
                    </w:rPr>
                    <w:t>服务招标</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100以下</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0.8%</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0.8%</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0.45%</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1000-5000</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0.5%</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0.25%</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5000-10000</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0.25%</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0.10%</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bCs/>
                      <w:sz w:val="24"/>
                      <w:szCs w:val="24"/>
                      <w:highlight w:val="none"/>
                    </w:rPr>
                  </w:pPr>
                  <w:r>
                    <w:rPr>
                      <w:rFonts w:hint="eastAsia" w:ascii="宋体" w:hAnsi="宋体" w:eastAsia="宋体" w:cs="宋体"/>
                      <w:sz w:val="24"/>
                      <w:szCs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10000-100000</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0.05%</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0.05%</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bCs/>
                      <w:sz w:val="24"/>
                      <w:szCs w:val="24"/>
                      <w:highlight w:val="none"/>
                    </w:rPr>
                  </w:pPr>
                  <w:r>
                    <w:rPr>
                      <w:rFonts w:hint="eastAsia" w:ascii="宋体" w:hAnsi="宋体" w:eastAsia="宋体" w:cs="宋体"/>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100000以上</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0.01%</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0.01%</w:t>
                  </w:r>
                </w:p>
              </w:tc>
              <w:tc>
                <w:tcPr>
                  <w:tcW w:w="2029"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bCs/>
                      <w:sz w:val="24"/>
                      <w:szCs w:val="24"/>
                      <w:highlight w:val="none"/>
                    </w:rPr>
                  </w:pPr>
                  <w:r>
                    <w:rPr>
                      <w:rFonts w:hint="eastAsia" w:ascii="宋体" w:hAnsi="宋体" w:eastAsia="宋体" w:cs="宋体"/>
                      <w:sz w:val="24"/>
                      <w:szCs w:val="24"/>
                      <w:highlight w:val="none"/>
                    </w:rPr>
                    <w:t>0.01%</w:t>
                  </w:r>
                </w:p>
              </w:tc>
            </w:tr>
          </w:tbl>
          <w:p>
            <w:pPr>
              <w:pStyle w:val="40"/>
              <w:keepNext w:val="0"/>
              <w:keepLines w:val="0"/>
              <w:pageBreakBefore w:val="0"/>
              <w:kinsoku/>
              <w:wordWrap/>
              <w:overflowPunct/>
              <w:topLinePunct w:val="0"/>
              <w:bidi w:val="0"/>
              <w:adjustRightInd/>
              <w:snapToGrid/>
              <w:spacing w:line="360" w:lineRule="auto"/>
              <w:ind w:firstLine="0" w:firstLineChars="0"/>
              <w:jc w:val="both"/>
              <w:rPr>
                <w:rFonts w:hint="eastAsia"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rPr>
              <w:t>不足5000按5000计取，由成交单位支付</w:t>
            </w:r>
            <w:r>
              <w:rPr>
                <w:rFonts w:hint="eastAsia" w:ascii="宋体" w:hAnsi="宋体" w:eastAsia="宋体" w:cs="宋体"/>
                <w:b/>
                <w:color w:val="auto"/>
                <w:kern w:val="1"/>
                <w:sz w:val="24"/>
                <w:szCs w:val="24"/>
                <w:highlight w:val="none"/>
                <w:lang w:val="en-US" w:eastAsia="zh-CN"/>
              </w:rPr>
              <w:t>采购</w:t>
            </w:r>
            <w:r>
              <w:rPr>
                <w:rFonts w:hint="eastAsia" w:ascii="宋体" w:hAnsi="宋体" w:eastAsia="宋体" w:cs="宋体"/>
                <w:b/>
                <w:color w:val="auto"/>
                <w:kern w:val="1"/>
                <w:sz w:val="24"/>
                <w:szCs w:val="24"/>
                <w:highlight w:val="none"/>
              </w:rPr>
              <w:t>代理服务费。</w:t>
            </w:r>
          </w:p>
        </w:tc>
      </w:tr>
      <w:bookmarkEnd w:id="89"/>
      <w:bookmarkEnd w:id="90"/>
    </w:tbl>
    <w:p>
      <w:pPr>
        <w:pStyle w:val="42"/>
        <w:pageBreakBefore w:val="0"/>
        <w:kinsoku/>
        <w:wordWrap/>
        <w:overflowPunct/>
        <w:bidi w:val="0"/>
        <w:spacing w:before="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91" w:name="_Toc13766989"/>
      <w:bookmarkStart w:id="92" w:name="_Toc30252"/>
      <w:bookmarkStart w:id="93" w:name="_Toc28642"/>
      <w:bookmarkStart w:id="94" w:name="_Toc9206"/>
      <w:bookmarkStart w:id="95" w:name="_Toc1898"/>
      <w:bookmarkStart w:id="96" w:name="_Toc17975"/>
      <w:bookmarkStart w:id="97" w:name="_Toc17940"/>
      <w:bookmarkStart w:id="98" w:name="_Toc2306"/>
      <w:r>
        <w:rPr>
          <w:rFonts w:hint="eastAsia" w:ascii="宋体" w:hAnsi="宋体" w:eastAsia="宋体" w:cs="宋体"/>
          <w:color w:val="auto"/>
          <w:sz w:val="24"/>
          <w:szCs w:val="24"/>
          <w:highlight w:val="none"/>
        </w:rPr>
        <w:t>二、</w:t>
      </w:r>
      <w:bookmarkEnd w:id="91"/>
      <w:r>
        <w:rPr>
          <w:rFonts w:hint="eastAsia" w:ascii="宋体" w:hAnsi="宋体" w:eastAsia="宋体" w:cs="宋体"/>
          <w:color w:val="auto"/>
          <w:sz w:val="24"/>
          <w:szCs w:val="24"/>
          <w:highlight w:val="none"/>
        </w:rPr>
        <w:t>供应商须知</w:t>
      </w:r>
      <w:bookmarkEnd w:id="92"/>
      <w:bookmarkEnd w:id="93"/>
      <w:bookmarkEnd w:id="94"/>
      <w:bookmarkEnd w:id="95"/>
      <w:bookmarkEnd w:id="96"/>
      <w:bookmarkEnd w:id="97"/>
      <w:bookmarkEnd w:id="98"/>
    </w:p>
    <w:p>
      <w:pPr>
        <w:pageBreakBefore w:val="0"/>
        <w:kinsoku/>
        <w:wordWrap/>
        <w:overflowPunct/>
        <w:bidi w:val="0"/>
        <w:spacing w:before="156" w:beforeLines="50" w:after="156" w:afterLines="50" w:line="360" w:lineRule="auto"/>
        <w:ind w:firstLine="482" w:firstLineChars="200"/>
        <w:jc w:val="left"/>
        <w:rPr>
          <w:rFonts w:hint="eastAsia" w:ascii="宋体" w:hAnsi="宋体" w:eastAsia="宋体" w:cs="宋体"/>
          <w:b/>
          <w:color w:val="auto"/>
          <w:kern w:val="0"/>
          <w:sz w:val="24"/>
          <w:szCs w:val="24"/>
          <w:highlight w:val="none"/>
          <w:lang w:val="zh-CN"/>
        </w:rPr>
      </w:pPr>
      <w:bookmarkStart w:id="99" w:name="_Toc37090961"/>
      <w:bookmarkStart w:id="100" w:name="_Toc21030"/>
      <w:bookmarkStart w:id="101" w:name="_Toc37090625"/>
      <w:bookmarkStart w:id="102" w:name="_Toc13766990"/>
      <w:r>
        <w:rPr>
          <w:rFonts w:hint="eastAsia" w:ascii="宋体" w:hAnsi="宋体" w:eastAsia="宋体" w:cs="宋体"/>
          <w:b/>
          <w:color w:val="auto"/>
          <w:kern w:val="0"/>
          <w:sz w:val="24"/>
          <w:szCs w:val="24"/>
          <w:highlight w:val="none"/>
          <w:lang w:val="zh-CN"/>
        </w:rPr>
        <w:t>（一）总则</w:t>
      </w:r>
      <w:bookmarkEnd w:id="99"/>
      <w:bookmarkEnd w:id="100"/>
      <w:bookmarkEnd w:id="101"/>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03" w:name="_Toc37090626"/>
      <w:bookmarkStart w:id="104" w:name="_Toc37090962"/>
      <w:bookmarkStart w:id="105" w:name="_Toc29497"/>
      <w:r>
        <w:rPr>
          <w:rFonts w:hint="eastAsia" w:ascii="宋体" w:hAnsi="宋体" w:eastAsia="宋体" w:cs="宋体"/>
          <w:b/>
          <w:bCs/>
          <w:color w:val="auto"/>
          <w:sz w:val="24"/>
          <w:szCs w:val="24"/>
          <w:highlight w:val="none"/>
        </w:rPr>
        <w:t>1. 项目说明</w:t>
      </w:r>
      <w:bookmarkEnd w:id="103"/>
      <w:bookmarkEnd w:id="104"/>
      <w:bookmarkEnd w:id="105"/>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本项目的说明详见供应商须知前附表（以下简称“前附表”）所述。</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1.2本采购项目已经批准，采购人为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五家渠经济技术开发区管理委员会</w:t>
      </w:r>
      <w:r>
        <w:rPr>
          <w:rFonts w:hint="eastAsia" w:ascii="宋体" w:hAnsi="宋体" w:eastAsia="宋体" w:cs="宋体"/>
          <w:color w:val="auto"/>
          <w:sz w:val="24"/>
          <w:szCs w:val="24"/>
          <w:highlight w:val="none"/>
        </w:rPr>
        <w:t>，该项目已具备采购条件，现对该项目进行竞争性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sz w:val="24"/>
          <w:szCs w:val="24"/>
          <w:highlight w:val="none"/>
        </w:rPr>
        <w:t>本采购项目供应商的资格审查采取资格后审方式。本次</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u w:val="single"/>
        </w:rPr>
        <w:t>接受</w:t>
      </w:r>
      <w:r>
        <w:rPr>
          <w:rFonts w:hint="eastAsia" w:ascii="宋体" w:hAnsi="宋体" w:eastAsia="宋体" w:cs="宋体"/>
          <w:color w:val="auto"/>
          <w:sz w:val="24"/>
          <w:szCs w:val="24"/>
          <w:highlight w:val="none"/>
        </w:rPr>
        <w:t>联合体、不接受备选方案。</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供应商资格必须符合供应商须知前附表说明，通过资格后审的供应商为合格的供应商。合格的供应商必须符合</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中对供应商的规定，且具备独立完成所投项目或所</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项的</w:t>
      </w:r>
      <w:r>
        <w:rPr>
          <w:rFonts w:hint="eastAsia" w:ascii="宋体" w:hAnsi="宋体" w:eastAsia="宋体" w:cs="宋体"/>
          <w:color w:val="auto"/>
          <w:kern w:val="10"/>
          <w:sz w:val="24"/>
          <w:szCs w:val="24"/>
          <w:highlight w:val="none"/>
        </w:rPr>
        <w:t>能</w:t>
      </w:r>
      <w:r>
        <w:rPr>
          <w:rFonts w:hint="eastAsia" w:ascii="宋体" w:hAnsi="宋体" w:eastAsia="宋体" w:cs="宋体"/>
          <w:color w:val="auto"/>
          <w:sz w:val="24"/>
          <w:szCs w:val="24"/>
          <w:highlight w:val="none"/>
        </w:rPr>
        <w:t>力，成交后不允许转包、违法分包。</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资格后审包括下列的内容</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供应商具有独立法人资格并满足“前附表”规定的资格要求；</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有要求供应商法定代表人或其授权代</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表签字或盖章和加盖供应商公章要求的，供应商须按</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要求签署；</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1.4.3服务期限符合</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要求；</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1.4.4服务地点符合</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规定；</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1.4.5</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内容质量、服务等满足</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要求；</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1.4.6响应文件中所提条件均须符合采购人的要求；</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1.4.7符合</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中规定的其他实质性要求；</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1.4.8无法律、法规和规章禁止的其他情况。</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06" w:name="_Toc17644"/>
      <w:bookmarkStart w:id="107" w:name="_Toc37090627"/>
      <w:bookmarkStart w:id="108" w:name="_Toc37090963"/>
      <w:r>
        <w:rPr>
          <w:rFonts w:hint="eastAsia" w:ascii="宋体" w:hAnsi="宋体" w:eastAsia="宋体" w:cs="宋体"/>
          <w:b/>
          <w:bCs/>
          <w:color w:val="auto"/>
          <w:sz w:val="24"/>
          <w:szCs w:val="24"/>
          <w:highlight w:val="none"/>
        </w:rPr>
        <w:t xml:space="preserve">2. </w:t>
      </w:r>
      <w:bookmarkEnd w:id="106"/>
      <w:bookmarkEnd w:id="107"/>
      <w:bookmarkEnd w:id="108"/>
      <w:r>
        <w:rPr>
          <w:rFonts w:hint="eastAsia" w:ascii="宋体" w:hAnsi="宋体" w:eastAsia="宋体" w:cs="宋体"/>
          <w:b/>
          <w:bCs/>
          <w:color w:val="auto"/>
          <w:sz w:val="24"/>
          <w:szCs w:val="24"/>
          <w:highlight w:val="none"/>
        </w:rPr>
        <w:t>采购范围</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2.1本采购项目的采购范围</w:t>
      </w:r>
      <w:r>
        <w:rPr>
          <w:rFonts w:hint="eastAsia" w:ascii="宋体" w:hAnsi="宋体" w:eastAsia="宋体" w:cs="宋体"/>
          <w:color w:val="auto"/>
          <w:kern w:val="0"/>
          <w:sz w:val="24"/>
          <w:szCs w:val="24"/>
          <w:highlight w:val="none"/>
        </w:rPr>
        <w:t>已通过“前附表”第1项</w:t>
      </w:r>
      <w:r>
        <w:rPr>
          <w:rFonts w:hint="eastAsia" w:ascii="宋体" w:hAnsi="宋体" w:eastAsia="宋体" w:cs="宋体"/>
          <w:color w:val="auto"/>
          <w:sz w:val="24"/>
          <w:szCs w:val="24"/>
          <w:highlight w:val="none"/>
        </w:rPr>
        <w:t>采购内容</w:t>
      </w:r>
      <w:r>
        <w:rPr>
          <w:rFonts w:hint="eastAsia" w:ascii="宋体" w:hAnsi="宋体" w:eastAsia="宋体" w:cs="宋体"/>
          <w:color w:val="auto"/>
          <w:kern w:val="0"/>
          <w:sz w:val="24"/>
          <w:szCs w:val="24"/>
          <w:highlight w:val="none"/>
        </w:rPr>
        <w:t>所述，</w:t>
      </w:r>
      <w:r>
        <w:rPr>
          <w:rFonts w:hint="eastAsia" w:ascii="宋体" w:hAnsi="宋体" w:eastAsia="宋体" w:cs="宋体"/>
          <w:color w:val="auto"/>
          <w:sz w:val="24"/>
          <w:szCs w:val="24"/>
          <w:highlight w:val="none"/>
        </w:rPr>
        <w:t>指本项目</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中范围内所要求的所有工作内容。</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09" w:name="_Toc26876"/>
      <w:bookmarkStart w:id="110" w:name="_Toc37090628"/>
      <w:bookmarkStart w:id="111" w:name="_Toc37090964"/>
      <w:r>
        <w:rPr>
          <w:rFonts w:hint="eastAsia" w:ascii="宋体" w:hAnsi="宋体" w:eastAsia="宋体" w:cs="宋体"/>
          <w:b/>
          <w:bCs/>
          <w:color w:val="auto"/>
          <w:sz w:val="24"/>
          <w:szCs w:val="24"/>
          <w:highlight w:val="none"/>
        </w:rPr>
        <w:t>3. 适用法律及约束力</w:t>
      </w:r>
      <w:bookmarkEnd w:id="109"/>
      <w:bookmarkEnd w:id="110"/>
      <w:bookmarkEnd w:id="111"/>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本次</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及由本次</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产生的合同受中华人民共和国的相关法律、法规制约和保护。供应商一旦领取了</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并参加本项目，即被认为接受了</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中的所有条件和规定。</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3.2供应商应保证，在中华人民共和国境内使用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成果、服务或其任何一部分时，不会产生因第三方提出侵犯其专利权或其它知识产权而引起的法律和经济纠纷。</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12" w:name="_Toc18819"/>
      <w:bookmarkStart w:id="113" w:name="_Toc37090629"/>
      <w:bookmarkStart w:id="114" w:name="_Toc37090965"/>
      <w:r>
        <w:rPr>
          <w:rFonts w:hint="eastAsia" w:ascii="宋体" w:hAnsi="宋体" w:eastAsia="宋体" w:cs="宋体"/>
          <w:b/>
          <w:bCs/>
          <w:color w:val="auto"/>
          <w:sz w:val="24"/>
          <w:szCs w:val="24"/>
          <w:highlight w:val="none"/>
        </w:rPr>
        <w:t>4. 采购项目实施要求</w:t>
      </w:r>
      <w:bookmarkEnd w:id="112"/>
      <w:bookmarkEnd w:id="113"/>
      <w:bookmarkEnd w:id="114"/>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4.1质量标准已通过“前附表”第3项所述，本采购项目的质量等级标准为合格（通过采购人及有关部门组织的项目验收）。</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4.2 供应方与采购人签订合同后，按照</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及合同相关的要求编制现场服务计划。</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15" w:name="_Toc37090630"/>
      <w:bookmarkStart w:id="116" w:name="_Toc14650"/>
      <w:bookmarkStart w:id="117" w:name="_Toc37090966"/>
      <w:r>
        <w:rPr>
          <w:rFonts w:hint="eastAsia" w:ascii="宋体" w:hAnsi="宋体" w:eastAsia="宋体" w:cs="宋体"/>
          <w:b/>
          <w:bCs/>
          <w:color w:val="auto"/>
          <w:sz w:val="24"/>
          <w:szCs w:val="24"/>
          <w:highlight w:val="none"/>
        </w:rPr>
        <w:t>5. 服务期限及服务地点</w:t>
      </w:r>
      <w:bookmarkEnd w:id="115"/>
      <w:bookmarkEnd w:id="116"/>
      <w:bookmarkEnd w:id="117"/>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服务期限已</w:t>
      </w:r>
      <w:r>
        <w:rPr>
          <w:rFonts w:hint="eastAsia" w:ascii="宋体" w:hAnsi="宋体" w:eastAsia="宋体" w:cs="宋体"/>
          <w:color w:val="auto"/>
          <w:kern w:val="0"/>
          <w:sz w:val="24"/>
          <w:szCs w:val="24"/>
          <w:highlight w:val="none"/>
        </w:rPr>
        <w:t>通过“前附表”所述，</w:t>
      </w:r>
      <w:r>
        <w:rPr>
          <w:rFonts w:hint="eastAsia" w:ascii="宋体" w:hAnsi="宋体" w:eastAsia="宋体" w:cs="宋体"/>
          <w:color w:val="auto"/>
          <w:sz w:val="24"/>
          <w:szCs w:val="24"/>
          <w:highlight w:val="none"/>
        </w:rPr>
        <w:t>是指完成本项目采购内容及配套服务工作、验收合格并移交采购人的时间；服务地点已</w:t>
      </w:r>
      <w:r>
        <w:rPr>
          <w:rFonts w:hint="eastAsia" w:ascii="宋体" w:hAnsi="宋体" w:eastAsia="宋体" w:cs="宋体"/>
          <w:color w:val="auto"/>
          <w:kern w:val="0"/>
          <w:sz w:val="24"/>
          <w:szCs w:val="24"/>
          <w:highlight w:val="none"/>
        </w:rPr>
        <w:t>通过“前附表”所述</w:t>
      </w:r>
      <w:r>
        <w:rPr>
          <w:rFonts w:hint="eastAsia" w:ascii="宋体" w:hAnsi="宋体" w:eastAsia="宋体" w:cs="宋体"/>
          <w:color w:val="auto"/>
          <w:sz w:val="24"/>
          <w:szCs w:val="24"/>
          <w:highlight w:val="none"/>
        </w:rPr>
        <w:t>。</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18" w:name="_Toc37090967"/>
      <w:bookmarkStart w:id="119" w:name="_Toc4069"/>
      <w:bookmarkStart w:id="120" w:name="_Toc37090631"/>
      <w:r>
        <w:rPr>
          <w:rFonts w:hint="eastAsia" w:ascii="宋体" w:hAnsi="宋体" w:eastAsia="宋体" w:cs="宋体"/>
          <w:b/>
          <w:bCs/>
          <w:color w:val="auto"/>
          <w:sz w:val="24"/>
          <w:szCs w:val="24"/>
          <w:highlight w:val="none"/>
        </w:rPr>
        <w:t>6. 资金来源</w:t>
      </w:r>
      <w:bookmarkEnd w:id="118"/>
      <w:bookmarkEnd w:id="119"/>
      <w:bookmarkEnd w:id="120"/>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6.1采购单位的资金通过“前附表”第1项所述的方式获得，并将部分资金用于本项目合同下的合格支付。</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21" w:name="_Toc19811"/>
      <w:bookmarkStart w:id="122" w:name="_Toc37090968"/>
      <w:bookmarkStart w:id="123" w:name="_Toc37090632"/>
      <w:r>
        <w:rPr>
          <w:rFonts w:hint="eastAsia" w:ascii="宋体" w:hAnsi="宋体" w:eastAsia="宋体" w:cs="宋体"/>
          <w:b/>
          <w:bCs/>
          <w:color w:val="auto"/>
          <w:sz w:val="24"/>
          <w:szCs w:val="24"/>
          <w:highlight w:val="none"/>
        </w:rPr>
        <w:t>7. 供应商资格要求</w:t>
      </w:r>
      <w:bookmarkEnd w:id="121"/>
      <w:bookmarkEnd w:id="122"/>
      <w:bookmarkEnd w:id="123"/>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供应商资格要求须满足“前附表”第4项要求。</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24" w:name="_Toc37090969"/>
      <w:bookmarkStart w:id="125" w:name="_Toc37090633"/>
      <w:bookmarkStart w:id="126" w:name="_Toc30617"/>
      <w:r>
        <w:rPr>
          <w:rFonts w:hint="eastAsia" w:ascii="宋体" w:hAnsi="宋体" w:eastAsia="宋体" w:cs="宋体"/>
          <w:b/>
          <w:bCs/>
          <w:color w:val="auto"/>
          <w:sz w:val="24"/>
          <w:szCs w:val="24"/>
          <w:highlight w:val="none"/>
        </w:rPr>
        <w:t>8. 费用</w:t>
      </w:r>
      <w:bookmarkEnd w:id="124"/>
      <w:bookmarkEnd w:id="125"/>
      <w:bookmarkEnd w:id="126"/>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供应商应承担其编制响应文件与递交响应文件所涉及的一切费用，不论</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结果如何，采购人或采购代理机构均无义务和责任承担这些费用。</w:t>
      </w:r>
    </w:p>
    <w:p>
      <w:pPr>
        <w:pStyle w:val="43"/>
        <w:pageBreakBefore w:val="0"/>
        <w:kinsoku/>
        <w:wordWrap/>
        <w:overflowPunct/>
        <w:bidi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9.合格供应商的条件</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9.1具有本项目实施能力，符合、承认并承诺履行本文件各项规定的国内法人、其他组织或自然人均可参加</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遵守有关的国家法律、法规和条例，具备《中华人民共和国政府采购法》和本文件中规定的条件：</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9.2.1具有独立承担民事责任的能力；</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9.2.2具有良好的商业信誉和健全的财务会计制度；</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9.2.3具有履行合同所必需的设备和专业技术能力；</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9.2.4具有依法缴纳税收和社会保障资金的良好记录；</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9.2.5参加政府采购活动前三年内，在经营活动中没有重大违法记录；</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9.2.6法律、行政法规规定的其他条件；</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9.2.7具有本</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第二部分“供应商须知前附表”中第4项规定的资格条件。</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9.3供应商之间如果存在下列情形之一的，不得同时参加同一包（标段）或者不分包（标段）的同一项目</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9.3.1法定代表人为同一个人的两个及两个以上法人；</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9.3.2母公司、全资子公司及其控股公司；</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9.3.3参加</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的其他组织之间存在特殊的利害关系的；</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9.3.4法律和行政法规规定的其他情形。</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9.4供应商授权代表须持有《法定代表人授权委托书》。</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9.5供应商</w:t>
      </w:r>
      <w:r>
        <w:rPr>
          <w:rFonts w:hint="eastAsia" w:ascii="宋体" w:hAnsi="宋体" w:eastAsia="宋体" w:cs="宋体"/>
          <w:color w:val="auto"/>
          <w:sz w:val="24"/>
          <w:szCs w:val="24"/>
          <w:highlight w:val="none"/>
          <w:lang w:val="en-US" w:eastAsia="zh-CN"/>
        </w:rPr>
        <w:t>按照采购公告要求线下</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竞争性谈判文件。</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9.6供应商按时足额交纳</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保证金。</w:t>
      </w:r>
    </w:p>
    <w:p>
      <w:pPr>
        <w:pageBreakBefore w:val="0"/>
        <w:kinsoku/>
        <w:wordWrap/>
        <w:overflowPunct/>
        <w:bidi w:val="0"/>
        <w:spacing w:line="360" w:lineRule="auto"/>
        <w:ind w:firstLine="482" w:firstLineChars="200"/>
        <w:jc w:val="left"/>
        <w:rPr>
          <w:rFonts w:hint="eastAsia" w:ascii="宋体" w:hAnsi="宋体" w:eastAsia="宋体" w:cs="宋体"/>
          <w:b/>
          <w:color w:val="auto"/>
          <w:kern w:val="0"/>
          <w:sz w:val="24"/>
          <w:szCs w:val="24"/>
          <w:highlight w:val="none"/>
          <w:lang w:val="en-US" w:eastAsia="zh-CN"/>
        </w:rPr>
      </w:pPr>
      <w:bookmarkStart w:id="127" w:name="_Toc37090635"/>
      <w:bookmarkStart w:id="128" w:name="_Toc37090971"/>
      <w:bookmarkStart w:id="129" w:name="_Toc6998"/>
      <w:r>
        <w:rPr>
          <w:rFonts w:hint="eastAsia" w:ascii="宋体" w:hAnsi="宋体" w:eastAsia="宋体" w:cs="宋体"/>
          <w:b/>
          <w:bCs/>
          <w:color w:val="auto"/>
          <w:sz w:val="24"/>
          <w:szCs w:val="24"/>
          <w:highlight w:val="none"/>
        </w:rPr>
        <w:t xml:space="preserve">10. </w:t>
      </w:r>
      <w:r>
        <w:rPr>
          <w:rFonts w:hint="eastAsia" w:ascii="宋体" w:hAnsi="宋体" w:eastAsia="宋体" w:cs="宋体"/>
          <w:b/>
          <w:bCs/>
          <w:color w:val="auto"/>
          <w:sz w:val="24"/>
          <w:szCs w:val="24"/>
          <w:highlight w:val="none"/>
          <w:lang w:val="en-US" w:eastAsia="zh-CN"/>
        </w:rPr>
        <w:t>本项目接受</w:t>
      </w:r>
      <w:r>
        <w:rPr>
          <w:rFonts w:hint="eastAsia" w:ascii="宋体" w:hAnsi="宋体" w:eastAsia="宋体" w:cs="宋体"/>
          <w:b/>
          <w:bCs/>
          <w:color w:val="auto"/>
          <w:sz w:val="24"/>
          <w:szCs w:val="24"/>
          <w:highlight w:val="none"/>
        </w:rPr>
        <w:t>联合体</w:t>
      </w:r>
      <w:bookmarkEnd w:id="127"/>
      <w:bookmarkEnd w:id="128"/>
      <w:bookmarkEnd w:id="129"/>
      <w:r>
        <w:rPr>
          <w:rFonts w:hint="eastAsia" w:ascii="宋体" w:hAnsi="宋体" w:eastAsia="宋体" w:cs="宋体"/>
          <w:b/>
          <w:bCs/>
          <w:color w:val="auto"/>
          <w:sz w:val="24"/>
          <w:szCs w:val="24"/>
          <w:highlight w:val="none"/>
          <w:lang w:val="en-US" w:eastAsia="zh-CN"/>
        </w:rPr>
        <w:t>响应</w:t>
      </w:r>
    </w:p>
    <w:p>
      <w:pPr>
        <w:pageBreakBefore w:val="0"/>
        <w:shd w:val="clear" w:color="auto" w:fill="FFFFFF"/>
        <w:kinsoku/>
        <w:wordWrap/>
        <w:overflowPunct/>
        <w:bidi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11.信用信息查询</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11.1查询渠道：“信用中国”网站（www.creditchina.gov.cn）、中国政府采购网（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kern w:val="0"/>
          <w:sz w:val="24"/>
          <w:szCs w:val="24"/>
          <w:highlight w:val="none"/>
          <w:u w:val="none"/>
        </w:rPr>
        <w:t>www.ccgp.gov.cn</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11.2查询截止时间：</w:t>
      </w:r>
      <w:r>
        <w:rPr>
          <w:rFonts w:hint="eastAsia" w:ascii="宋体" w:hAnsi="宋体" w:eastAsia="宋体" w:cs="宋体"/>
          <w:color w:val="auto"/>
          <w:kern w:val="0"/>
          <w:sz w:val="24"/>
          <w:szCs w:val="24"/>
          <w:highlight w:val="none"/>
          <w:lang w:val="en-US" w:eastAsia="zh-CN"/>
        </w:rPr>
        <w:t>同响应文件递交截止时间</w:t>
      </w:r>
      <w:r>
        <w:rPr>
          <w:rFonts w:hint="eastAsia" w:ascii="宋体" w:hAnsi="宋体" w:eastAsia="宋体" w:cs="宋体"/>
          <w:color w:val="auto"/>
          <w:sz w:val="24"/>
          <w:szCs w:val="24"/>
          <w:highlight w:val="none"/>
        </w:rPr>
        <w:t>。</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根据《关于在政府采购活动中查询及使用信用记录有关问题的通知》(财库[2016]125号)的规定，对被列入“失信被执行人”、“重大税收违法案件当事人名单”、“政府采购严重违法失信行为记录名单”的供应商，拒绝参与本项目政府采购活动。</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11.4信用信息查询由采购代理机构在开标/</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后通过本须知11.1所述渠道进行网上查询，对存在本须知11.3所述情形的供应商，将对其查询结果的网页截图作为查询记录和证据留存。</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11.5两个以上的自然人、法人或者其他组织组成一个联合体，以一个供应商的身份共同参加政府采购活动的，将对所有联合体成员进行信用记录查询，联合体成员存在不良信用记录的，视同联合体存在不良信用记录。</w:t>
      </w:r>
    </w:p>
    <w:bookmarkEnd w:id="102"/>
    <w:p>
      <w:pPr>
        <w:pageBreakBefore w:val="0"/>
        <w:kinsoku/>
        <w:wordWrap/>
        <w:overflowPunct/>
        <w:bidi w:val="0"/>
        <w:spacing w:before="156" w:beforeLines="50" w:after="156" w:afterLines="50" w:line="360" w:lineRule="auto"/>
        <w:ind w:firstLine="482" w:firstLineChars="200"/>
        <w:jc w:val="left"/>
        <w:rPr>
          <w:rFonts w:hint="eastAsia" w:ascii="宋体" w:hAnsi="宋体" w:eastAsia="宋体" w:cs="宋体"/>
          <w:b/>
          <w:color w:val="auto"/>
          <w:kern w:val="0"/>
          <w:sz w:val="24"/>
          <w:szCs w:val="24"/>
          <w:highlight w:val="none"/>
          <w:lang w:val="zh-CN"/>
        </w:rPr>
      </w:pPr>
      <w:bookmarkStart w:id="130" w:name="_Toc37090636"/>
      <w:bookmarkStart w:id="131" w:name="_Toc37090972"/>
      <w:r>
        <w:rPr>
          <w:rFonts w:hint="eastAsia" w:ascii="宋体" w:hAnsi="宋体" w:eastAsia="宋体" w:cs="宋体"/>
          <w:b/>
          <w:color w:val="auto"/>
          <w:kern w:val="0"/>
          <w:sz w:val="24"/>
          <w:szCs w:val="24"/>
          <w:highlight w:val="none"/>
          <w:lang w:val="zh-CN"/>
        </w:rPr>
        <w:t>（二）</w:t>
      </w:r>
      <w:bookmarkEnd w:id="130"/>
      <w:bookmarkEnd w:id="131"/>
      <w:r>
        <w:rPr>
          <w:rFonts w:hint="eastAsia" w:ascii="宋体" w:hAnsi="宋体" w:eastAsia="宋体" w:cs="宋体"/>
          <w:b/>
          <w:color w:val="auto"/>
          <w:kern w:val="0"/>
          <w:sz w:val="24"/>
          <w:szCs w:val="24"/>
          <w:highlight w:val="none"/>
          <w:lang w:val="zh-CN"/>
        </w:rPr>
        <w:t>竞争性谈判文件</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32" w:name="_Toc37090637"/>
      <w:bookmarkStart w:id="133" w:name="_Toc37090973"/>
      <w:bookmarkStart w:id="134" w:name="_Toc10669"/>
      <w:r>
        <w:rPr>
          <w:rFonts w:hint="eastAsia" w:ascii="宋体" w:hAnsi="宋体" w:eastAsia="宋体" w:cs="宋体"/>
          <w:b/>
          <w:bCs/>
          <w:color w:val="auto"/>
          <w:sz w:val="24"/>
          <w:szCs w:val="24"/>
          <w:highlight w:val="none"/>
        </w:rPr>
        <w:t xml:space="preserve">12. </w:t>
      </w:r>
      <w:r>
        <w:rPr>
          <w:rFonts w:hint="eastAsia" w:ascii="宋体" w:hAnsi="宋体" w:eastAsia="宋体" w:cs="宋体"/>
          <w:b/>
          <w:bCs/>
          <w:color w:val="auto"/>
          <w:sz w:val="24"/>
          <w:szCs w:val="24"/>
          <w:highlight w:val="none"/>
          <w:lang w:eastAsia="zh-CN"/>
        </w:rPr>
        <w:t>竞争性谈判文件</w:t>
      </w:r>
      <w:r>
        <w:rPr>
          <w:rFonts w:hint="eastAsia" w:ascii="宋体" w:hAnsi="宋体" w:eastAsia="宋体" w:cs="宋体"/>
          <w:b/>
          <w:bCs/>
          <w:color w:val="auto"/>
          <w:sz w:val="24"/>
          <w:szCs w:val="24"/>
          <w:highlight w:val="none"/>
        </w:rPr>
        <w:t>的组成</w:t>
      </w:r>
      <w:bookmarkEnd w:id="132"/>
      <w:bookmarkEnd w:id="133"/>
      <w:bookmarkEnd w:id="134"/>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12.1 </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包括下列内容</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第一章 竞争性</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公告</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第二章 供应商须知</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第三章 合同条款</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第四章 采购需求</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第五章 评审办法</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第六章 响应文件格式</w:t>
      </w:r>
    </w:p>
    <w:p>
      <w:pPr>
        <w:pageBreakBefore w:val="0"/>
        <w:shd w:val="clear" w:color="auto" w:fill="FFFFFF"/>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12.2 </w:t>
      </w:r>
      <w:r>
        <w:rPr>
          <w:rFonts w:hint="eastAsia" w:ascii="宋体" w:hAnsi="宋体" w:eastAsia="宋体" w:cs="宋体"/>
          <w:b/>
          <w:bCs/>
          <w:color w:val="auto"/>
          <w:sz w:val="24"/>
          <w:szCs w:val="24"/>
          <w:highlight w:val="none"/>
        </w:rPr>
        <w:t>本次谈判供应商须对竞争性谈判文件全部采购内容</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，编制并提交响应文件，不得部分</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color w:val="auto"/>
          <w:sz w:val="24"/>
          <w:szCs w:val="24"/>
          <w:highlight w:val="none"/>
          <w:lang w:val="zh-CN"/>
        </w:rPr>
        <w:t>。</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12.3 竞争性谈判文件如果要求供应商提交备选响应方案的，供应商可以提交备选方案；否则，备选方案将被拒绝。</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12.4 竞争性谈判文件由本文件及由采购人按竞争性谈判文件有关规定发出的竞争性谈判文件补充构成。</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12.5 竞争性谈判文件的澄清、修改、</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lang w:val="zh-CN"/>
        </w:rPr>
        <w:t>答疑会纪要等书面材料在本采购项目中均称竞争性谈判文件补充。</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12.6 竞争性谈判文件补充作为竞争性谈判文件的组成部分，对供应商起同等约束作用。如果竞争性谈判文件补充内容与在此竞争性谈判文件补充发出之前的竞争性谈判文件等书面材料中相关内容相冲突，请供应商执行竞争性谈判文件补充的相关内容，先前发出的竞争性谈判文件等书面材料中相关内容自动废止。</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12.7 供应商应认真审阅和理解竞争性谈判文件所有内容，尤其注意可能引起“否决响应”、“拒绝评审”、“无效响应”、“评审不予通过”等的条款，按照竞争性谈判文件要求编制响应文件。任何对竞争性谈判文件的忽略或误解不能作为响应文件存在缺陷或瑕疵的理由，其风险由供应商承担。</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lang w:val="zh-CN"/>
        </w:rPr>
      </w:pPr>
      <w:bookmarkStart w:id="135" w:name="_Toc12268"/>
      <w:bookmarkStart w:id="136" w:name="_Toc37090974"/>
      <w:bookmarkStart w:id="137" w:name="_Toc37090638"/>
      <w:r>
        <w:rPr>
          <w:rFonts w:hint="eastAsia" w:ascii="宋体" w:hAnsi="宋体" w:eastAsia="宋体" w:cs="宋体"/>
          <w:b/>
          <w:bCs/>
          <w:color w:val="auto"/>
          <w:sz w:val="24"/>
          <w:szCs w:val="24"/>
          <w:highlight w:val="none"/>
          <w:lang w:val="zh-CN"/>
        </w:rPr>
        <w:t>13. 竞争性谈判文件的获取</w:t>
      </w:r>
      <w:bookmarkEnd w:id="135"/>
      <w:bookmarkEnd w:id="136"/>
      <w:bookmarkEnd w:id="137"/>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的提供期限自开始发出之日起不得少于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个工作日。具体提供期限见</w:t>
      </w:r>
      <w:r>
        <w:rPr>
          <w:rFonts w:hint="eastAsia" w:ascii="宋体" w:hAnsi="宋体" w:eastAsia="宋体" w:cs="宋体"/>
          <w:b/>
          <w:color w:val="auto"/>
          <w:kern w:val="0"/>
          <w:sz w:val="24"/>
          <w:szCs w:val="24"/>
          <w:highlight w:val="none"/>
        </w:rPr>
        <w:t>竞争性</w:t>
      </w:r>
      <w:r>
        <w:rPr>
          <w:rFonts w:hint="eastAsia" w:ascii="宋体" w:hAnsi="宋体" w:eastAsia="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公告</w:t>
      </w:r>
      <w:r>
        <w:rPr>
          <w:rFonts w:hint="eastAsia" w:ascii="宋体" w:hAnsi="宋体" w:eastAsia="宋体" w:cs="宋体"/>
          <w:color w:val="auto"/>
          <w:kern w:val="0"/>
          <w:sz w:val="24"/>
          <w:szCs w:val="24"/>
          <w:highlight w:val="none"/>
        </w:rPr>
        <w:t>。</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13.2</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按照采购公告要求线下</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竞争性谈判文件。</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lang w:val="zh-CN"/>
        </w:rPr>
      </w:pPr>
      <w:bookmarkStart w:id="138" w:name="_Toc37090975"/>
      <w:bookmarkStart w:id="139" w:name="_Toc28565"/>
      <w:bookmarkStart w:id="140" w:name="_Toc37090639"/>
      <w:r>
        <w:rPr>
          <w:rFonts w:hint="eastAsia" w:ascii="宋体" w:hAnsi="宋体" w:eastAsia="宋体" w:cs="宋体"/>
          <w:b/>
          <w:bCs/>
          <w:color w:val="auto"/>
          <w:sz w:val="24"/>
          <w:szCs w:val="24"/>
          <w:highlight w:val="none"/>
          <w:lang w:val="zh-CN"/>
        </w:rPr>
        <w:t>14. 竞争性谈判文件的澄清或修改</w:t>
      </w:r>
      <w:bookmarkEnd w:id="138"/>
      <w:bookmarkEnd w:id="139"/>
      <w:bookmarkEnd w:id="140"/>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14.1供应商若对</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有任何疑问，应当在获取</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或者</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公告期限届满之日起7个工作日内提出。本项目接受对</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质疑的截止时间见“前附表”第12项，供应商须在截止时间前一次性提出对</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质疑内容。供应商提出质疑应当提交质疑函和必要的证明材料。质疑函应当包括下列内容：</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14.1.1供应商的姓名或者名称、地址、邮编、联系人及联系电话；</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14.1.2质疑项目的名称、编号；</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14.1.3具体、明确的质疑事项和与质疑事项相关的请求；</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14.1.4事实依据；</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14.1.5必要的法律依据；</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14.1.6提出质疑的日期。</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供应商为自然人的，应当由本人签字；供应商为法人或者其他组织的，应当由法定代表人、主要负责人，或者其授权代表签字或者盖章，并加盖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单位公章。</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14.2</w:t>
      </w:r>
      <w:r>
        <w:rPr>
          <w:rFonts w:hint="eastAsia" w:ascii="宋体" w:hAnsi="宋体" w:eastAsia="宋体" w:cs="宋体"/>
          <w:color w:val="auto"/>
          <w:sz w:val="24"/>
          <w:szCs w:val="24"/>
          <w:highlight w:val="none"/>
        </w:rPr>
        <w:t xml:space="preserve"> 在响应文件递交截止期前的任何时候，无论出于何种原因，采购人均可主动地或在解答供应商提出的澄清问题时对</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进行修改。</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14.3 </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的修改将以书面形式通知所有参与</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的供应商，并对其具有约束力，供应商应立即以传真形式回复采购人，确认已收到修改文件。</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14.4为使供应商有充分的时间对</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的修改文件进行研究，采购人有权推迟</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时间，并将此变更书面通知所有参与</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的供应商。</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在上述情况下，采购人与供应商响应文件递交截止日前的全部权利、责任和义务，将适用于延长后的响应文件递交截止期。</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14.6 </w:t>
      </w:r>
      <w:r>
        <w:rPr>
          <w:rFonts w:hint="eastAsia" w:ascii="宋体" w:hAnsi="宋体" w:eastAsia="宋体" w:cs="宋体"/>
          <w:color w:val="auto"/>
          <w:sz w:val="24"/>
          <w:szCs w:val="24"/>
          <w:highlight w:val="none"/>
        </w:rPr>
        <w:t>供应商领取</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后，应仔细检查</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的所有内容，如有残缺应在领到</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后5日内向采购代理机构提出，否则，由此引起的损失自负；供应商同时应认真审阅</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所有的事项、格式、条款和规范要求等，如果供应商没有按</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要求提交全部资料或者没有对</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做出实质性响应，其风险应由供应商自行承担。</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14.6响应文件递交截止时间前，供应商须随时关注本项目竞争性</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公告发布网站（</w:t>
      </w:r>
      <w:r>
        <w:rPr>
          <w:rFonts w:hint="eastAsia" w:ascii="宋体" w:hAnsi="宋体" w:eastAsia="宋体" w:cs="宋体"/>
          <w:color w:val="auto"/>
          <w:kern w:val="0"/>
          <w:sz w:val="24"/>
          <w:szCs w:val="24"/>
          <w:highlight w:val="none"/>
          <w:lang w:val="en-US" w:eastAsia="zh-CN"/>
        </w:rPr>
        <w:t>中国政府采购网</w:t>
      </w:r>
      <w:r>
        <w:rPr>
          <w:rFonts w:hint="eastAsia" w:ascii="宋体" w:hAnsi="宋体" w:eastAsia="宋体" w:cs="宋体"/>
          <w:color w:val="auto"/>
          <w:kern w:val="0"/>
          <w:sz w:val="24"/>
          <w:szCs w:val="24"/>
          <w:highlight w:val="none"/>
        </w:rPr>
        <w:t>）上本项目的最新</w:t>
      </w:r>
      <w:r>
        <w:rPr>
          <w:rFonts w:hint="eastAsia" w:ascii="宋体" w:hAnsi="宋体" w:eastAsia="宋体" w:cs="宋体"/>
          <w:color w:val="auto"/>
          <w:sz w:val="24"/>
          <w:szCs w:val="24"/>
          <w:highlight w:val="none"/>
        </w:rPr>
        <w:t>的变更公告、更正公告、澄清公告等相关信息，并对上述查看行为自行承担责任；供应商对索取书面修改或者澄清文件或者查阅电子修改或者澄清文件的行为自行承担责任，在响应文件递交截止时间后递交的响应文件视为无效响应文件。</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lang w:val="zh-CN"/>
        </w:rPr>
      </w:pPr>
      <w:bookmarkStart w:id="141" w:name="_Toc37090640"/>
      <w:bookmarkStart w:id="142" w:name="_Toc37090976"/>
      <w:bookmarkStart w:id="143" w:name="_Toc18141"/>
      <w:r>
        <w:rPr>
          <w:rFonts w:hint="eastAsia" w:ascii="宋体" w:hAnsi="宋体" w:eastAsia="宋体" w:cs="宋体"/>
          <w:b/>
          <w:bCs/>
          <w:color w:val="auto"/>
          <w:sz w:val="24"/>
          <w:szCs w:val="24"/>
          <w:highlight w:val="none"/>
          <w:lang w:val="zh-CN"/>
        </w:rPr>
        <w:t xml:space="preserve">15.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lang w:val="zh-CN"/>
        </w:rPr>
        <w:t>报价</w:t>
      </w:r>
      <w:bookmarkEnd w:id="141"/>
      <w:bookmarkEnd w:id="142"/>
      <w:bookmarkEnd w:id="143"/>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本采购项目使用的货币为</w:t>
      </w:r>
      <w:r>
        <w:rPr>
          <w:rFonts w:hint="eastAsia" w:ascii="宋体" w:hAnsi="宋体" w:eastAsia="宋体" w:cs="宋体"/>
          <w:color w:val="auto"/>
          <w:kern w:val="0"/>
          <w:sz w:val="24"/>
          <w:szCs w:val="24"/>
          <w:highlight w:val="none"/>
          <w:u w:val="single"/>
        </w:rPr>
        <w:t xml:space="preserve"> 人民币 </w:t>
      </w:r>
      <w:r>
        <w:rPr>
          <w:rFonts w:hint="eastAsia" w:ascii="宋体" w:hAnsi="宋体" w:eastAsia="宋体" w:cs="宋体"/>
          <w:color w:val="auto"/>
          <w:kern w:val="0"/>
          <w:sz w:val="24"/>
          <w:szCs w:val="24"/>
          <w:highlight w:val="none"/>
        </w:rPr>
        <w:t>，实施时亦以</w:t>
      </w:r>
      <w:r>
        <w:rPr>
          <w:rFonts w:hint="eastAsia" w:ascii="宋体" w:hAnsi="宋体" w:eastAsia="宋体" w:cs="宋体"/>
          <w:color w:val="auto"/>
          <w:kern w:val="0"/>
          <w:sz w:val="24"/>
          <w:szCs w:val="24"/>
          <w:highlight w:val="none"/>
          <w:u w:val="single"/>
        </w:rPr>
        <w:t xml:space="preserve"> 人民币 </w:t>
      </w:r>
      <w:r>
        <w:rPr>
          <w:rFonts w:hint="eastAsia" w:ascii="宋体" w:hAnsi="宋体" w:eastAsia="宋体" w:cs="宋体"/>
          <w:color w:val="auto"/>
          <w:kern w:val="0"/>
          <w:sz w:val="24"/>
          <w:szCs w:val="24"/>
          <w:highlight w:val="none"/>
        </w:rPr>
        <w:t>支付。</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15.2 </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报价为本</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所确定的采购范围内的全部工作内容的价格体现。任何有选</w:t>
      </w:r>
      <w:r>
        <w:rPr>
          <w:rFonts w:hint="eastAsia" w:ascii="宋体" w:hAnsi="宋体" w:eastAsia="宋体" w:cs="宋体"/>
          <w:color w:val="auto"/>
          <w:sz w:val="24"/>
          <w:szCs w:val="24"/>
          <w:highlight w:val="none"/>
        </w:rPr>
        <w:t>择的报价将不予接受（除非采购人另有约定），否则，在评审时将其视为无效响应。</w:t>
      </w:r>
    </w:p>
    <w:p>
      <w:pPr>
        <w:pageBreakBefore w:val="0"/>
        <w:shd w:val="clear" w:color="auto" w:fill="FFFFFF"/>
        <w:kinsoku/>
        <w:wordWrap/>
        <w:overflowPunct/>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15.3 </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价格应包括：价格部分是对</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服务价格构成的说明，每一项服务仅接受一个价格。</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报价包括供应商为实施本项目提供全部服务内容所包括的全部价格的体现。</w:t>
      </w:r>
    </w:p>
    <w:p>
      <w:pPr>
        <w:pageBreakBefore w:val="0"/>
        <w:shd w:val="clear" w:color="auto" w:fill="FFFFFF"/>
        <w:kinsoku/>
        <w:wordWrap/>
        <w:overflowPunct/>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15.3.1</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报价为含税价，应是完成</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及合同条款上所列采购范围及所需的全部服务费用，供应商不得以任何理由予以重复，未列和没有填写的项目费用，视为已考虑在</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总报价中。</w:t>
      </w:r>
    </w:p>
    <w:p>
      <w:pPr>
        <w:pageBreakBefore w:val="0"/>
        <w:shd w:val="clear" w:color="auto" w:fill="FFFFFF"/>
        <w:kinsoku/>
        <w:wordWrap/>
        <w:overflowPunct/>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15.3.2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非本项目要求的其它内容除外）。</w:t>
      </w:r>
    </w:p>
    <w:p>
      <w:pPr>
        <w:pageBreakBefore w:val="0"/>
        <w:shd w:val="clear" w:color="auto" w:fill="FFFFFF"/>
        <w:kinsoku/>
        <w:wordWrap/>
        <w:overflowPunct/>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15.3.3供应商应在《响应文件报价一览表》标明供应商</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报价；在《报价明细表》提供明细报价。</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15.3.4</w:t>
      </w:r>
      <w:r>
        <w:rPr>
          <w:rFonts w:hint="eastAsia" w:ascii="宋体" w:hAnsi="宋体" w:eastAsia="宋体" w:cs="宋体"/>
          <w:b w:val="0"/>
          <w:bCs w:val="0"/>
          <w:color w:val="auto"/>
          <w:kern w:val="0"/>
          <w:sz w:val="24"/>
          <w:szCs w:val="24"/>
          <w:highlight w:val="none"/>
          <w:lang w:val="en-US" w:eastAsia="zh-CN"/>
        </w:rPr>
        <w:t>报价要求：总价报价</w:t>
      </w:r>
    </w:p>
    <w:p>
      <w:pPr>
        <w:pageBreakBefore w:val="0"/>
        <w:shd w:val="clear" w:color="auto" w:fill="FFFFFF"/>
        <w:kinsoku/>
        <w:wordWrap/>
        <w:overflowPunct/>
        <w:bidi w:val="0"/>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15.3.</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本次</w:t>
      </w:r>
      <w:r>
        <w:rPr>
          <w:rFonts w:hint="eastAsia" w:ascii="宋体" w:hAnsi="宋体" w:eastAsia="宋体" w:cs="宋体"/>
          <w:b/>
          <w:bCs/>
          <w:color w:val="auto"/>
          <w:kern w:val="0"/>
          <w:sz w:val="24"/>
          <w:szCs w:val="24"/>
          <w:highlight w:val="none"/>
          <w:lang w:eastAsia="zh-CN"/>
        </w:rPr>
        <w:t>谈判</w:t>
      </w:r>
      <w:r>
        <w:rPr>
          <w:rFonts w:hint="eastAsia" w:ascii="宋体" w:hAnsi="宋体" w:eastAsia="宋体" w:cs="宋体"/>
          <w:b/>
          <w:bCs/>
          <w:color w:val="auto"/>
          <w:kern w:val="0"/>
          <w:sz w:val="24"/>
          <w:szCs w:val="24"/>
          <w:highlight w:val="none"/>
        </w:rPr>
        <w:t>实行两次报价，响应文件中提供的供应商报价为一次报价，在</w:t>
      </w:r>
      <w:r>
        <w:rPr>
          <w:rFonts w:hint="eastAsia" w:ascii="宋体" w:hAnsi="宋体" w:eastAsia="宋体" w:cs="宋体"/>
          <w:b/>
          <w:bCs/>
          <w:color w:val="auto"/>
          <w:kern w:val="0"/>
          <w:sz w:val="24"/>
          <w:szCs w:val="24"/>
          <w:highlight w:val="none"/>
          <w:lang w:eastAsia="zh-CN"/>
        </w:rPr>
        <w:t>谈判</w:t>
      </w:r>
      <w:r>
        <w:rPr>
          <w:rFonts w:hint="eastAsia" w:ascii="宋体" w:hAnsi="宋体" w:eastAsia="宋体" w:cs="宋体"/>
          <w:b/>
          <w:bCs/>
          <w:color w:val="auto"/>
          <w:kern w:val="0"/>
          <w:sz w:val="24"/>
          <w:szCs w:val="24"/>
          <w:highlight w:val="none"/>
        </w:rPr>
        <w:t>小组对各供应商的响应文件进行初步评审（资格评审、符合性评审）后，由</w:t>
      </w:r>
      <w:r>
        <w:rPr>
          <w:rFonts w:hint="eastAsia" w:ascii="宋体" w:hAnsi="宋体" w:eastAsia="宋体" w:cs="宋体"/>
          <w:b/>
          <w:bCs/>
          <w:color w:val="auto"/>
          <w:kern w:val="0"/>
          <w:sz w:val="24"/>
          <w:szCs w:val="24"/>
          <w:highlight w:val="none"/>
          <w:lang w:eastAsia="zh-CN"/>
        </w:rPr>
        <w:t>谈判</w:t>
      </w:r>
      <w:r>
        <w:rPr>
          <w:rFonts w:hint="eastAsia" w:ascii="宋体" w:hAnsi="宋体" w:eastAsia="宋体" w:cs="宋体"/>
          <w:b/>
          <w:bCs/>
          <w:color w:val="auto"/>
          <w:kern w:val="0"/>
          <w:sz w:val="24"/>
          <w:szCs w:val="24"/>
          <w:highlight w:val="none"/>
        </w:rPr>
        <w:t>小组开启二次报价，各供应商须在二次报价开启后按现场通知的时间内进行二次（最后）报价。因供应商自身原因未及时递交二次报价的，其责任由供应商承担。</w:t>
      </w:r>
    </w:p>
    <w:p>
      <w:pPr>
        <w:pageBreakBefore w:val="0"/>
        <w:shd w:val="clear" w:color="auto" w:fill="FFFFFF"/>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提示：</w:t>
      </w:r>
      <w:r>
        <w:rPr>
          <w:rFonts w:hint="eastAsia" w:ascii="宋体" w:hAnsi="宋体" w:eastAsia="宋体" w:cs="宋体"/>
          <w:b/>
          <w:bCs/>
          <w:color w:val="auto"/>
          <w:kern w:val="0"/>
          <w:sz w:val="24"/>
          <w:szCs w:val="24"/>
          <w:highlight w:val="none"/>
          <w:lang w:eastAsia="zh-CN"/>
        </w:rPr>
        <w:t>谈判</w:t>
      </w:r>
      <w:r>
        <w:rPr>
          <w:rFonts w:hint="eastAsia" w:ascii="宋体" w:hAnsi="宋体" w:eastAsia="宋体" w:cs="宋体"/>
          <w:b/>
          <w:bCs/>
          <w:color w:val="auto"/>
          <w:kern w:val="0"/>
          <w:sz w:val="24"/>
          <w:szCs w:val="24"/>
          <w:highlight w:val="none"/>
        </w:rPr>
        <w:t>时，请供应商保持手机畅通；采购代理机构不承担供应商因自身原因未收及时到短信或电话而引起的一切后果和法律责任。</w:t>
      </w:r>
    </w:p>
    <w:p>
      <w:pPr>
        <w:pageBreakBefore w:val="0"/>
        <w:shd w:val="clear" w:color="auto" w:fill="FFFFFF"/>
        <w:kinsoku/>
        <w:wordWrap/>
        <w:overflowPunct/>
        <w:bidi w:val="0"/>
        <w:spacing w:line="360" w:lineRule="auto"/>
        <w:ind w:firstLine="482" w:firstLineChars="200"/>
        <w:jc w:val="left"/>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16.</w:t>
      </w:r>
      <w:r>
        <w:rPr>
          <w:rFonts w:hint="eastAsia" w:ascii="宋体" w:hAnsi="宋体" w:eastAsia="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保证金</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保证金是为了保护采购人和采购代理机构免遭因供应商的违规、违约行为而引起的风险，采购人/代理机构在受到损害时可根据本须知的有关规定没收供应商的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保证金。成交供应商如未能按</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要求与采购人签署项目合同并提交建设履约保证金，视为供应商违约，则采购人有权提取成交供应商</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供应商应提交</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保证金，并作为其响应文件的一部分。</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前附表规定交纳</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保证金的，供应商应按</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前附表规定的要求提交保证金，</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保证金有效期应与</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有效期一致。供应商未按照</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要求提交</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保证金的，</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无效。</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16.3 </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保证金缴纳方式要求见供应商须知前附表。</w:t>
      </w:r>
      <w:r>
        <w:rPr>
          <w:rFonts w:hint="eastAsia" w:ascii="宋体" w:hAnsi="宋体" w:eastAsia="宋体" w:cs="宋体"/>
          <w:b/>
          <w:bCs/>
          <w:color w:val="auto"/>
          <w:kern w:val="0"/>
          <w:sz w:val="24"/>
          <w:szCs w:val="24"/>
          <w:highlight w:val="none"/>
        </w:rPr>
        <w:t>凡未按</w:t>
      </w:r>
      <w:r>
        <w:rPr>
          <w:rFonts w:hint="eastAsia" w:ascii="宋体" w:hAnsi="宋体" w:eastAsia="宋体" w:cs="宋体"/>
          <w:b/>
          <w:bCs/>
          <w:color w:val="auto"/>
          <w:kern w:val="0"/>
          <w:sz w:val="24"/>
          <w:szCs w:val="24"/>
          <w:highlight w:val="none"/>
          <w:lang w:eastAsia="zh-CN"/>
        </w:rPr>
        <w:t>竞争性谈判文件</w:t>
      </w:r>
      <w:r>
        <w:rPr>
          <w:rFonts w:hint="eastAsia" w:ascii="宋体" w:hAnsi="宋体" w:eastAsia="宋体" w:cs="宋体"/>
          <w:b/>
          <w:bCs/>
          <w:color w:val="auto"/>
          <w:kern w:val="0"/>
          <w:sz w:val="24"/>
          <w:szCs w:val="24"/>
          <w:highlight w:val="none"/>
        </w:rPr>
        <w:t>要求提交</w:t>
      </w:r>
      <w:r>
        <w:rPr>
          <w:rFonts w:hint="eastAsia" w:ascii="宋体" w:hAnsi="宋体" w:eastAsia="宋体" w:cs="宋体"/>
          <w:b/>
          <w:bCs/>
          <w:color w:val="auto"/>
          <w:kern w:val="0"/>
          <w:sz w:val="24"/>
          <w:szCs w:val="24"/>
          <w:highlight w:val="none"/>
          <w:lang w:eastAsia="zh-CN"/>
        </w:rPr>
        <w:t>谈判</w:t>
      </w:r>
      <w:r>
        <w:rPr>
          <w:rFonts w:hint="eastAsia" w:ascii="宋体" w:hAnsi="宋体" w:eastAsia="宋体" w:cs="宋体"/>
          <w:b/>
          <w:bCs/>
          <w:color w:val="auto"/>
          <w:kern w:val="0"/>
          <w:sz w:val="24"/>
          <w:szCs w:val="24"/>
          <w:highlight w:val="none"/>
        </w:rPr>
        <w:t>保证金的，将视为非实质性响应性</w:t>
      </w:r>
      <w:r>
        <w:rPr>
          <w:rFonts w:hint="eastAsia" w:ascii="宋体" w:hAnsi="宋体" w:eastAsia="宋体" w:cs="宋体"/>
          <w:b/>
          <w:bCs/>
          <w:color w:val="auto"/>
          <w:kern w:val="0"/>
          <w:sz w:val="24"/>
          <w:szCs w:val="24"/>
          <w:highlight w:val="none"/>
          <w:lang w:eastAsia="zh-CN"/>
        </w:rPr>
        <w:t>谈判</w:t>
      </w:r>
      <w:r>
        <w:rPr>
          <w:rFonts w:hint="eastAsia" w:ascii="宋体" w:hAnsi="宋体" w:eastAsia="宋体" w:cs="宋体"/>
          <w:b/>
          <w:bCs/>
          <w:color w:val="auto"/>
          <w:kern w:val="0"/>
          <w:sz w:val="24"/>
          <w:szCs w:val="24"/>
          <w:highlight w:val="none"/>
        </w:rPr>
        <w:t>文件要求，其响应文件将被拒绝。</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16.4</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接受联合体</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的，可以由联合体中的一方或者共同提交</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保证金。以一方名义提交</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保证金的，对联合体各方均具有约束力。</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16.5 未成交供应商的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保证金，将在《成交通知书》发出5个工作日内退还。因违反规定被没收的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保证金不予退回。</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16.6 成交供应商的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保证金自采购合同签订之日起5个工作日内退还。</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16.7 </w:t>
      </w:r>
      <w:r>
        <w:rPr>
          <w:rFonts w:hint="eastAsia" w:ascii="宋体" w:hAnsi="宋体" w:eastAsia="宋体" w:cs="宋体"/>
          <w:b/>
          <w:color w:val="auto"/>
          <w:kern w:val="0"/>
          <w:sz w:val="24"/>
          <w:szCs w:val="24"/>
          <w:highlight w:val="none"/>
        </w:rPr>
        <w:t>下列任何情况发生时，</w:t>
      </w:r>
      <w:r>
        <w:rPr>
          <w:rFonts w:hint="eastAsia" w:ascii="宋体" w:hAnsi="宋体" w:eastAsia="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保证金将可能被没收：</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16.7.1 供应商在规定的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有效期内撤回其响应文件的；</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16.7.2 成交供应商无正当理由拒绝按规定与采购人签订合同或未能在规定期限内签署合同的或未按</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要求提交履约保证金的；</w:t>
      </w:r>
    </w:p>
    <w:p>
      <w:pPr>
        <w:pageBreakBefore w:val="0"/>
        <w:shd w:val="clear" w:color="auto" w:fill="FFFFFF"/>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16.8 </w:t>
      </w:r>
      <w:r>
        <w:rPr>
          <w:rFonts w:hint="eastAsia" w:ascii="宋体" w:hAnsi="宋体" w:eastAsia="宋体" w:cs="宋体"/>
          <w:b/>
          <w:color w:val="auto"/>
          <w:kern w:val="0"/>
          <w:sz w:val="24"/>
          <w:szCs w:val="24"/>
          <w:highlight w:val="none"/>
        </w:rPr>
        <w:t>供应商办理</w:t>
      </w:r>
      <w:r>
        <w:rPr>
          <w:rFonts w:hint="eastAsia" w:ascii="宋体" w:hAnsi="宋体" w:eastAsia="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保证金退款申请手续须提供以下资料：</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16.8.1供应商须给采购代理机构提供账户信息（单位名称、开户银行名称、银行账号、银行行号）</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16.8.2 成交供应商办理</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保证金退款申请时，除16.8.1项要求外，还须提供与采购人签订的已加盖成交供应商公章的合同全本复印件一份及PDF扫描件一份（代理机构存档备查）。</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特殊说明：成交供应商须自项目验收合格后5个工作日内，将经采购人签章确认的《验收书》原件壹份（及复印件壹份加盖成交供应商公章）提交至采购代理机构。</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lang w:val="zh-CN"/>
        </w:rPr>
      </w:pPr>
      <w:bookmarkStart w:id="144" w:name="_Toc5612"/>
      <w:bookmarkStart w:id="145" w:name="_Toc37090977"/>
      <w:bookmarkStart w:id="146" w:name="_Toc37090641"/>
      <w:r>
        <w:rPr>
          <w:rFonts w:hint="eastAsia" w:ascii="宋体" w:hAnsi="宋体" w:eastAsia="宋体" w:cs="宋体"/>
          <w:b/>
          <w:bCs/>
          <w:color w:val="auto"/>
          <w:sz w:val="24"/>
          <w:szCs w:val="24"/>
          <w:highlight w:val="none"/>
          <w:lang w:val="zh-CN"/>
        </w:rPr>
        <w:t xml:space="preserve">17. </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lang w:val="zh-CN"/>
        </w:rPr>
        <w:t>答疑会和现场踏勘</w:t>
      </w:r>
      <w:bookmarkEnd w:id="144"/>
      <w:bookmarkEnd w:id="145"/>
      <w:bookmarkEnd w:id="146"/>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不组织集中现场踏勘，供应商自行踏勘现场</w:t>
      </w:r>
      <w:r>
        <w:rPr>
          <w:rFonts w:hint="eastAsia" w:ascii="宋体" w:hAnsi="宋体" w:eastAsia="宋体" w:cs="宋体"/>
          <w:b/>
          <w:bCs/>
          <w:color w:val="auto"/>
          <w:sz w:val="24"/>
          <w:szCs w:val="24"/>
          <w:highlight w:val="none"/>
          <w:lang w:val="zh-CN"/>
        </w:rPr>
        <w:t>）</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lang w:val="zh-CN"/>
        </w:rPr>
      </w:pPr>
      <w:bookmarkStart w:id="147" w:name="_Toc37090978"/>
      <w:bookmarkStart w:id="148" w:name="_Toc8947"/>
      <w:bookmarkStart w:id="149" w:name="_Toc37090642"/>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zh-CN"/>
        </w:rPr>
        <w:t xml:space="preserve"> 谈判须知前附表规定组织谈判答疑会和现场踏勘的，采购人按谈判须知前附表规定的时间、地点组织供应商</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lang w:val="zh-CN"/>
        </w:rPr>
        <w:t>答疑会</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踏勘项目现场。</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zh-CN"/>
        </w:rPr>
        <w:t xml:space="preserve"> 供应商踏勘现场发生的费用自理。</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zh-CN"/>
        </w:rPr>
        <w:t xml:space="preserve"> 除采购人的原因外，供应商自行负责在踏勘现场中所发生的人员伤亡和财产损失。</w:t>
      </w:r>
    </w:p>
    <w:p>
      <w:pPr>
        <w:pageBreakBefore w:val="0"/>
        <w:kinsoku/>
        <w:wordWrap/>
        <w:overflowPunct/>
        <w:bidi w:val="0"/>
        <w:spacing w:line="360" w:lineRule="auto"/>
        <w:ind w:firstLine="480"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lang w:val="zh-CN"/>
        </w:rPr>
        <w:t xml:space="preserve"> 采购人在踏勘现场中介绍的工程场地和相关的周边环境情况，供应商在编制响应文件时参考，采购人不对供应商据此作出的判断和决策负责</w:t>
      </w:r>
      <w:r>
        <w:rPr>
          <w:rFonts w:hint="eastAsia" w:ascii="宋体" w:hAnsi="宋体" w:eastAsia="宋体" w:cs="宋体"/>
          <w:b/>
          <w:bCs/>
          <w:color w:val="auto"/>
          <w:sz w:val="24"/>
          <w:szCs w:val="24"/>
          <w:highlight w:val="none"/>
          <w:lang w:val="zh-CN"/>
        </w:rPr>
        <w:t>。</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 xml:space="preserve">18. </w:t>
      </w:r>
      <w:bookmarkEnd w:id="147"/>
      <w:bookmarkEnd w:id="148"/>
      <w:bookmarkEnd w:id="149"/>
      <w:r>
        <w:rPr>
          <w:rFonts w:hint="eastAsia" w:ascii="宋体" w:hAnsi="宋体" w:eastAsia="宋体" w:cs="宋体"/>
          <w:b/>
          <w:bCs/>
          <w:color w:val="auto"/>
          <w:sz w:val="24"/>
          <w:szCs w:val="24"/>
          <w:highlight w:val="none"/>
          <w:lang w:val="zh-CN"/>
        </w:rPr>
        <w:t>谈判有效期</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18.1 </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有效期见本须知前附表所规定的期限，在此期限内，凡符合本</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要求的响应文件均保持有效。</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有效期不足的，在评审时将其视为无效响应。</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 在特殊情况下，采购人在原定的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有效期内，可以根据需要以书面形式向供应商提出延长</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有效期的要求，对此要求供应商须以书面形式予以答复。供应商拒绝延长的，其</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在原</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有效期期届满后将不再有效，但有权收回其</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保证金；同意延长</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有效期的供应商既不能要求也不允许修改或撤回其响应文件。</w:t>
      </w:r>
    </w:p>
    <w:p>
      <w:pPr>
        <w:pageBreakBefore w:val="0"/>
        <w:kinsoku/>
        <w:wordWrap/>
        <w:overflowPunct/>
        <w:bidi w:val="0"/>
        <w:spacing w:before="156" w:beforeLines="50" w:after="156" w:afterLines="50" w:line="360" w:lineRule="auto"/>
        <w:ind w:firstLine="482" w:firstLineChars="200"/>
        <w:jc w:val="left"/>
        <w:rPr>
          <w:rFonts w:hint="eastAsia" w:ascii="宋体" w:hAnsi="宋体" w:eastAsia="宋体" w:cs="宋体"/>
          <w:b/>
          <w:color w:val="auto"/>
          <w:kern w:val="0"/>
          <w:sz w:val="24"/>
          <w:szCs w:val="24"/>
          <w:highlight w:val="none"/>
        </w:rPr>
      </w:pPr>
      <w:bookmarkStart w:id="150" w:name="_Toc25205"/>
      <w:bookmarkStart w:id="151" w:name="_Toc37090643"/>
      <w:bookmarkStart w:id="152" w:name="_Toc37090979"/>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三</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响应文件的编制</w:t>
      </w:r>
      <w:bookmarkEnd w:id="150"/>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lang w:val="zh-CN"/>
        </w:rPr>
      </w:pPr>
      <w:bookmarkStart w:id="153" w:name="_Toc12448"/>
      <w:r>
        <w:rPr>
          <w:rFonts w:hint="eastAsia" w:ascii="宋体" w:hAnsi="宋体" w:eastAsia="宋体" w:cs="宋体"/>
          <w:b/>
          <w:bCs/>
          <w:color w:val="auto"/>
          <w:sz w:val="24"/>
          <w:szCs w:val="24"/>
          <w:highlight w:val="none"/>
          <w:lang w:val="zh-CN"/>
        </w:rPr>
        <w:t>19. 响应文件编制要求</w:t>
      </w:r>
      <w:bookmarkEnd w:id="151"/>
      <w:bookmarkEnd w:id="152"/>
      <w:bookmarkEnd w:id="153"/>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19.1供应商提交的响应文件及供应商与采购代理机构就有关</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的所有来往函电均使用中文。</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lang w:val="zh-CN"/>
        </w:rPr>
      </w:pPr>
      <w:bookmarkStart w:id="154" w:name="_Toc37090644"/>
      <w:bookmarkStart w:id="155" w:name="_Toc37090980"/>
      <w:bookmarkStart w:id="156" w:name="_Toc7871"/>
      <w:r>
        <w:rPr>
          <w:rFonts w:hint="eastAsia" w:ascii="宋体" w:hAnsi="宋体" w:eastAsia="宋体" w:cs="宋体"/>
          <w:b/>
          <w:bCs/>
          <w:color w:val="auto"/>
          <w:sz w:val="24"/>
          <w:szCs w:val="24"/>
          <w:highlight w:val="none"/>
          <w:lang w:val="zh-CN"/>
        </w:rPr>
        <w:t>20. 响应文件编制的依据</w:t>
      </w:r>
      <w:bookmarkEnd w:id="154"/>
      <w:bookmarkEnd w:id="155"/>
      <w:bookmarkEnd w:id="156"/>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 采购人提供的采购需求及有关资料；</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 本</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及</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的修改或者澄清；</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 相关的法律、法规和规定。</w:t>
      </w:r>
    </w:p>
    <w:p>
      <w:pPr>
        <w:pageBreakBefore w:val="0"/>
        <w:shd w:val="clear" w:color="auto" w:fill="FFFFFF"/>
        <w:kinsoku/>
        <w:wordWrap/>
        <w:overflowPunct/>
        <w:bidi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21. 响应文件的组成：响应书、资格证明文件、商务部分、技术部分。</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lang w:val="zh-CN"/>
        </w:rPr>
      </w:pPr>
      <w:bookmarkStart w:id="157" w:name="_Toc37090981"/>
      <w:bookmarkStart w:id="158" w:name="_Toc37090645"/>
      <w:bookmarkStart w:id="159" w:name="_Toc3695"/>
      <w:r>
        <w:rPr>
          <w:rFonts w:hint="eastAsia" w:ascii="宋体" w:hAnsi="宋体" w:eastAsia="宋体" w:cs="宋体"/>
          <w:b/>
          <w:bCs/>
          <w:color w:val="auto"/>
          <w:sz w:val="24"/>
          <w:szCs w:val="24"/>
          <w:highlight w:val="none"/>
          <w:lang w:val="zh-CN"/>
        </w:rPr>
        <w:t>22. 响应文件的编制及格式</w:t>
      </w:r>
      <w:bookmarkEnd w:id="157"/>
      <w:bookmarkEnd w:id="158"/>
      <w:bookmarkEnd w:id="159"/>
    </w:p>
    <w:p>
      <w:pPr>
        <w:pageBreakBefore w:val="0"/>
        <w:shd w:val="clear" w:color="auto" w:fill="FFFFFF"/>
        <w:kinsoku/>
        <w:wordWrap/>
        <w:overflowPunct/>
        <w:bidi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22.1 供应商提供的响应文件应按照本须知第21条规定的内容编制，供应商在响应文件中必须提供有关材料，如果缺项，或不符合要求，将导致响应文件无效。</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22.2供应商提供的响应文件应当使用</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所提供响应文件格式（表格可按照同样格式扩展），并保证所提供的资料的真实性。未提供格式的，供应商可自行编制。</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规定的响应文件编制中所需提交的证明材料须加盖供应商电子公章，且内容须清晰可辩</w:t>
      </w:r>
      <w:r>
        <w:rPr>
          <w:rFonts w:hint="eastAsia" w:ascii="宋体" w:hAnsi="宋体" w:eastAsia="宋体" w:cs="宋体"/>
          <w:b/>
          <w:color w:val="auto"/>
          <w:sz w:val="24"/>
          <w:szCs w:val="24"/>
          <w:highlight w:val="none"/>
        </w:rPr>
        <w:t>。</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22.4 响应文件严禁涂改或行间插字和增删。除非这些修改是根据采购人的指示进行的，或者是供应商造成的必须修改的错误，</w:t>
      </w:r>
      <w:r>
        <w:rPr>
          <w:rFonts w:hint="eastAsia" w:ascii="宋体" w:hAnsi="宋体" w:eastAsia="宋体" w:cs="宋体"/>
          <w:color w:val="auto"/>
          <w:sz w:val="24"/>
          <w:szCs w:val="24"/>
          <w:highlight w:val="none"/>
        </w:rPr>
        <w:t>必要的修改处必须有供应商法人代表或其授权代表人签字。</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22.5 </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中分标段的，</w:t>
      </w:r>
      <w:r>
        <w:rPr>
          <w:rFonts w:hint="eastAsia" w:ascii="宋体" w:hAnsi="宋体" w:eastAsia="宋体" w:cs="宋体"/>
          <w:color w:val="auto"/>
          <w:sz w:val="24"/>
          <w:szCs w:val="24"/>
          <w:highlight w:val="none"/>
          <w:lang w:val="zh-CN"/>
        </w:rPr>
        <w:t>供应商须针对本单位所响应段分别编制响应文件并单独提交。</w:t>
      </w:r>
      <w:r>
        <w:rPr>
          <w:rFonts w:hint="eastAsia" w:ascii="宋体" w:hAnsi="宋体" w:eastAsia="宋体" w:cs="宋体"/>
          <w:color w:val="auto"/>
          <w:sz w:val="24"/>
          <w:szCs w:val="24"/>
          <w:highlight w:val="none"/>
        </w:rPr>
        <w:t>供应商应当按照</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的要求编制响应文件。响应文件应当对</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提出的要求和条件作出明确响应。</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22.6响应文件制作时，按照</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中明确的响应文件目录和格式进行编制，保证目录清晰、内容完整。操作方法详见本须知前附表第24项。</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22.7响应文件须使用供应商公章以及法定代表人或被授权人的签名或签章。</w:t>
      </w:r>
      <w:r>
        <w:rPr>
          <w:rFonts w:hint="eastAsia" w:ascii="宋体" w:hAnsi="宋体" w:eastAsia="宋体" w:cs="宋体"/>
          <w:b/>
          <w:bCs/>
          <w:color w:val="auto"/>
          <w:sz w:val="24"/>
          <w:szCs w:val="24"/>
          <w:highlight w:val="none"/>
        </w:rPr>
        <w:t>若无签章/签名</w:t>
      </w:r>
      <w:r>
        <w:rPr>
          <w:rFonts w:hint="eastAsia" w:ascii="宋体" w:hAnsi="宋体" w:eastAsia="宋体" w:cs="宋体"/>
          <w:color w:val="auto"/>
          <w:sz w:val="24"/>
          <w:szCs w:val="24"/>
          <w:highlight w:val="none"/>
        </w:rPr>
        <w:t>，则视为无效响应。</w:t>
      </w:r>
    </w:p>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22.8响应文件具有法律效力，与其他形式的招响应文件在内容和格式上等同，若响应文件与</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要求不一致，其内容影响成交结果时，责任由供应商自行承担。</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lang w:val="zh-CN"/>
        </w:rPr>
      </w:pPr>
      <w:bookmarkStart w:id="160" w:name="_Toc1377"/>
      <w:bookmarkStart w:id="161" w:name="_Toc37090982"/>
      <w:bookmarkStart w:id="162" w:name="_Toc37090646"/>
      <w:r>
        <w:rPr>
          <w:rFonts w:hint="eastAsia" w:ascii="宋体" w:hAnsi="宋体" w:eastAsia="宋体" w:cs="宋体"/>
          <w:b/>
          <w:bCs/>
          <w:color w:val="auto"/>
          <w:sz w:val="24"/>
          <w:szCs w:val="24"/>
          <w:highlight w:val="none"/>
          <w:lang w:val="zh-CN"/>
        </w:rPr>
        <w:t>23. 响应文件的份数和签署</w:t>
      </w:r>
      <w:bookmarkEnd w:id="160"/>
      <w:bookmarkEnd w:id="161"/>
      <w:bookmarkEnd w:id="162"/>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23.1 响应文件正本1份，副本2份，电子版U盘1份，并单独密封完好。响应文件电子版要求包含响应文件全部内容，响应文件电子版与纸质版文件不一致时以纸质版正本文件为准，凡进入开标、唱标程序的响应文件概不退还。</w:t>
      </w:r>
    </w:p>
    <w:p>
      <w:pPr>
        <w:pStyle w:val="43"/>
        <w:pageBreakBefore w:val="0"/>
        <w:kinsoku/>
        <w:wordWrap/>
        <w:overflowPunct/>
        <w:bidi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 响应文件的递交</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lang w:val="zh-CN"/>
        </w:rPr>
      </w:pPr>
      <w:bookmarkStart w:id="163" w:name="_Toc37090984"/>
      <w:bookmarkStart w:id="164" w:name="_Toc37090648"/>
      <w:bookmarkStart w:id="165" w:name="_Toc12789"/>
      <w:r>
        <w:rPr>
          <w:rFonts w:hint="eastAsia" w:ascii="宋体" w:hAnsi="宋体" w:eastAsia="宋体" w:cs="宋体"/>
          <w:b/>
          <w:bCs/>
          <w:color w:val="auto"/>
          <w:sz w:val="24"/>
          <w:szCs w:val="24"/>
          <w:highlight w:val="none"/>
        </w:rPr>
        <w:t>24</w:t>
      </w:r>
      <w:r>
        <w:rPr>
          <w:rFonts w:hint="eastAsia" w:ascii="宋体" w:hAnsi="宋体" w:eastAsia="宋体" w:cs="宋体"/>
          <w:b/>
          <w:bCs/>
          <w:color w:val="auto"/>
          <w:sz w:val="24"/>
          <w:szCs w:val="24"/>
          <w:highlight w:val="none"/>
          <w:lang w:val="zh-CN"/>
        </w:rPr>
        <w:t>. 响应文件的提交</w:t>
      </w:r>
      <w:bookmarkEnd w:id="163"/>
      <w:bookmarkEnd w:id="164"/>
      <w:bookmarkEnd w:id="165"/>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bookmarkStart w:id="166" w:name="_Toc37090649"/>
      <w:bookmarkStart w:id="167" w:name="_Toc37090985"/>
      <w:r>
        <w:rPr>
          <w:rFonts w:hint="eastAsia" w:ascii="宋体" w:hAnsi="宋体" w:eastAsia="宋体" w:cs="宋体"/>
          <w:color w:val="auto"/>
          <w:kern w:val="0"/>
          <w:sz w:val="24"/>
          <w:szCs w:val="24"/>
          <w:highlight w:val="none"/>
        </w:rPr>
        <w:t>24.1供应商应当按照本须知前附表第6项规定的响应文件递交截止时间前递交纸质文件到指定地点。</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68" w:name="_Toc21786"/>
      <w:r>
        <w:rPr>
          <w:rFonts w:hint="eastAsia" w:ascii="宋体" w:hAnsi="宋体" w:eastAsia="宋体" w:cs="宋体"/>
          <w:b/>
          <w:bCs/>
          <w:color w:val="auto"/>
          <w:sz w:val="24"/>
          <w:szCs w:val="24"/>
          <w:highlight w:val="none"/>
        </w:rPr>
        <w:t>25. 响应文件提交的截止时间</w:t>
      </w:r>
      <w:bookmarkEnd w:id="166"/>
      <w:bookmarkEnd w:id="167"/>
      <w:bookmarkEnd w:id="168"/>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25.1 响应文件提交的截止时间详见本供应商须知前附表规定。</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25.2 采购人可按本须知第14条规定以修改补充通知的方式，酌情延长提交</w:t>
      </w:r>
      <w:r>
        <w:rPr>
          <w:rFonts w:hint="eastAsia" w:ascii="宋体" w:hAnsi="宋体" w:eastAsia="宋体" w:cs="宋体"/>
          <w:color w:val="auto"/>
          <w:kern w:val="0"/>
          <w:sz w:val="24"/>
          <w:szCs w:val="24"/>
          <w:highlight w:val="none"/>
          <w:lang w:val="en-US" w:eastAsia="zh-CN"/>
        </w:rPr>
        <w:t>响应文件</w:t>
      </w:r>
      <w:r>
        <w:rPr>
          <w:rFonts w:hint="eastAsia" w:ascii="宋体" w:hAnsi="宋体" w:eastAsia="宋体" w:cs="宋体"/>
          <w:color w:val="auto"/>
          <w:kern w:val="0"/>
          <w:sz w:val="24"/>
          <w:szCs w:val="24"/>
          <w:highlight w:val="none"/>
        </w:rPr>
        <w:t>的截止时间。在上述情况下，采购人与供应商在原响应文件递交截止时间前的全部权力和义务，将适用于延长后新的响应文件递交截止时间。</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25.3 截至响应文件递交截止时间，采购人收到的响应文件少于3个的，采购人将依法重新组织采购活动。评审过程中有效供应商少于3个的，应终止评审，由采购人依法重新组织采购活动，政府购买服务项目（含政府和社会资本合作项目），在采购过程中符合要求的供应商（社会资本）只有2家的，竞争性</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采购活动可以继续进行。</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69" w:name="_Toc12863"/>
      <w:bookmarkStart w:id="170" w:name="_Toc37090650"/>
      <w:bookmarkStart w:id="171" w:name="_Toc37090986"/>
      <w:r>
        <w:rPr>
          <w:rFonts w:hint="eastAsia" w:ascii="宋体" w:hAnsi="宋体" w:eastAsia="宋体" w:cs="宋体"/>
          <w:b/>
          <w:bCs/>
          <w:color w:val="auto"/>
          <w:sz w:val="24"/>
          <w:szCs w:val="24"/>
          <w:highlight w:val="none"/>
        </w:rPr>
        <w:t>26. 迟交的</w:t>
      </w:r>
      <w:bookmarkEnd w:id="169"/>
      <w:bookmarkEnd w:id="170"/>
      <w:bookmarkEnd w:id="171"/>
      <w:r>
        <w:rPr>
          <w:rFonts w:hint="eastAsia" w:ascii="宋体" w:hAnsi="宋体" w:eastAsia="宋体" w:cs="宋体"/>
          <w:b/>
          <w:bCs/>
          <w:color w:val="auto"/>
          <w:sz w:val="24"/>
          <w:szCs w:val="24"/>
          <w:highlight w:val="none"/>
        </w:rPr>
        <w:t>响应文件</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供应商在本供应商须知前附表规定的响应文件递交截止时间以后送达的响应文件，采购人对于逾期未递交的响应文件不予受理。</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72" w:name="_Toc30465"/>
      <w:r>
        <w:rPr>
          <w:rFonts w:hint="eastAsia" w:ascii="宋体" w:hAnsi="宋体" w:eastAsia="宋体" w:cs="宋体"/>
          <w:b/>
          <w:bCs/>
          <w:color w:val="auto"/>
          <w:sz w:val="24"/>
          <w:szCs w:val="24"/>
          <w:highlight w:val="none"/>
        </w:rPr>
        <w:t>27. 响应文件的补充、修改与撤回</w:t>
      </w:r>
      <w:bookmarkEnd w:id="172"/>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 供应商在供应商须知前附表规定的响应文件递交截止时间之前，须书面通知采购人及采购代理撤回响应文件，将修改好的响应文件在响应文件递交截止时间前重新递交。</w:t>
      </w:r>
    </w:p>
    <w:p>
      <w:pPr>
        <w:pageBreakBefore w:val="0"/>
        <w:shd w:val="clear" w:color="auto" w:fill="FFFFFF"/>
        <w:kinsoku/>
        <w:wordWrap/>
        <w:overflowPunct/>
        <w:bidi w:val="0"/>
        <w:spacing w:before="156" w:beforeLines="50" w:after="156" w:afterLines="50" w:line="360" w:lineRule="auto"/>
        <w:ind w:firstLine="482" w:firstLineChars="200"/>
        <w:jc w:val="left"/>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（五） 开标/</w:t>
      </w:r>
      <w:r>
        <w:rPr>
          <w:rFonts w:hint="eastAsia" w:ascii="宋体" w:hAnsi="宋体" w:eastAsia="宋体" w:cs="宋体"/>
          <w:b/>
          <w:color w:val="auto"/>
          <w:kern w:val="0"/>
          <w:sz w:val="24"/>
          <w:szCs w:val="24"/>
          <w:highlight w:val="none"/>
          <w:lang w:eastAsia="zh-CN"/>
        </w:rPr>
        <w:t>谈判</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lang w:eastAsia="zh-CN"/>
        </w:rPr>
      </w:pPr>
      <w:bookmarkStart w:id="173" w:name="_Toc28893"/>
      <w:bookmarkStart w:id="174" w:name="_Toc37090988"/>
      <w:bookmarkStart w:id="175" w:name="_Toc37090652"/>
      <w:r>
        <w:rPr>
          <w:rFonts w:hint="eastAsia" w:ascii="宋体" w:hAnsi="宋体" w:eastAsia="宋体" w:cs="宋体"/>
          <w:b/>
          <w:bCs/>
          <w:color w:val="auto"/>
          <w:sz w:val="24"/>
          <w:szCs w:val="24"/>
          <w:highlight w:val="none"/>
        </w:rPr>
        <w:t>28.</w:t>
      </w:r>
      <w:bookmarkEnd w:id="173"/>
      <w:r>
        <w:rPr>
          <w:rFonts w:hint="eastAsia" w:ascii="宋体" w:hAnsi="宋体" w:eastAsia="宋体" w:cs="宋体"/>
          <w:b/>
          <w:bCs/>
          <w:color w:val="auto"/>
          <w:sz w:val="24"/>
          <w:szCs w:val="24"/>
          <w:highlight w:val="none"/>
        </w:rPr>
        <w:t>开标/</w:t>
      </w:r>
      <w:r>
        <w:rPr>
          <w:rFonts w:hint="eastAsia" w:ascii="宋体" w:hAnsi="宋体" w:eastAsia="宋体" w:cs="宋体"/>
          <w:b/>
          <w:bCs/>
          <w:color w:val="auto"/>
          <w:sz w:val="24"/>
          <w:szCs w:val="24"/>
          <w:highlight w:val="none"/>
          <w:lang w:eastAsia="zh-CN"/>
        </w:rPr>
        <w:t>谈判</w:t>
      </w:r>
    </w:p>
    <w:bookmarkEnd w:id="174"/>
    <w:bookmarkEnd w:id="175"/>
    <w:p>
      <w:pPr>
        <w:pStyle w:val="4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采购人在本文件规定的递交响应文件的截止时间和供应商须知前附表规定的地点公开开启响应文件,并邀请所有供应商准时参加。</w:t>
      </w:r>
    </w:p>
    <w:p>
      <w:pPr>
        <w:pageBreakBefore w:val="0"/>
        <w:shd w:val="clear" w:color="auto" w:fill="FFFFFF"/>
        <w:kinsoku/>
        <w:wordWrap/>
        <w:overflowPunct/>
        <w:bidi w:val="0"/>
        <w:spacing w:before="156" w:beforeLines="50" w:after="156" w:afterLines="50"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（七） </w:t>
      </w:r>
      <w:r>
        <w:rPr>
          <w:rFonts w:hint="eastAsia" w:ascii="宋体" w:hAnsi="宋体" w:eastAsia="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小组与评审</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29.评审工作由采购人依法组建的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小组负责。</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小组的名单在评审结果公告前应当保密。</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 本项目</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人组成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采购人代表0-1人</w:t>
      </w:r>
      <w:r>
        <w:rPr>
          <w:rFonts w:hint="eastAsia" w:ascii="宋体" w:hAnsi="宋体" w:eastAsia="宋体" w:cs="宋体"/>
          <w:color w:val="auto"/>
          <w:kern w:val="0"/>
          <w:sz w:val="24"/>
          <w:szCs w:val="24"/>
          <w:highlight w:val="none"/>
        </w:rPr>
        <w:t>。</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29.2参与过本项目的论证专家不得作为评审专家参加评审，采购人不得以专家身份参与评审。</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29.3 </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小组主任由</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小组成员推举产生，并与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小组其他成员有同等的权利和义务。采购人代表不得担任</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小组组长。</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29.4 </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小组成员应当客观、公正地履行职责，遵守职业道德，对所提出的评审意见承担个人责任。</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29.5 </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小组根据</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确定的评比标准和方法，对响应文件进行系统地评审和比较。</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中没有规定的标准和方法不得作为评审的依据。</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29.6在评审过程中，</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小组发现有证据表明供应商以他人的名义</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、串通</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、以行贿手段谋取成交或者以其他弄虚作假方式参加</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的，该供应商的响应文件作无效处理。并在评审报告中说明。</w:t>
      </w:r>
    </w:p>
    <w:p>
      <w:pPr>
        <w:pageBreakBefore w:val="0"/>
        <w:shd w:val="clear" w:color="auto" w:fill="FFFFFF"/>
        <w:kinsoku/>
        <w:wordWrap/>
        <w:overflowPunct/>
        <w:bidi w:val="0"/>
        <w:spacing w:before="156" w:beforeLines="50" w:after="156" w:afterLines="50"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 授予合同</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76" w:name="_Toc30338"/>
      <w:bookmarkStart w:id="177" w:name="_Toc37090997"/>
      <w:bookmarkStart w:id="178" w:name="_Toc37090661"/>
      <w:r>
        <w:rPr>
          <w:rFonts w:hint="eastAsia" w:ascii="宋体" w:hAnsi="宋体" w:eastAsia="宋体" w:cs="宋体"/>
          <w:b/>
          <w:bCs/>
          <w:color w:val="auto"/>
          <w:sz w:val="24"/>
          <w:szCs w:val="24"/>
          <w:highlight w:val="none"/>
        </w:rPr>
        <w:t>30. 确定</w:t>
      </w:r>
      <w:bookmarkEnd w:id="176"/>
      <w:bookmarkEnd w:id="177"/>
      <w:bookmarkEnd w:id="178"/>
      <w:r>
        <w:rPr>
          <w:rFonts w:hint="eastAsia" w:ascii="宋体" w:hAnsi="宋体" w:eastAsia="宋体" w:cs="宋体"/>
          <w:b/>
          <w:bCs/>
          <w:color w:val="auto"/>
          <w:sz w:val="24"/>
          <w:szCs w:val="24"/>
          <w:highlight w:val="none"/>
        </w:rPr>
        <w:t>成交供应商</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 成交的标准</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30.1.1响应文件满足</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全部实质性要求；</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30.1.2 具有良好的履行合同的能力和条件；</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30.1.3 能够最大限度满足</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的各项要求；</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 采购人将确定资格合格的成交候选人为成交供应商。</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79" w:name="_Toc37090662"/>
      <w:bookmarkStart w:id="180" w:name="_Toc8758"/>
      <w:bookmarkStart w:id="181" w:name="_Toc37090998"/>
      <w:r>
        <w:rPr>
          <w:rFonts w:hint="eastAsia" w:ascii="宋体" w:hAnsi="宋体" w:eastAsia="宋体" w:cs="宋体"/>
          <w:b/>
          <w:bCs/>
          <w:color w:val="auto"/>
          <w:sz w:val="24"/>
          <w:szCs w:val="24"/>
          <w:highlight w:val="none"/>
        </w:rPr>
        <w:t>31. 授予合同的准则</w:t>
      </w:r>
      <w:bookmarkEnd w:id="179"/>
      <w:bookmarkEnd w:id="180"/>
      <w:bookmarkEnd w:id="181"/>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 采购人将把合同授予经确认的成交供应商。</w:t>
      </w:r>
    </w:p>
    <w:p>
      <w:pPr>
        <w:pageBreakBefore w:val="0"/>
        <w:shd w:val="clear" w:color="auto" w:fill="FFFFFF"/>
        <w:kinsoku/>
        <w:wordWrap/>
        <w:overflowPunct/>
        <w:bidi w:val="0"/>
        <w:spacing w:before="156" w:beforeLines="50" w:after="156" w:afterLines="50" w:line="360" w:lineRule="auto"/>
        <w:ind w:firstLine="482" w:firstLineChars="200"/>
        <w:jc w:val="left"/>
        <w:rPr>
          <w:rFonts w:hint="eastAsia" w:ascii="宋体" w:hAnsi="宋体" w:eastAsia="宋体" w:cs="宋体"/>
          <w:b/>
          <w:color w:val="auto"/>
          <w:kern w:val="0"/>
          <w:sz w:val="24"/>
          <w:szCs w:val="24"/>
          <w:highlight w:val="none"/>
        </w:rPr>
      </w:pPr>
      <w:bookmarkStart w:id="182" w:name="_Toc37090663"/>
      <w:bookmarkStart w:id="183" w:name="_Toc16518"/>
      <w:bookmarkStart w:id="184" w:name="_Toc37090999"/>
      <w:r>
        <w:rPr>
          <w:rFonts w:hint="eastAsia" w:ascii="宋体" w:hAnsi="宋体" w:eastAsia="宋体" w:cs="宋体"/>
          <w:b/>
          <w:color w:val="auto"/>
          <w:kern w:val="0"/>
          <w:sz w:val="24"/>
          <w:szCs w:val="24"/>
          <w:highlight w:val="none"/>
        </w:rPr>
        <w:t>（九） 成交通知书</w:t>
      </w:r>
      <w:bookmarkEnd w:id="182"/>
      <w:bookmarkEnd w:id="183"/>
      <w:bookmarkEnd w:id="184"/>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32.成交通知书</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32.1采购人依据</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小组推荐的成交候选人</w:t>
      </w:r>
      <w:r>
        <w:rPr>
          <w:rFonts w:hint="eastAsia" w:ascii="宋体" w:hAnsi="宋体" w:eastAsia="宋体" w:cs="宋体"/>
          <w:color w:val="auto"/>
          <w:kern w:val="0"/>
          <w:sz w:val="24"/>
          <w:szCs w:val="24"/>
          <w:highlight w:val="none"/>
          <w:lang w:val="en-US" w:eastAsia="zh-CN"/>
        </w:rPr>
        <w:t>确定</w:t>
      </w:r>
      <w:r>
        <w:rPr>
          <w:rFonts w:hint="eastAsia" w:ascii="宋体" w:hAnsi="宋体" w:eastAsia="宋体" w:cs="宋体"/>
          <w:color w:val="auto"/>
          <w:kern w:val="0"/>
          <w:sz w:val="24"/>
          <w:szCs w:val="24"/>
          <w:highlight w:val="none"/>
        </w:rPr>
        <w:t>成交供应商后，将</w:t>
      </w:r>
      <w:r>
        <w:rPr>
          <w:rFonts w:hint="eastAsia" w:ascii="宋体" w:hAnsi="宋体" w:eastAsia="宋体" w:cs="宋体"/>
          <w:color w:val="auto"/>
          <w:sz w:val="24"/>
          <w:szCs w:val="24"/>
          <w:highlight w:val="none"/>
        </w:rPr>
        <w:t>对成交结果公示1工作日，同时向成交供应商发出《成交通知书》。</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32.2《成交通知书》对成交供应商和成交供应商具有法律约束力。《成交通知书》发出后，采购人不得违法改变成交结果，成交供应商无正当理由不得放弃成交。</w:t>
      </w:r>
    </w:p>
    <w:p>
      <w:pPr>
        <w:pageBreakBefore w:val="0"/>
        <w:shd w:val="clear" w:color="auto" w:fill="FFFFFF"/>
        <w:kinsoku/>
        <w:wordWrap/>
        <w:overflowPunct/>
        <w:bidi w:val="0"/>
        <w:spacing w:before="156" w:beforeLines="50" w:after="156" w:afterLines="50" w:line="360" w:lineRule="auto"/>
        <w:ind w:firstLine="482" w:firstLineChars="200"/>
        <w:jc w:val="left"/>
        <w:rPr>
          <w:rFonts w:hint="eastAsia" w:ascii="宋体" w:hAnsi="宋体" w:eastAsia="宋体" w:cs="宋体"/>
          <w:b/>
          <w:color w:val="auto"/>
          <w:kern w:val="0"/>
          <w:sz w:val="24"/>
          <w:szCs w:val="24"/>
          <w:highlight w:val="none"/>
        </w:rPr>
      </w:pPr>
      <w:bookmarkStart w:id="185" w:name="_Toc17984"/>
      <w:bookmarkStart w:id="186" w:name="_Toc37091000"/>
      <w:bookmarkStart w:id="187" w:name="_Toc37090664"/>
      <w:r>
        <w:rPr>
          <w:rFonts w:hint="eastAsia" w:ascii="宋体" w:hAnsi="宋体" w:eastAsia="宋体" w:cs="宋体"/>
          <w:b/>
          <w:color w:val="auto"/>
          <w:kern w:val="0"/>
          <w:sz w:val="24"/>
          <w:szCs w:val="24"/>
          <w:highlight w:val="none"/>
        </w:rPr>
        <w:t>（九）合同的签订</w:t>
      </w:r>
      <w:bookmarkEnd w:id="185"/>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88" w:name="_Toc1090"/>
      <w:r>
        <w:rPr>
          <w:rFonts w:hint="eastAsia" w:ascii="宋体" w:hAnsi="宋体" w:eastAsia="宋体" w:cs="宋体"/>
          <w:b/>
          <w:bCs/>
          <w:color w:val="auto"/>
          <w:sz w:val="24"/>
          <w:szCs w:val="24"/>
          <w:highlight w:val="none"/>
        </w:rPr>
        <w:t>33. 合同的签订</w:t>
      </w:r>
      <w:bookmarkEnd w:id="186"/>
      <w:bookmarkEnd w:id="187"/>
      <w:bookmarkEnd w:id="188"/>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33.1采购人应当自《成交通知书》发出之日起</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日内，按照</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和成交供应商响应文件的规定，与成交供应商签订书面合同。所签订的合同不得对</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确定的事项和成交供应商响应文件作实质性修改。</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33.2 </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要求成交供应商提交履约保证金或者其他形式履约担保的，成交供应商应当提交；拒绝提交的，视为放弃成交项目。</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33.3 </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和成交供应商的响应文件均是该书面合同的附件。</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33.4 成交供应商因不可抗力或自身原因不能履行采购合同的，采购人可以与排位在成交供应商之后第一位的成交候选人签订采购合同，以此类推。或采购人重新组织采购活动。</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33.5 政府采购项目的采购合同自签订之日起七个工作日内，采购人应当将合同副本报同级政府采购监督管理部门和有关部门备案。</w:t>
      </w:r>
    </w:p>
    <w:p>
      <w:pPr>
        <w:pageBreakBefore w:val="0"/>
        <w:shd w:val="clear" w:color="auto" w:fill="FFFFFF"/>
        <w:kinsoku/>
        <w:wordWrap/>
        <w:overflowPunct/>
        <w:bidi w:val="0"/>
        <w:spacing w:before="156" w:beforeLines="50" w:after="156" w:afterLines="50"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（十）买方授标时更改采购服务数量的权利</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34.采购人在授予合同时有权按“供应商须知前附表”第17项约定的内容对采购需求中规定物资数量予以局部增加或减少，但不得实质性内容做任何改变，对增减的数量按同类型成交服务价结算。</w:t>
      </w:r>
    </w:p>
    <w:p>
      <w:pPr>
        <w:pageBreakBefore w:val="0"/>
        <w:shd w:val="clear" w:color="auto" w:fill="FFFFFF"/>
        <w:kinsoku/>
        <w:wordWrap/>
        <w:overflowPunct/>
        <w:bidi w:val="0"/>
        <w:spacing w:before="156" w:beforeLines="50" w:after="156" w:afterLines="50"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（十一）质疑与投诉</w:t>
      </w:r>
    </w:p>
    <w:p>
      <w:pPr>
        <w:pageBreakBefore w:val="0"/>
        <w:shd w:val="clear" w:color="auto" w:fill="FFFFFF"/>
        <w:kinsoku/>
        <w:wordWrap/>
        <w:overflowPunct/>
        <w:bidi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35.质疑与投诉</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35.1供应商认为</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采购过程、成交或者成交结果使自己的权益受到损害的，可以在知道或者应知其权益受到损害之日起七个工作日内，向采购人、采购代理机构提出质疑。供应商须在法定质疑期内一次性提出针对同一采购程序环节的质疑。</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35.2质疑函的必备内容</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35.2.1供应商提交的质疑函必须注明单位名称、地址、邮编、可供查询的单位和法定代表人的电话号码、联系人电话；</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35.2.2质疑项目的名称、编号；</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35.2.3具体质疑事项和与质疑事项相关的请求；</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35.2.4事实依据；</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35.2.5提起质疑的日期；</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35.2.6质疑函须加盖单位公章，由法定代表人签章。</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35.2.7委托代理人递交质疑函的，还须提交委托质疑事项的授权委托书（附法定代表人和被授权人的身份证正反面），加盖单位公章和法定代表人签章和被授权人签字，同时出示被授权人身份证。</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35.3质疑应符合下列条件：</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35.3.1质疑人是参与所质疑项目的采购活动的供应商；</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35.3.2质疑函内容符合相关的规定；</w:t>
      </w:r>
    </w:p>
    <w:p>
      <w:pPr>
        <w:pageBreakBefore w:val="0"/>
        <w:shd w:val="clear" w:color="auto" w:fill="FFFFFF"/>
        <w:tabs>
          <w:tab w:val="left" w:pos="929"/>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35.3.3在规定的有效期限内提起质疑；</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35.3.4</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监管部门规定的其他条件。</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35.4采购人在收到供应商的书面质疑后七个工作日内作出答复，并以书面形式通知质疑供应商和其他有关供应商，但答复的内容不涉及商业秘密。作出答复前，将暂停采购活动。</w:t>
      </w:r>
    </w:p>
    <w:p>
      <w:pPr>
        <w:pageBreakBefore w:val="0"/>
        <w:shd w:val="clear" w:color="auto" w:fill="FFFFFF"/>
        <w:kinsoku/>
        <w:wordWrap/>
        <w:overflowPunct/>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35.5提出质疑的供应商对答复不满意的，可以在答复期满后十五个工作日内向同级政府采购监督管理部门投诉。政府采购监督管理部门应当在收到投诉三十个工作日内，对投诉事项作出处理决定，并以书面形式通知投诉人和与投诉事项相关的当事人。</w:t>
      </w:r>
    </w:p>
    <w:p>
      <w:pPr>
        <w:pageBreakBefore w:val="0"/>
        <w:shd w:val="clear" w:color="auto" w:fill="FFFFFF"/>
        <w:kinsoku/>
        <w:wordWrap/>
        <w:overflowPunct/>
        <w:bidi w:val="0"/>
        <w:spacing w:before="156" w:beforeLines="50" w:after="156" w:afterLines="50" w:line="360" w:lineRule="auto"/>
        <w:ind w:firstLine="482" w:firstLineChars="200"/>
        <w:jc w:val="left"/>
        <w:rPr>
          <w:rFonts w:hint="eastAsia" w:ascii="宋体" w:hAnsi="宋体" w:eastAsia="宋体" w:cs="宋体"/>
          <w:b/>
          <w:color w:val="auto"/>
          <w:kern w:val="0"/>
          <w:sz w:val="24"/>
          <w:szCs w:val="24"/>
          <w:highlight w:val="none"/>
        </w:rPr>
      </w:pPr>
      <w:bookmarkStart w:id="189" w:name="_Toc37091001"/>
      <w:bookmarkStart w:id="190" w:name="_Toc37090665"/>
      <w:r>
        <w:rPr>
          <w:rFonts w:hint="eastAsia" w:ascii="宋体" w:hAnsi="宋体" w:eastAsia="宋体" w:cs="宋体"/>
          <w:b/>
          <w:color w:val="auto"/>
          <w:kern w:val="0"/>
          <w:sz w:val="24"/>
          <w:szCs w:val="24"/>
          <w:highlight w:val="none"/>
        </w:rPr>
        <w:t>（十二）履约担保（本项目不适用）</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91" w:name="_Toc18714"/>
      <w:r>
        <w:rPr>
          <w:rFonts w:hint="eastAsia" w:ascii="宋体" w:hAnsi="宋体" w:eastAsia="宋体" w:cs="宋体"/>
          <w:b/>
          <w:bCs/>
          <w:color w:val="auto"/>
          <w:sz w:val="24"/>
          <w:szCs w:val="24"/>
          <w:highlight w:val="none"/>
        </w:rPr>
        <w:t>36. 履约担保</w:t>
      </w:r>
      <w:bookmarkEnd w:id="189"/>
      <w:bookmarkEnd w:id="190"/>
      <w:bookmarkEnd w:id="191"/>
    </w:p>
    <w:p>
      <w:pPr>
        <w:pageBreakBefore w:val="0"/>
        <w:shd w:val="clear" w:color="auto" w:fill="FFFFFF"/>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成交供应商须在与采购人签署合同前按</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有关要求提交履约担保。成交供应商应按照下列规定的方式和金额向采购人提交履约担保。</w:t>
      </w:r>
    </w:p>
    <w:p>
      <w:pPr>
        <w:pageBreakBefore w:val="0"/>
        <w:shd w:val="clear" w:color="auto" w:fill="FFFFFF"/>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bookmarkStart w:id="192" w:name="_Toc30886"/>
      <w:bookmarkStart w:id="193" w:name="_Toc37091002"/>
      <w:bookmarkStart w:id="194" w:name="_Toc37090666"/>
      <w:r>
        <w:rPr>
          <w:rFonts w:hint="eastAsia" w:ascii="宋体" w:hAnsi="宋体" w:eastAsia="宋体" w:cs="宋体"/>
          <w:color w:val="auto"/>
          <w:sz w:val="24"/>
          <w:szCs w:val="24"/>
          <w:highlight w:val="none"/>
        </w:rPr>
        <w:t>36.2 履约担保采用下列</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方式</w:t>
      </w:r>
      <w:bookmarkEnd w:id="192"/>
      <w:bookmarkEnd w:id="193"/>
      <w:bookmarkEnd w:id="194"/>
    </w:p>
    <w:p>
      <w:pPr>
        <w:pageBreakBefore w:val="0"/>
        <w:shd w:val="clear" w:color="auto" w:fill="FFFFFF"/>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36.2.1 履约保证金担保方式：</w:t>
      </w:r>
      <w:r>
        <w:rPr>
          <w:rFonts w:hint="eastAsia" w:ascii="宋体" w:hAnsi="宋体" w:eastAsia="宋体" w:cs="宋体"/>
          <w:color w:val="auto"/>
          <w:sz w:val="24"/>
          <w:szCs w:val="24"/>
          <w:highlight w:val="none"/>
          <w:u w:val="single"/>
        </w:rPr>
        <w:t xml:space="preserve"> /</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 银行汇票；2） 支票；</w:t>
      </w:r>
      <w:r>
        <w:rPr>
          <w:rFonts w:hint="eastAsia" w:ascii="宋体" w:hAnsi="宋体" w:eastAsia="宋体" w:cs="宋体"/>
          <w:color w:val="auto"/>
          <w:kern w:val="0"/>
          <w:sz w:val="24"/>
          <w:szCs w:val="24"/>
          <w:highlight w:val="none"/>
        </w:rPr>
        <w:t>3）银行转账；4）担保公司担保；</w:t>
      </w:r>
      <w:r>
        <w:rPr>
          <w:rFonts w:hint="eastAsia" w:ascii="宋体" w:hAnsi="宋体" w:eastAsia="宋体" w:cs="宋体"/>
          <w:color w:val="auto"/>
          <w:sz w:val="24"/>
          <w:szCs w:val="24"/>
          <w:highlight w:val="none"/>
        </w:rPr>
        <w:t>5）采购人与供应商协商确定的其他担保方式。</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36.2.3 如成交供应商不能按照供应商须知第35条的规定执行，采购人将视为成交供应商放弃成交项目；已经订立合同的，采购人有充分理由解除合同，给采购人造成损失的，放弃成交项目的成交供应商应当赔偿。</w:t>
      </w:r>
    </w:p>
    <w:p>
      <w:pPr>
        <w:pageBreakBefore w:val="0"/>
        <w:shd w:val="clear" w:color="auto" w:fill="FFFFFF"/>
        <w:kinsoku/>
        <w:wordWrap/>
        <w:overflowPunct/>
        <w:bidi w:val="0"/>
        <w:spacing w:before="156" w:beforeLines="50" w:after="156" w:afterLines="50" w:line="360" w:lineRule="auto"/>
        <w:ind w:firstLine="482" w:firstLineChars="200"/>
        <w:jc w:val="left"/>
        <w:rPr>
          <w:rFonts w:hint="eastAsia" w:ascii="宋体" w:hAnsi="宋体" w:eastAsia="宋体" w:cs="宋体"/>
          <w:b/>
          <w:color w:val="auto"/>
          <w:kern w:val="0"/>
          <w:sz w:val="24"/>
          <w:szCs w:val="24"/>
          <w:highlight w:val="none"/>
        </w:rPr>
      </w:pPr>
      <w:bookmarkStart w:id="195" w:name="_Toc228180139"/>
      <w:r>
        <w:rPr>
          <w:rFonts w:hint="eastAsia" w:ascii="宋体" w:hAnsi="宋体" w:eastAsia="宋体" w:cs="宋体"/>
          <w:b/>
          <w:color w:val="auto"/>
          <w:kern w:val="0"/>
          <w:sz w:val="24"/>
          <w:szCs w:val="24"/>
          <w:highlight w:val="none"/>
        </w:rPr>
        <w:t>（十三）其他</w:t>
      </w:r>
    </w:p>
    <w:p>
      <w:pPr>
        <w:pageBreakBefore w:val="0"/>
        <w:shd w:val="clear" w:color="auto" w:fill="FFFFFF"/>
        <w:kinsoku/>
        <w:wordWrap/>
        <w:overflowPunct/>
        <w:bidi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37.</w:t>
      </w:r>
      <w:bookmarkEnd w:id="195"/>
      <w:r>
        <w:rPr>
          <w:rFonts w:hint="eastAsia" w:ascii="宋体" w:hAnsi="宋体" w:eastAsia="宋体" w:cs="宋体"/>
          <w:b/>
          <w:color w:val="auto"/>
          <w:kern w:val="0"/>
          <w:sz w:val="24"/>
          <w:szCs w:val="24"/>
          <w:highlight w:val="none"/>
        </w:rPr>
        <w:t>成交服务费</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37.1 成交供应商应按本</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的规定，在领取成交通知书时向采购代理机构一次性支付成交服务费。其计算标准和方法</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金额为基准，</w:t>
      </w:r>
      <w:r>
        <w:rPr>
          <w:rFonts w:hint="eastAsia" w:ascii="宋体" w:hAnsi="宋体" w:eastAsia="宋体" w:cs="宋体"/>
          <w:color w:val="auto"/>
          <w:sz w:val="24"/>
          <w:szCs w:val="24"/>
          <w:highlight w:val="none"/>
          <w:lang w:val="en-US" w:eastAsia="zh-CN"/>
        </w:rPr>
        <w:t>按供应商须知前附表中规定的方法计取，</w:t>
      </w:r>
      <w:r>
        <w:rPr>
          <w:rFonts w:hint="eastAsia" w:ascii="宋体" w:hAnsi="宋体" w:eastAsia="宋体" w:cs="宋体"/>
          <w:color w:val="auto"/>
          <w:sz w:val="24"/>
          <w:szCs w:val="24"/>
          <w:highlight w:val="none"/>
        </w:rPr>
        <w:t>不足5000按5000计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由成交单位支付</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w:t>
      </w:r>
      <w:r>
        <w:rPr>
          <w:rFonts w:hint="eastAsia" w:ascii="宋体" w:hAnsi="宋体" w:eastAsia="宋体" w:cs="宋体"/>
          <w:color w:val="auto"/>
          <w:kern w:val="0"/>
          <w:sz w:val="24"/>
          <w:szCs w:val="24"/>
          <w:highlight w:val="none"/>
        </w:rPr>
        <w:t>；</w:t>
      </w:r>
    </w:p>
    <w:p>
      <w:pPr>
        <w:pageBreakBefore w:val="0"/>
        <w:shd w:val="clear" w:color="auto" w:fill="FFFFFF"/>
        <w:kinsoku/>
        <w:wordWrap/>
        <w:overflowPunct/>
        <w:bidi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37.2 成交服务费的计算基数是成交供应商成交总金额，即成交通知书中载明的成交金额。如需要开具增值税专用发票，供应商请提供增值税专用发票开票信息（需加盖财务专用章）。</w:t>
      </w:r>
    </w:p>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196" w:name="_Toc37090668"/>
      <w:bookmarkStart w:id="197" w:name="_Toc37091004"/>
      <w:bookmarkStart w:id="198" w:name="_Toc16311"/>
      <w:r>
        <w:rPr>
          <w:rFonts w:hint="eastAsia" w:ascii="宋体" w:hAnsi="宋体" w:eastAsia="宋体" w:cs="宋体"/>
          <w:b/>
          <w:bCs/>
          <w:color w:val="auto"/>
          <w:sz w:val="24"/>
          <w:szCs w:val="24"/>
          <w:highlight w:val="none"/>
        </w:rPr>
        <w:t xml:space="preserve">38. </w:t>
      </w:r>
      <w:bookmarkEnd w:id="196"/>
      <w:bookmarkEnd w:id="197"/>
      <w:r>
        <w:rPr>
          <w:rFonts w:hint="eastAsia" w:ascii="宋体" w:hAnsi="宋体" w:eastAsia="宋体" w:cs="宋体"/>
          <w:b/>
          <w:bCs/>
          <w:color w:val="auto"/>
          <w:sz w:val="24"/>
          <w:szCs w:val="24"/>
          <w:highlight w:val="none"/>
          <w:lang w:eastAsia="zh-CN"/>
        </w:rPr>
        <w:t>竞争性谈判文件</w:t>
      </w:r>
      <w:r>
        <w:rPr>
          <w:rFonts w:hint="eastAsia" w:ascii="宋体" w:hAnsi="宋体" w:eastAsia="宋体" w:cs="宋体"/>
          <w:b/>
          <w:bCs/>
          <w:color w:val="auto"/>
          <w:sz w:val="24"/>
          <w:szCs w:val="24"/>
          <w:highlight w:val="none"/>
        </w:rPr>
        <w:t>的解释权</w:t>
      </w:r>
      <w:bookmarkEnd w:id="198"/>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是根据《中华人民共和国政府采购法》及其实施条例（658号令）及《政府采购非招标采购方式管理办法》（财政部第74号令）的规定编制，解释权属中招国际招标有限公司。</w:t>
      </w:r>
    </w:p>
    <w:p>
      <w:pPr>
        <w:pStyle w:val="42"/>
        <w:keepNext w:val="0"/>
        <w:keepLines w:val="0"/>
        <w:pageBreakBefore w:val="0"/>
        <w:numPr>
          <w:ilvl w:val="0"/>
          <w:numId w:val="0"/>
        </w:numPr>
        <w:kinsoku/>
        <w:wordWrap/>
        <w:overflowPunct/>
        <w:topLinePunct w:val="0"/>
        <w:autoSpaceDE/>
        <w:autoSpaceDN/>
        <w:bidi w:val="0"/>
        <w:adjustRightInd/>
        <w:snapToGrid/>
        <w:spacing w:line="360" w:lineRule="auto"/>
        <w:ind w:firstLine="506" w:firstLineChars="200"/>
        <w:jc w:val="left"/>
        <w:textAlignment w:val="auto"/>
        <w:outlineLvl w:val="0"/>
        <w:rPr>
          <w:rFonts w:hint="eastAsia" w:ascii="宋体" w:hAnsi="宋体" w:eastAsia="宋体" w:cs="宋体"/>
          <w:color w:val="auto"/>
          <w:spacing w:val="6"/>
          <w:sz w:val="24"/>
          <w:szCs w:val="24"/>
          <w:highlight w:val="none"/>
          <w:lang w:val="en-US" w:eastAsia="zh-CN"/>
        </w:rPr>
        <w:sectPr>
          <w:pgSz w:w="11906" w:h="16838"/>
          <w:pgMar w:top="2098" w:right="1474" w:bottom="1984" w:left="1587" w:header="851" w:footer="752" w:gutter="0"/>
          <w:pgBorders>
            <w:top w:val="none" w:sz="0" w:space="0"/>
            <w:left w:val="none" w:sz="0" w:space="0"/>
            <w:bottom w:val="none" w:sz="0" w:space="0"/>
            <w:right w:val="none" w:sz="0" w:space="0"/>
          </w:pgBorders>
          <w:cols w:space="720" w:num="1"/>
          <w:formProt w:val="0"/>
          <w:rtlGutter w:val="0"/>
          <w:docGrid w:type="lines" w:linePitch="312" w:charSpace="0"/>
        </w:sectPr>
      </w:pPr>
    </w:p>
    <w:p>
      <w:pPr>
        <w:keepNext w:val="0"/>
        <w:keepLines w:val="0"/>
        <w:pageBreakBefore w:val="0"/>
        <w:widowControl/>
        <w:suppressAutoHyphens w:val="0"/>
        <w:kinsoku/>
        <w:wordWrap/>
        <w:overflowPunct/>
        <w:topLinePunct w:val="0"/>
        <w:autoSpaceDE/>
        <w:autoSpaceDN/>
        <w:bidi w:val="0"/>
        <w:spacing w:line="360" w:lineRule="auto"/>
        <w:ind w:firstLine="482" w:firstLineChars="200"/>
        <w:jc w:val="center"/>
        <w:textAlignment w:val="auto"/>
        <w:outlineLvl w:val="0"/>
        <w:rPr>
          <w:rFonts w:hint="eastAsia" w:ascii="宋体" w:hAnsi="宋体" w:eastAsia="宋体" w:cs="宋体"/>
          <w:b/>
          <w:bCs/>
          <w:color w:val="auto"/>
          <w:kern w:val="44"/>
          <w:sz w:val="24"/>
          <w:szCs w:val="24"/>
          <w:highlight w:val="none"/>
          <w:lang w:val="en-US" w:eastAsia="zh-CN" w:bidi="ar-SA"/>
        </w:rPr>
      </w:pPr>
      <w:bookmarkStart w:id="199" w:name="_Toc1569"/>
      <w:r>
        <w:rPr>
          <w:rFonts w:hint="eastAsia" w:ascii="宋体" w:hAnsi="宋体" w:eastAsia="宋体" w:cs="宋体"/>
          <w:b/>
          <w:bCs/>
          <w:color w:val="auto"/>
          <w:kern w:val="44"/>
          <w:sz w:val="24"/>
          <w:szCs w:val="24"/>
          <w:highlight w:val="none"/>
          <w:lang w:val="en-US" w:eastAsia="zh-CN" w:bidi="ar-SA"/>
        </w:rPr>
        <w:t>第三章</w:t>
      </w:r>
      <w:bookmarkStart w:id="200" w:name="_Toc14275"/>
      <w:r>
        <w:rPr>
          <w:rFonts w:hint="eastAsia" w:ascii="宋体" w:hAnsi="宋体" w:eastAsia="宋体" w:cs="宋体"/>
          <w:b/>
          <w:bCs/>
          <w:color w:val="auto"/>
          <w:kern w:val="44"/>
          <w:sz w:val="24"/>
          <w:szCs w:val="24"/>
          <w:highlight w:val="none"/>
          <w:lang w:val="en-US" w:eastAsia="zh-CN" w:bidi="ar-SA"/>
        </w:rPr>
        <w:t xml:space="preserve"> 采购需求</w:t>
      </w:r>
      <w:bookmarkEnd w:id="199"/>
      <w:bookmarkEnd w:id="200"/>
    </w:p>
    <w:p>
      <w:pPr>
        <w:pageBreakBefore w:val="0"/>
        <w:kinsoku/>
        <w:wordWrap/>
        <w:overflowPunct/>
        <w:bidi w:val="0"/>
        <w:spacing w:line="360" w:lineRule="auto"/>
        <w:ind w:firstLine="480" w:firstLineChars="200"/>
        <w:jc w:val="left"/>
        <w:rPr>
          <w:rFonts w:hint="eastAsia" w:ascii="宋体" w:hAnsi="宋体" w:eastAsia="宋体" w:cs="宋体"/>
          <w:sz w:val="24"/>
          <w:szCs w:val="24"/>
          <w:highlight w:val="none"/>
        </w:rPr>
      </w:pPr>
    </w:p>
    <w:p>
      <w:pPr>
        <w:keepNext w:val="0"/>
        <w:keepLines w:val="0"/>
        <w:pageBreakBefore w:val="0"/>
        <w:numPr>
          <w:ilvl w:val="0"/>
          <w:numId w:val="6"/>
        </w:numPr>
        <w:kinsoku/>
        <w:wordWrap/>
        <w:overflowPunct/>
        <w:topLinePunct w:val="0"/>
        <w:autoSpaceDE/>
        <w:autoSpaceDN/>
        <w:bidi w:val="0"/>
        <w:adjustRightInd/>
        <w:snapToGrid/>
        <w:spacing w:line="360" w:lineRule="auto"/>
        <w:ind w:left="6" w:leftChars="0" w:hanging="6" w:firstLineChars="0"/>
        <w:jc w:val="left"/>
        <w:textAlignment w:val="auto"/>
        <w:rPr>
          <w:rFonts w:hint="eastAsia" w:ascii="宋体" w:hAnsi="宋体" w:eastAsia="宋体" w:cs="宋体"/>
          <w:color w:val="auto"/>
          <w:kern w:val="0"/>
          <w:sz w:val="24"/>
          <w:szCs w:val="24"/>
          <w:highlight w:val="none"/>
          <w:lang w:eastAsia="zh-CN"/>
        </w:rPr>
      </w:pPr>
      <w:bookmarkStart w:id="201" w:name="_Toc18530"/>
      <w:r>
        <w:rPr>
          <w:rFonts w:hint="eastAsia" w:ascii="宋体" w:hAnsi="宋体" w:eastAsia="宋体" w:cs="宋体"/>
          <w:color w:val="auto"/>
          <w:kern w:val="0"/>
          <w:sz w:val="24"/>
          <w:szCs w:val="24"/>
          <w:highlight w:val="none"/>
          <w:lang w:val="en-US" w:eastAsia="zh-CN"/>
        </w:rPr>
        <w:t>服务内容</w:t>
      </w:r>
      <w:r>
        <w:rPr>
          <w:rFonts w:hint="eastAsia" w:ascii="宋体" w:hAnsi="宋体" w:eastAsia="宋体" w:cs="宋体"/>
          <w:color w:val="auto"/>
          <w:kern w:val="0"/>
          <w:sz w:val="24"/>
          <w:szCs w:val="24"/>
          <w:highlight w:val="none"/>
          <w:lang w:eastAsia="zh-CN"/>
        </w:rPr>
        <w:t>包含但不限于以下内容：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70" w:firstLineChars="196"/>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自项目立项至工程审计结束，确定项目全过程跟踪审计计划、执行全过程跟踪审计程序、获取全过程跟踪审计证据、得出全过程跟踪审计结论，包含工程结算审查、全过程造价审核等，并出具审计报告。</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6" w:leftChars="0" w:hanging="6"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二、服务期限：合同签订之日起至项目工程审计结束。</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6" w:leftChars="0" w:hanging="6"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三、服务地点：按采购人要求。</w:t>
      </w:r>
    </w:p>
    <w:p>
      <w:pPr>
        <w:pStyle w:val="2"/>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四、工作内容：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6" w:leftChars="0" w:hanging="6"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1、内控工作</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17" w:leftChars="8" w:firstLine="451" w:firstLineChars="188"/>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包括工程项目设计概算，工程进度款跟踪，主要材料、大型设备选购定价的确认，工程变更、签证，索赔洽商费用。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6" w:leftChars="0" w:hanging="6"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2、工程结算</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17" w:leftChars="8" w:firstLine="451" w:firstLineChars="188"/>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对工程结算进行编制、审核，出具工程结算审核报告。重点审查各单项工程工程量的计算、定额的套用及有关费用的计取是否准确；对合同履行、工程索赔款、设备和材料价格等方面的把控。</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6" w:leftChars="0" w:hanging="6"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3、审计依据：</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17" w:leftChars="8" w:firstLine="451" w:firstLineChars="188"/>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国家、地方政府现行定额、工程量计算方法、取费标准及相关造价文件等；</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17" w:leftChars="8" w:firstLine="451" w:firstLineChars="188"/>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国家法律、法规以及国务院有关部门和本工程项目所在省、市颁发的法规和规章制度；</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17" w:leftChars="8" w:firstLine="451" w:firstLineChars="188"/>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采购人与各承包商签订的合同，招标文件，施工图纸，招标澄清答疑及有关会议纪要文件，工程变更签证等有效文件；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6" w:leftChars="0" w:hanging="6" w:firstLineChars="0"/>
        <w:jc w:val="left"/>
        <w:textAlignment w:val="auto"/>
        <w:rPr>
          <w:rFonts w:hint="eastAsia" w:ascii="宋体" w:hAnsi="宋体" w:eastAsia="宋体" w:cs="宋体"/>
          <w:color w:val="auto"/>
          <w:kern w:val="0"/>
          <w:sz w:val="24"/>
          <w:szCs w:val="24"/>
          <w:highlight w:val="none"/>
          <w:lang w:val="en-US" w:eastAsia="zh-CN"/>
        </w:rPr>
      </w:pPr>
      <w:bookmarkStart w:id="202" w:name="_Toc6102"/>
      <w:bookmarkStart w:id="203" w:name="_Toc24551"/>
      <w:bookmarkStart w:id="204" w:name="_Toc7216"/>
      <w:bookmarkStart w:id="205" w:name="_Toc5019"/>
      <w:r>
        <w:rPr>
          <w:rFonts w:hint="eastAsia" w:ascii="宋体" w:hAnsi="宋体" w:eastAsia="宋体" w:cs="宋体"/>
          <w:color w:val="auto"/>
          <w:kern w:val="0"/>
          <w:sz w:val="24"/>
          <w:szCs w:val="24"/>
          <w:highlight w:val="none"/>
          <w:lang w:val="en-US" w:eastAsia="zh-CN"/>
        </w:rPr>
        <w:t>3、竣工结算审计工作程序</w:t>
      </w:r>
      <w:bookmarkEnd w:id="202"/>
      <w:bookmarkEnd w:id="203"/>
      <w:bookmarkEnd w:id="204"/>
      <w:bookmarkEnd w:id="205"/>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6" w:leftChars="0" w:hanging="6"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3.1零星工程的结算：</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17" w:leftChars="8" w:firstLine="400" w:firstLineChars="167"/>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施工单位按时完整的报送结算书及相关竣工图纸、洽商等资料给采购人，采购人收集整理并确认齐全后，移交给造价咨询团队，并办理资料交接手续，确认送审项目及送审金额等。造价咨询团队将审核后的结算造价与采购人、施工单位达成一致意见后，签定结算审核定案表，出具最终审核报告交采购人。</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6" w:leftChars="0" w:hanging="6"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3.2总、分包工程结算：</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工程完工后，由采购人将所有施工单位（总、分包）报送的结算资料收集整理并确认齐全后，移交给造价咨询团队，并办理资料交接手续，确认送审项目及送审金额等；</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审计中，造价咨询团队认为需要施工单位或相关部门提供补充资料时，列出资料清单交由采购人统一安排专人负责资料的收集和交接工作；</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在采购人的组织协调下，造价咨询团队与施工单位进行核对工作，就完工结算中的工程量、定额子目的套用、材料价格的确定等问题，与施工单位交换意见，确认工程造价；</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于不能达成一致的技术问题，采用现场勘查、咨询定额编制部门等方法，予以确认；对于不能达成一致的原则问题，如结算原则、对合同条款有歧义等，由采购人负责组织相关的沟通协调，形成会议纪要，必要时按合同约定报上级主管部门予以协调确认；</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造价咨询团队出具审核定案表，采购人、施工单位和审计单位三方签字盖章予以确认并出具《竣工结算审计报告》。</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6" w:leftChars="0" w:hanging="6"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 审核服务期：</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合同签订生效之日起至整个项目竣工验收合格、工程结算审计完成并出具完整审计报告，移交全部审计资料至采购人，并经采购人验收通过为止。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6" w:leftChars="0" w:hanging="6"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 审计验收会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全过程造价咨询工作全部完成时，供应商提交全部工作底稿（纸质版及电子版），同时采购人将组织召开项目验收会，评价供应商的审计工作开展情况及取得的效果。</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6" w:leftChars="0" w:hanging="6"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3.4造价咨询质量管理措施及要求</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坚持“独立、客观、公正”工作原则，严守职业操守和商业秘密，主动、严肃认真地做好全过程造价咨询工作，并达到行业标准。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经常性深入施工现场，及时发现现场发生的问题，处理变更、签证引起的造价确定、分析和建议，并形成详细的过程记录。</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选派技术能力强、经验丰富的专业人员组成造价咨询团队，责任到人，密切配合业主工作，每月定期开展项目工作（可根据具体施工情况进行调整，但须采购人书面批准）。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现场项目负责人必须是注册造价工程师（通过国家注册造价工程师考试并完成注册）。工程高峰期，按工程咨询工作的需要量增加适量人员。</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标书中确定的现场项目负责人和其他人员，一经中标不得随意更换，遇特殊情况需更换人员的，须告知委托方并保证新成员的资历与原成员相当，经委托方书面同意方可换人。</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建立定期举行的工作例会制度，工程实施过程中，参与业主组织的专题会议，对经济洽商、工程进度款支付、工程索赔等提供审计意见或咨询意见，对采购人的结论给予专业意见。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按周、月或施工阶段向采购人提交过程造价咨询工作情况报告。如遇重大事项或潜在风险，需及时与采购人沟通。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执行全面质量闭环管理工作方针，做到工作有目标、有重点、有方法，责任到人，整改落实到位。通过全过程、全范围的工作达到造价合理、质量合格、保障工期的目标。</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严格保密制度及信守廉政公约。严格按照采购人要求加强保密工作，不向无关人员透露与该工程有关的任何情况。供应商工作人员不得接受与此工程有关任何人或事的串连、邀请、接触等事项，保障工程顺利建设完成和采购人正当权益不受侵害。</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auto"/>
          <w:kern w:val="0"/>
          <w:sz w:val="24"/>
          <w:szCs w:val="24"/>
          <w:highlight w:val="none"/>
          <w:lang w:val="en-US" w:eastAsia="zh-CN"/>
        </w:rPr>
      </w:pPr>
    </w:p>
    <w:p>
      <w:pPr>
        <w:pStyle w:val="29"/>
        <w:pageBreakBefore w:val="0"/>
        <w:kinsoku/>
        <w:overflowPunct/>
        <w:bidi w:val="0"/>
        <w:spacing w:line="360" w:lineRule="auto"/>
        <w:ind w:left="6" w:leftChars="0" w:hanging="6" w:firstLineChars="0"/>
        <w:jc w:val="left"/>
        <w:rPr>
          <w:rFonts w:hint="eastAsia" w:ascii="宋体" w:hAnsi="宋体" w:eastAsia="宋体" w:cs="宋体"/>
          <w:color w:val="auto"/>
          <w:kern w:val="0"/>
          <w:sz w:val="24"/>
          <w:szCs w:val="24"/>
          <w:highlight w:val="none"/>
          <w:lang w:val="en-US" w:eastAsia="zh-CN"/>
        </w:rPr>
      </w:pPr>
    </w:p>
    <w:p>
      <w:pPr>
        <w:pageBreakBefore w:val="0"/>
        <w:kinsoku/>
        <w:overflowPunct/>
        <w:bidi w:val="0"/>
        <w:spacing w:line="360" w:lineRule="auto"/>
        <w:ind w:firstLine="482" w:firstLineChars="200"/>
        <w:jc w:val="left"/>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br w:type="page"/>
      </w:r>
    </w:p>
    <w:p>
      <w:pPr>
        <w:keepNext w:val="0"/>
        <w:keepLines w:val="0"/>
        <w:pageBreakBefore w:val="0"/>
        <w:widowControl/>
        <w:suppressAutoHyphens w:val="0"/>
        <w:kinsoku/>
        <w:wordWrap/>
        <w:overflowPunct/>
        <w:topLinePunct w:val="0"/>
        <w:autoSpaceDE/>
        <w:autoSpaceDN/>
        <w:bidi w:val="0"/>
        <w:spacing w:line="360" w:lineRule="auto"/>
        <w:ind w:firstLine="482" w:firstLineChars="200"/>
        <w:jc w:val="center"/>
        <w:textAlignment w:val="auto"/>
        <w:outlineLvl w:val="0"/>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第四章 合同条款</w:t>
      </w:r>
      <w:bookmarkEnd w:id="201"/>
    </w:p>
    <w:p>
      <w:pPr>
        <w:pStyle w:val="44"/>
        <w:keepNext w:val="0"/>
        <w:keepLines w:val="0"/>
        <w:pageBreakBefore w:val="0"/>
        <w:kinsoku/>
        <w:wordWrap/>
        <w:overflowPunct/>
        <w:topLinePunct w:val="0"/>
        <w:autoSpaceDE/>
        <w:autoSpaceDN/>
        <w:bidi w:val="0"/>
        <w:spacing w:line="360" w:lineRule="auto"/>
        <w:ind w:right="840" w:firstLine="482" w:firstLineChars="200"/>
        <w:jc w:val="left"/>
        <w:textAlignment w:val="auto"/>
        <w:rPr>
          <w:rFonts w:hint="eastAsia" w:ascii="宋体" w:hAnsi="宋体" w:eastAsia="宋体" w:cs="宋体"/>
          <w:b/>
          <w:bCs/>
          <w:color w:val="auto"/>
          <w:sz w:val="24"/>
          <w:szCs w:val="24"/>
          <w:highlight w:val="none"/>
          <w:lang w:eastAsia="zh-CN"/>
        </w:rPr>
      </w:pPr>
      <w:bookmarkStart w:id="206" w:name="EB549d73658a6846bf944104fe82e48c66"/>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此合同为范本合同，具体以采购人与成交人签订得合同为准</w:t>
      </w:r>
      <w:r>
        <w:rPr>
          <w:rFonts w:hint="eastAsia" w:ascii="宋体" w:hAnsi="宋体" w:eastAsia="宋体" w:cs="宋体"/>
          <w:b/>
          <w:bCs/>
          <w:color w:val="auto"/>
          <w:sz w:val="24"/>
          <w:szCs w:val="24"/>
          <w:highlight w:val="none"/>
          <w:lang w:eastAsia="zh-CN"/>
        </w:rPr>
        <w:t>）</w:t>
      </w: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bookmarkStart w:id="207" w:name="EBaf472e5f0eff4fe99b244de3813e586c"/>
    </w:p>
    <w:bookmarkEnd w:id="206"/>
    <w:bookmarkEnd w:id="207"/>
    <w:p>
      <w:pPr>
        <w:rPr>
          <w:rFonts w:ascii="Times New Roman" w:hAnsi="Times New Roman" w:eastAsia="华文中宋"/>
          <w:b/>
          <w:sz w:val="52"/>
          <w:szCs w:val="52"/>
        </w:rPr>
      </w:pPr>
      <w:bookmarkStart w:id="208" w:name="_Toc32436"/>
      <w:r>
        <w:rPr>
          <w:rFonts w:hint="eastAsia" w:ascii="Times New Roman" w:hAnsi="Times New Roman" w:eastAsia="仿宋_GB2312"/>
          <w:bCs/>
          <w:sz w:val="30"/>
          <w:szCs w:val="30"/>
        </w:rPr>
        <w:t>GF—2015—0212</w:t>
      </w:r>
    </w:p>
    <w:p>
      <w:pPr>
        <w:ind w:firstLine="5760" w:firstLineChars="1800"/>
        <w:rPr>
          <w:sz w:val="32"/>
          <w:szCs w:val="32"/>
        </w:rPr>
      </w:pPr>
      <w:r>
        <w:rPr>
          <w:rFonts w:hint="eastAsia"/>
          <w:sz w:val="32"/>
          <w:szCs w:val="32"/>
        </w:rPr>
        <w:t xml:space="preserve">合同编号：_________          </w:t>
      </w:r>
    </w:p>
    <w:p>
      <w:r>
        <w:br w:type="textWrapping"/>
      </w:r>
      <w:r>
        <w:br w:type="textWrapping"/>
      </w:r>
    </w:p>
    <w:p/>
    <w:p/>
    <w:p/>
    <w:p/>
    <w:p>
      <w:pPr>
        <w:spacing w:line="360" w:lineRule="auto"/>
        <w:jc w:val="center"/>
        <w:outlineLvl w:val="1"/>
        <w:rPr>
          <w:b/>
          <w:sz w:val="52"/>
          <w:szCs w:val="52"/>
        </w:rPr>
      </w:pPr>
      <w:bookmarkStart w:id="209" w:name="_Toc21727"/>
      <w:bookmarkStart w:id="210" w:name="_Toc3792"/>
      <w:bookmarkStart w:id="211" w:name="_Toc15261"/>
      <w:r>
        <w:rPr>
          <w:b/>
          <w:sz w:val="72"/>
          <w:szCs w:val="72"/>
        </w:rPr>
        <w:t>建设工程造价咨询合同</w:t>
      </w:r>
      <w:r>
        <w:br w:type="textWrapping"/>
      </w:r>
      <w:r>
        <w:rPr>
          <w:b/>
          <w:sz w:val="52"/>
          <w:szCs w:val="52"/>
        </w:rPr>
        <w:t>（示范文本）</w:t>
      </w:r>
      <w:r>
        <w:rPr>
          <w:b/>
          <w:sz w:val="52"/>
          <w:szCs w:val="52"/>
        </w:rPr>
        <w:br w:type="textWrapping"/>
      </w:r>
      <w:bookmarkEnd w:id="209"/>
      <w:bookmarkEnd w:id="210"/>
      <w:bookmarkEnd w:id="211"/>
    </w:p>
    <w:p>
      <w:pPr>
        <w:pStyle w:val="89"/>
        <w:jc w:val="center"/>
        <w:rPr>
          <w:b w:val="0"/>
          <w:smallCaps w:val="0"/>
          <w:color w:val="auto"/>
          <w:sz w:val="32"/>
          <w:szCs w:val="32"/>
          <w:lang w:val="en-US" w:eastAsia="zh-CN"/>
        </w:rPr>
      </w:pPr>
    </w:p>
    <w:p>
      <w:pPr>
        <w:pStyle w:val="89"/>
        <w:jc w:val="center"/>
        <w:rPr>
          <w:color w:val="auto"/>
        </w:rPr>
      </w:pPr>
    </w:p>
    <w:p>
      <w:pPr>
        <w:pStyle w:val="89"/>
        <w:jc w:val="center"/>
        <w:rPr>
          <w:color w:val="auto"/>
        </w:rPr>
      </w:pPr>
    </w:p>
    <w:p>
      <w:pPr>
        <w:pStyle w:val="89"/>
        <w:jc w:val="center"/>
        <w:rPr>
          <w:color w:val="auto"/>
        </w:rPr>
      </w:pPr>
    </w:p>
    <w:p>
      <w:pPr>
        <w:pStyle w:val="89"/>
        <w:jc w:val="center"/>
        <w:rPr>
          <w:color w:val="auto"/>
        </w:rPr>
      </w:pPr>
    </w:p>
    <w:p>
      <w:pPr>
        <w:pStyle w:val="89"/>
        <w:rPr>
          <w:color w:val="auto"/>
          <w:sz w:val="32"/>
          <w:szCs w:val="32"/>
        </w:rPr>
      </w:pPr>
      <w:r>
        <w:rPr>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3761105</wp:posOffset>
                </wp:positionH>
                <wp:positionV relativeFrom="paragraph">
                  <wp:posOffset>267970</wp:posOffset>
                </wp:positionV>
                <wp:extent cx="2239010" cy="487680"/>
                <wp:effectExtent l="5080" t="4445" r="11430" b="10795"/>
                <wp:wrapNone/>
                <wp:docPr id="3" name="文本框 3"/>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a:effectLst/>
                      </wps:spPr>
                      <wps:txbx>
                        <w:txbxContent>
                          <w:p>
                            <w:pPr>
                              <w:rPr>
                                <w:b/>
                                <w:sz w:val="32"/>
                                <w:szCs w:val="32"/>
                              </w:rPr>
                            </w:pPr>
                            <w:r>
                              <w:rPr>
                                <w:rFonts w:hint="eastAsia"/>
                                <w:b/>
                                <w:sz w:val="32"/>
                                <w:szCs w:val="32"/>
                              </w:rPr>
                              <w:t>制定</w:t>
                            </w:r>
                          </w:p>
                        </w:txbxContent>
                      </wps:txbx>
                      <wps:bodyPr upright="1">
                        <a:spAutoFit/>
                      </wps:bodyPr>
                    </wps:wsp>
                  </a:graphicData>
                </a:graphic>
              </wp:anchor>
            </w:drawing>
          </mc:Choice>
          <mc:Fallback>
            <w:pict>
              <v:shape id="_x0000_s1026" o:spid="_x0000_s1026" o:spt="202" type="#_x0000_t202" style="position:absolute;left:0pt;margin-left:296.15pt;margin-top:21.1pt;height:38.4pt;width:176.3pt;z-index:251664384;mso-width-relative:page;mso-height-relative:page;" fillcolor="#FFFFFF" filled="t" stroked="t" coordsize="21600,21600" o:gfxdata="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WHD62AAAAAoBAAAPAAAA&#10;AAAAAAEAIAAAACIAAABkcnMvZG93bnJldi54bWxQSwECFAAUAAAACACHTuJAHn2HtBUCAABbBAAA&#10;DgAAAAAAAAABACAAAAAnAQAAZHJzL2Uyb0RvYy54bWxQSwUGAAAAAAYABgBZAQAArgUAAAAA&#10;">
                <v:fill on="t" focussize="0,0"/>
                <v:stroke weight="0pt" color="#FFFFFF" joinstyle="miter"/>
                <v:imagedata o:title=""/>
                <o:lock v:ext="edit" aspectratio="f"/>
                <v:textbox style="mso-fit-shape-to-text:t;">
                  <w:txbxContent>
                    <w:p>
                      <w:pPr>
                        <w:rPr>
                          <w:b/>
                          <w:sz w:val="32"/>
                          <w:szCs w:val="32"/>
                        </w:rPr>
                      </w:pPr>
                      <w:r>
                        <w:rPr>
                          <w:rFonts w:hint="eastAsia"/>
                          <w:b/>
                          <w:sz w:val="32"/>
                          <w:szCs w:val="32"/>
                        </w:rPr>
                        <w:t>制定</w:t>
                      </w:r>
                    </w:p>
                  </w:txbxContent>
                </v:textbox>
              </v:shape>
            </w:pict>
          </mc:Fallback>
        </mc:AlternateContent>
      </w:r>
      <w:r>
        <w:rPr>
          <w:color w:val="auto"/>
          <w:sz w:val="32"/>
          <w:szCs w:val="32"/>
        </w:rPr>
        <w:t xml:space="preserve">                  住 房 和 城 乡 建 设 部</w:t>
      </w:r>
    </w:p>
    <w:p>
      <w:pPr>
        <w:pStyle w:val="89"/>
        <w:ind w:firstLine="2401" w:firstLineChars="750"/>
        <w:jc w:val="both"/>
        <w:rPr>
          <w:color w:val="auto"/>
          <w:sz w:val="32"/>
          <w:szCs w:val="32"/>
        </w:rPr>
      </w:pPr>
      <w:r>
        <w:rPr>
          <w:color w:val="auto"/>
          <w:sz w:val="32"/>
          <w:szCs w:val="32"/>
        </w:rPr>
        <w:t>国家工商行政管理总局</w:t>
      </w:r>
    </w:p>
    <w:p>
      <w:pPr>
        <w:rPr>
          <w:rFonts w:hint="eastAsia" w:ascii="宋体" w:hAnsi="宋体"/>
          <w:sz w:val="32"/>
          <w:szCs w:val="32"/>
          <w:lang w:val="zh-CN"/>
        </w:rPr>
      </w:pPr>
      <w:bookmarkStart w:id="212" w:name="_Toc24845"/>
      <w:bookmarkStart w:id="213" w:name="_Toc12110"/>
      <w:bookmarkStart w:id="214" w:name="_Toc28414"/>
      <w:bookmarkStart w:id="215" w:name="_Toc9367"/>
      <w:r>
        <w:rPr>
          <w:rFonts w:hint="eastAsia" w:ascii="宋体" w:hAnsi="宋体"/>
          <w:sz w:val="32"/>
          <w:szCs w:val="32"/>
          <w:lang w:val="zh-CN"/>
        </w:rPr>
        <w:br w:type="page"/>
      </w:r>
    </w:p>
    <w:p>
      <w:pPr>
        <w:pStyle w:val="91"/>
        <w:spacing w:before="0" w:after="0" w:line="500" w:lineRule="exact"/>
        <w:jc w:val="center"/>
        <w:rPr>
          <w:rFonts w:ascii="宋体" w:hAnsi="宋体"/>
          <w:sz w:val="32"/>
          <w:szCs w:val="32"/>
          <w:lang w:val="zh-CN"/>
        </w:rPr>
      </w:pPr>
      <w:r>
        <w:rPr>
          <w:rFonts w:hint="eastAsia" w:ascii="宋体" w:hAnsi="宋体"/>
          <w:sz w:val="32"/>
          <w:szCs w:val="32"/>
          <w:lang w:val="zh-CN"/>
        </w:rPr>
        <w:t>说  明</w:t>
      </w:r>
      <w:bookmarkEnd w:id="212"/>
      <w:bookmarkEnd w:id="213"/>
      <w:bookmarkEnd w:id="214"/>
      <w:bookmarkEnd w:id="215"/>
    </w:p>
    <w:p>
      <w:pPr>
        <w:spacing w:line="500" w:lineRule="exact"/>
        <w:ind w:firstLine="560" w:firstLineChars="200"/>
        <w:rPr>
          <w:sz w:val="28"/>
          <w:szCs w:val="28"/>
        </w:rPr>
      </w:pPr>
      <w:r>
        <w:rPr>
          <w:rFonts w:hint="eastAsia"/>
          <w:sz w:val="28"/>
          <w:szCs w:val="28"/>
        </w:rPr>
        <w:t>为了指导建设工程造价咨询合同当事人的签约行为，维护合同当事人的合法权益，依据《中华人民共和国合同法》、《中华人民共和国建筑法》以及相关法律法规，住房和城乡建设部、国家工商行政管理总局对《建设工程造价咨询合同（示范文本）》（GF-2002-0212）进行了修订，制定了《建设工程造价咨询合同（示范文本）》（GF-2015- 0212 ）（以下简称《示范文本》）。为了便于合同当事人使用《示范文本》，现就有关问题说明如下：</w:t>
      </w:r>
    </w:p>
    <w:p>
      <w:pPr>
        <w:spacing w:line="500" w:lineRule="exact"/>
        <w:ind w:firstLine="560" w:firstLineChars="200"/>
        <w:outlineLvl w:val="1"/>
        <w:rPr>
          <w:bCs/>
          <w:sz w:val="28"/>
          <w:szCs w:val="28"/>
        </w:rPr>
      </w:pPr>
      <w:bookmarkStart w:id="216" w:name="_Toc3891"/>
      <w:bookmarkStart w:id="217" w:name="_Toc5932"/>
      <w:bookmarkStart w:id="218" w:name="_Toc11519"/>
      <w:r>
        <w:rPr>
          <w:rFonts w:hint="eastAsia"/>
          <w:bCs/>
          <w:sz w:val="28"/>
          <w:szCs w:val="28"/>
        </w:rPr>
        <w:t>一、《示范文本》的组成</w:t>
      </w:r>
      <w:bookmarkEnd w:id="216"/>
      <w:bookmarkEnd w:id="217"/>
      <w:bookmarkEnd w:id="218"/>
    </w:p>
    <w:p>
      <w:pPr>
        <w:spacing w:line="500" w:lineRule="exact"/>
        <w:ind w:firstLine="560" w:firstLineChars="200"/>
        <w:rPr>
          <w:sz w:val="28"/>
          <w:szCs w:val="28"/>
        </w:rPr>
      </w:pPr>
      <w:r>
        <w:rPr>
          <w:rFonts w:hint="eastAsia"/>
          <w:sz w:val="28"/>
          <w:szCs w:val="28"/>
        </w:rPr>
        <w:t>《示范文本》由协议书、通用条件和专用条件三部分组成。</w:t>
      </w:r>
    </w:p>
    <w:p>
      <w:pPr>
        <w:spacing w:line="500" w:lineRule="exact"/>
        <w:ind w:firstLine="560" w:firstLineChars="200"/>
        <w:outlineLvl w:val="1"/>
        <w:rPr>
          <w:sz w:val="28"/>
          <w:szCs w:val="28"/>
        </w:rPr>
      </w:pPr>
      <w:bookmarkStart w:id="219" w:name="_Toc10714"/>
      <w:bookmarkStart w:id="220" w:name="_Toc5834"/>
      <w:bookmarkStart w:id="221" w:name="_Toc28495"/>
      <w:bookmarkStart w:id="222" w:name="_Toc10515"/>
      <w:r>
        <w:rPr>
          <w:rFonts w:hint="eastAsia"/>
          <w:sz w:val="28"/>
          <w:szCs w:val="28"/>
        </w:rPr>
        <w:t>（一）协议书</w:t>
      </w:r>
      <w:bookmarkEnd w:id="219"/>
      <w:bookmarkEnd w:id="220"/>
      <w:bookmarkEnd w:id="221"/>
      <w:bookmarkEnd w:id="222"/>
    </w:p>
    <w:p>
      <w:pPr>
        <w:spacing w:line="500" w:lineRule="exact"/>
        <w:ind w:left="147" w:leftChars="70" w:firstLine="420" w:firstLineChars="150"/>
        <w:rPr>
          <w:sz w:val="28"/>
          <w:szCs w:val="28"/>
        </w:rPr>
      </w:pPr>
      <w:r>
        <w:rPr>
          <w:rFonts w:hint="eastAsia"/>
          <w:sz w:val="28"/>
          <w:szCs w:val="28"/>
        </w:rPr>
        <w:t>《示范文本》协议书集中约定了合同当事人基本的合同权利义务。</w:t>
      </w:r>
    </w:p>
    <w:p>
      <w:pPr>
        <w:spacing w:line="500" w:lineRule="exact"/>
        <w:ind w:firstLine="560" w:firstLineChars="200"/>
        <w:outlineLvl w:val="1"/>
        <w:rPr>
          <w:sz w:val="28"/>
          <w:szCs w:val="28"/>
        </w:rPr>
      </w:pPr>
      <w:bookmarkStart w:id="223" w:name="_Toc30345"/>
      <w:bookmarkStart w:id="224" w:name="_Toc16801"/>
      <w:bookmarkStart w:id="225" w:name="_Toc24572"/>
      <w:bookmarkStart w:id="226" w:name="_Toc16636"/>
      <w:r>
        <w:rPr>
          <w:rFonts w:hint="eastAsia"/>
          <w:sz w:val="28"/>
          <w:szCs w:val="28"/>
        </w:rPr>
        <w:t>（二）通用条件</w:t>
      </w:r>
      <w:bookmarkEnd w:id="223"/>
      <w:bookmarkEnd w:id="224"/>
      <w:bookmarkEnd w:id="225"/>
      <w:bookmarkEnd w:id="226"/>
    </w:p>
    <w:p>
      <w:pPr>
        <w:spacing w:line="500" w:lineRule="exact"/>
        <w:ind w:firstLine="560" w:firstLineChars="200"/>
        <w:rPr>
          <w:sz w:val="28"/>
          <w:szCs w:val="28"/>
        </w:rPr>
      </w:pPr>
      <w:r>
        <w:rPr>
          <w:rFonts w:hint="eastAsia"/>
          <w:sz w:val="28"/>
          <w:szCs w:val="28"/>
        </w:rPr>
        <w:t>通用条件是合同当事人根据《中华人民共和国合同法》、《中华人民共和国建筑法》等法律法规的规定，就工程造价咨询的实施及相关事项，对合同当事人的权利义务作出的原则性约定。</w:t>
      </w:r>
    </w:p>
    <w:p>
      <w:pPr>
        <w:spacing w:line="500" w:lineRule="exact"/>
        <w:ind w:firstLine="560" w:firstLineChars="200"/>
        <w:rPr>
          <w:sz w:val="28"/>
          <w:szCs w:val="28"/>
        </w:rPr>
      </w:pPr>
      <w:r>
        <w:rPr>
          <w:rFonts w:hint="eastAsia"/>
          <w:sz w:val="28"/>
          <w:szCs w:val="28"/>
        </w:rPr>
        <w:t>通用条件既考虑了现行法律法规对工程发承包计价的有关要求，也考虑了工程造价咨询管理的特殊需要。</w:t>
      </w:r>
    </w:p>
    <w:p>
      <w:pPr>
        <w:spacing w:line="500" w:lineRule="exact"/>
        <w:ind w:firstLine="560" w:firstLineChars="200"/>
        <w:outlineLvl w:val="1"/>
        <w:rPr>
          <w:sz w:val="28"/>
          <w:szCs w:val="28"/>
        </w:rPr>
      </w:pPr>
      <w:bookmarkStart w:id="227" w:name="_Toc2432"/>
      <w:bookmarkStart w:id="228" w:name="_Toc5627"/>
      <w:bookmarkStart w:id="229" w:name="_Toc10951"/>
      <w:bookmarkStart w:id="230" w:name="_Toc455"/>
      <w:r>
        <w:rPr>
          <w:rFonts w:hint="eastAsia"/>
          <w:sz w:val="28"/>
          <w:szCs w:val="28"/>
        </w:rPr>
        <w:t>（三）专用条件</w:t>
      </w:r>
      <w:bookmarkEnd w:id="227"/>
      <w:bookmarkEnd w:id="228"/>
      <w:bookmarkEnd w:id="229"/>
      <w:bookmarkEnd w:id="230"/>
    </w:p>
    <w:p>
      <w:pPr>
        <w:spacing w:line="500" w:lineRule="exact"/>
        <w:ind w:firstLine="560" w:firstLineChars="200"/>
        <w:rPr>
          <w:sz w:val="28"/>
          <w:szCs w:val="28"/>
        </w:rPr>
      </w:pPr>
      <w:r>
        <w:rPr>
          <w:rFonts w:hint="eastAsia"/>
          <w:sz w:val="28"/>
          <w:szCs w:val="28"/>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500" w:lineRule="exact"/>
        <w:ind w:right="25" w:rightChars="12" w:firstLine="560" w:firstLineChars="200"/>
        <w:rPr>
          <w:sz w:val="28"/>
          <w:szCs w:val="28"/>
        </w:rPr>
      </w:pPr>
      <w:r>
        <w:rPr>
          <w:rFonts w:hint="eastAsia"/>
          <w:sz w:val="28"/>
          <w:szCs w:val="28"/>
        </w:rPr>
        <w:t>1.专用条件的编号应与相应的通用条件的编号一致；</w:t>
      </w:r>
    </w:p>
    <w:p>
      <w:pPr>
        <w:spacing w:line="500" w:lineRule="exact"/>
        <w:ind w:firstLine="560" w:firstLineChars="200"/>
        <w:rPr>
          <w:sz w:val="28"/>
          <w:szCs w:val="28"/>
        </w:rPr>
      </w:pPr>
      <w:r>
        <w:rPr>
          <w:rFonts w:hint="eastAsia"/>
          <w:sz w:val="28"/>
          <w:szCs w:val="28"/>
        </w:rPr>
        <w:t>2.合同当事人可以通过对专用条件的修改，满足具体工程的特殊要求，避免直接修改通用条件；</w:t>
      </w:r>
    </w:p>
    <w:p>
      <w:pPr>
        <w:spacing w:line="500" w:lineRule="exact"/>
        <w:ind w:firstLine="560" w:firstLineChars="200"/>
        <w:rPr>
          <w:sz w:val="28"/>
          <w:szCs w:val="28"/>
        </w:rPr>
      </w:pPr>
      <w:r>
        <w:rPr>
          <w:rFonts w:hint="eastAsia"/>
          <w:sz w:val="28"/>
          <w:szCs w:val="28"/>
        </w:rPr>
        <w:t>3.在专用条件中有横道线的地方，合同当事人可针对相应的通用条件进行细化、完善、补充、修改或另行约定；如无细化、完善、补充、修改或另行约定，则填写“无”或划“/”。</w:t>
      </w:r>
    </w:p>
    <w:p>
      <w:pPr>
        <w:spacing w:line="500" w:lineRule="exact"/>
        <w:ind w:firstLine="560" w:firstLineChars="200"/>
        <w:outlineLvl w:val="1"/>
        <w:rPr>
          <w:b/>
          <w:sz w:val="28"/>
          <w:szCs w:val="28"/>
        </w:rPr>
      </w:pPr>
      <w:bookmarkStart w:id="231" w:name="_Toc7106"/>
      <w:bookmarkStart w:id="232" w:name="_Toc3389"/>
      <w:bookmarkStart w:id="233" w:name="_Toc8485"/>
      <w:r>
        <w:rPr>
          <w:rFonts w:hint="eastAsia"/>
          <w:bCs/>
          <w:sz w:val="28"/>
          <w:szCs w:val="28"/>
        </w:rPr>
        <w:t>二、《示范文本》的性质和适用范围</w:t>
      </w:r>
      <w:bookmarkEnd w:id="231"/>
      <w:bookmarkEnd w:id="232"/>
      <w:bookmarkEnd w:id="233"/>
    </w:p>
    <w:p>
      <w:pPr>
        <w:spacing w:line="500" w:lineRule="exact"/>
        <w:ind w:firstLine="560" w:firstLineChars="200"/>
        <w:rPr>
          <w:sz w:val="28"/>
          <w:szCs w:val="28"/>
        </w:rPr>
      </w:pPr>
      <w:r>
        <w:rPr>
          <w:rFonts w:hint="eastAsia"/>
          <w:sz w:val="28"/>
          <w:szCs w:val="28"/>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560" w:firstLineChars="200"/>
        <w:rPr>
          <w:sz w:val="28"/>
          <w:szCs w:val="28"/>
        </w:rPr>
        <w:sectPr>
          <w:footerReference r:id="rId6" w:type="first"/>
          <w:footerReference r:id="rId5" w:type="default"/>
          <w:pgSz w:w="11906" w:h="16838"/>
          <w:pgMar w:top="1418" w:right="1555" w:bottom="1418" w:left="1531" w:header="851" w:footer="992" w:gutter="0"/>
          <w:pgNumType w:start="1"/>
          <w:cols w:space="720" w:num="1"/>
          <w:titlePg/>
          <w:docGrid w:type="lines" w:linePitch="312" w:charSpace="0"/>
        </w:sectPr>
      </w:pPr>
    </w:p>
    <w:p>
      <w:pPr>
        <w:pStyle w:val="3"/>
        <w:spacing w:before="120" w:after="120"/>
        <w:jc w:val="center"/>
        <w:rPr>
          <w:sz w:val="32"/>
          <w:szCs w:val="32"/>
        </w:rPr>
      </w:pPr>
      <w:r>
        <w:tab/>
      </w:r>
      <w:bookmarkStart w:id="234" w:name="_Toc458097743"/>
      <w:bookmarkStart w:id="235" w:name="_Toc7301"/>
      <w:bookmarkStart w:id="236" w:name="_Toc6559"/>
      <w:bookmarkStart w:id="237" w:name="_Toc16220"/>
      <w:bookmarkStart w:id="238" w:name="_Toc12285"/>
      <w:r>
        <w:rPr>
          <w:rFonts w:hint="eastAsia"/>
          <w:sz w:val="32"/>
          <w:szCs w:val="32"/>
        </w:rPr>
        <w:t>第一部分　协议书</w:t>
      </w:r>
      <w:bookmarkEnd w:id="234"/>
      <w:bookmarkEnd w:id="235"/>
      <w:bookmarkEnd w:id="236"/>
      <w:bookmarkEnd w:id="237"/>
      <w:bookmarkEnd w:id="238"/>
    </w:p>
    <w:p>
      <w:pPr>
        <w:widowControl/>
        <w:spacing w:line="420" w:lineRule="exact"/>
        <w:ind w:firstLine="720" w:firstLineChars="300"/>
        <w:jc w:val="left"/>
        <w:rPr>
          <w:rFonts w:ascii="宋体" w:hAnsi="宋体"/>
          <w:sz w:val="24"/>
          <w:szCs w:val="24"/>
          <w:u w:val="single"/>
        </w:rPr>
      </w:pPr>
      <w:r>
        <w:rPr>
          <w:rFonts w:hint="eastAsia" w:ascii="宋体" w:hAnsi="宋体"/>
          <w:sz w:val="24"/>
          <w:szCs w:val="24"/>
        </w:rPr>
        <w:t>委托人（全称）：</w:t>
      </w:r>
    </w:p>
    <w:p>
      <w:pPr>
        <w:pStyle w:val="102"/>
        <w:spacing w:before="0" w:beforeAutospacing="0" w:after="0" w:afterAutospacing="0" w:line="420" w:lineRule="exact"/>
        <w:ind w:left="420" w:leftChars="200" w:firstLine="240" w:firstLineChars="100"/>
        <w:rPr>
          <w:szCs w:val="24"/>
          <w:u w:val="single"/>
        </w:rPr>
      </w:pPr>
      <w:r>
        <w:rPr>
          <w:rFonts w:hint="eastAsia"/>
          <w:szCs w:val="24"/>
        </w:rPr>
        <w:t>咨询人（全称）：</w:t>
      </w:r>
    </w:p>
    <w:p>
      <w:pPr>
        <w:pStyle w:val="102"/>
        <w:spacing w:before="0" w:beforeAutospacing="0" w:after="0" w:afterAutospacing="0" w:line="420" w:lineRule="exact"/>
        <w:ind w:firstLine="720" w:firstLineChars="300"/>
        <w:rPr>
          <w:szCs w:val="24"/>
        </w:rPr>
      </w:pPr>
      <w:r>
        <w:rPr>
          <w:rFonts w:hint="eastAsia"/>
          <w:szCs w:val="24"/>
        </w:rPr>
        <w:t>《</w:t>
      </w:r>
      <w:r>
        <w:fldChar w:fldCharType="begin"/>
      </w:r>
      <w:r>
        <w:instrText xml:space="preserve"> HYPERLINK "javascript:SLC(21651,0)" </w:instrText>
      </w:r>
      <w:r>
        <w:fldChar w:fldCharType="separate"/>
      </w:r>
      <w:r>
        <w:rPr>
          <w:rFonts w:hint="eastAsia"/>
          <w:szCs w:val="24"/>
        </w:rPr>
        <w:t>中华人民共和国合同法</w:t>
      </w:r>
      <w:r>
        <w:rPr>
          <w:rFonts w:hint="eastAsia"/>
          <w:szCs w:val="24"/>
        </w:rPr>
        <w:fldChar w:fldCharType="end"/>
      </w:r>
      <w:r>
        <w:rPr>
          <w:rFonts w:hint="eastAsia"/>
          <w:szCs w:val="24"/>
        </w:rPr>
        <w:t>》及其他有关法律、法规，遵循平等、自愿、公平和诚实信用的原则，双方就下述建设工程委托造价咨询与其他服务事项协商一致，订立本合同。</w:t>
      </w:r>
    </w:p>
    <w:p>
      <w:pPr>
        <w:spacing w:line="420" w:lineRule="exact"/>
        <w:ind w:firstLine="420" w:firstLineChars="200"/>
      </w:pPr>
      <w:r>
        <w:rPr>
          <w:rFonts w:hint="eastAsia"/>
        </w:rPr>
        <w:t>一、工程</w:t>
      </w:r>
      <w:r>
        <w:t>概况</w:t>
      </w:r>
    </w:p>
    <w:p>
      <w:pPr>
        <w:spacing w:line="420" w:lineRule="exact"/>
        <w:ind w:firstLine="630" w:firstLineChars="300"/>
      </w:pPr>
      <w:r>
        <w:rPr>
          <w:rFonts w:hint="eastAsia"/>
        </w:rPr>
        <w:t>1.工程名称：</w:t>
      </w:r>
    </w:p>
    <w:p>
      <w:pPr>
        <w:spacing w:line="420" w:lineRule="exact"/>
        <w:ind w:firstLine="630" w:firstLineChars="300"/>
        <w:rPr>
          <w:rFonts w:hint="eastAsia"/>
          <w:sz w:val="10"/>
          <w:szCs w:val="10"/>
        </w:rPr>
      </w:pPr>
      <w:r>
        <w:rPr>
          <w:rFonts w:hint="eastAsia"/>
        </w:rPr>
        <w:t>2.工程地点：</w:t>
      </w:r>
    </w:p>
    <w:p>
      <w:pPr>
        <w:spacing w:line="420" w:lineRule="exact"/>
        <w:ind w:firstLine="630" w:firstLineChars="300"/>
        <w:rPr>
          <w:rFonts w:hint="eastAsia"/>
        </w:rPr>
      </w:pPr>
      <w:r>
        <w:rPr>
          <w:rFonts w:hint="eastAsia"/>
        </w:rPr>
        <w:t>3.工程规模：</w:t>
      </w:r>
    </w:p>
    <w:p>
      <w:pPr>
        <w:spacing w:line="420" w:lineRule="exact"/>
        <w:ind w:firstLine="630" w:firstLineChars="300"/>
        <w:rPr>
          <w:rFonts w:hint="eastAsia"/>
        </w:rPr>
      </w:pPr>
      <w:r>
        <w:rPr>
          <w:rFonts w:hint="eastAsia"/>
        </w:rPr>
        <w:t>4.投资金额：</w:t>
      </w:r>
    </w:p>
    <w:p>
      <w:pPr>
        <w:spacing w:line="420" w:lineRule="exact"/>
        <w:ind w:firstLine="630" w:firstLineChars="300"/>
        <w:rPr>
          <w:rFonts w:hint="eastAsia"/>
        </w:rPr>
      </w:pPr>
      <w:r>
        <w:rPr>
          <w:rFonts w:hint="eastAsia"/>
        </w:rPr>
        <w:t>5.资金来源：</w:t>
      </w:r>
    </w:p>
    <w:p>
      <w:pPr>
        <w:spacing w:line="420" w:lineRule="exact"/>
        <w:ind w:firstLine="630" w:firstLineChars="300"/>
        <w:rPr>
          <w:rFonts w:hint="eastAsia"/>
          <w:u w:val="single"/>
        </w:rPr>
      </w:pPr>
      <w:r>
        <w:rPr>
          <w:rFonts w:hint="eastAsia"/>
        </w:rPr>
        <w:t>6.建设工期或周期：</w:t>
      </w:r>
    </w:p>
    <w:p>
      <w:pPr>
        <w:spacing w:line="420" w:lineRule="exact"/>
        <w:ind w:firstLine="630" w:firstLineChars="300"/>
        <w:rPr>
          <w:rFonts w:hint="eastAsia"/>
        </w:rPr>
      </w:pPr>
      <w:r>
        <w:rPr>
          <w:rFonts w:hint="eastAsia"/>
        </w:rPr>
        <w:t>7.其他：</w:t>
      </w:r>
    </w:p>
    <w:p>
      <w:pPr>
        <w:pStyle w:val="22"/>
        <w:spacing w:before="0" w:after="0" w:line="420" w:lineRule="exact"/>
        <w:ind w:firstLine="420" w:firstLineChars="200"/>
        <w:jc w:val="left"/>
        <w:outlineLvl w:val="1"/>
        <w:rPr>
          <w:szCs w:val="24"/>
        </w:rPr>
      </w:pPr>
      <w:bookmarkStart w:id="239" w:name="_Toc146588376"/>
      <w:r>
        <w:rPr>
          <w:rFonts w:hint="eastAsia"/>
          <w:szCs w:val="24"/>
        </w:rPr>
        <w:t>二、服务范围及工作内容</w:t>
      </w:r>
      <w:bookmarkEnd w:id="239"/>
    </w:p>
    <w:p>
      <w:pPr>
        <w:pageBreakBefore w:val="0"/>
        <w:widowControl/>
        <w:kinsoku/>
        <w:wordWrap/>
        <w:overflowPunct/>
        <w:bidi w:val="0"/>
        <w:spacing w:line="360" w:lineRule="auto"/>
        <w:ind w:firstLine="420" w:firstLineChars="200"/>
        <w:jc w:val="left"/>
        <w:rPr>
          <w:rFonts w:hint="eastAsia" w:ascii="Times New Roman" w:hAnsi="Times New Roman" w:cs="Times New Roman"/>
          <w:highlight w:val="none"/>
          <w:lang w:val="en-US" w:eastAsia="zh-CN"/>
        </w:rPr>
      </w:pPr>
      <w:r>
        <w:rPr>
          <w:rFonts w:hint="eastAsia"/>
          <w:highlight w:val="none"/>
        </w:rPr>
        <w:t>包含但不限于以下内容：</w:t>
      </w:r>
      <w:r>
        <w:rPr>
          <w:rFonts w:hint="eastAsia" w:ascii="Times New Roman" w:hAnsi="Times New Roman" w:cs="Times New Roman"/>
          <w:highlight w:val="none"/>
          <w:lang w:val="en-US" w:eastAsia="zh-CN"/>
        </w:rPr>
        <w:t>自项目立项至工程审计结束，确定项目全过程跟踪审计计划、执行全过程跟踪审计程序、获取全过程跟踪审计证据、得出全过程跟踪审计结论，包含工程结算审查、全过程造价审核等并出具审计报告。</w:t>
      </w:r>
    </w:p>
    <w:p>
      <w:pPr>
        <w:pStyle w:val="22"/>
        <w:spacing w:before="0" w:after="0" w:line="420" w:lineRule="exact"/>
        <w:ind w:firstLine="420" w:firstLineChars="200"/>
        <w:jc w:val="left"/>
        <w:outlineLvl w:val="1"/>
        <w:rPr>
          <w:szCs w:val="24"/>
        </w:rPr>
      </w:pPr>
      <w:bookmarkStart w:id="240" w:name="_Toc146588377"/>
      <w:r>
        <w:rPr>
          <w:rFonts w:hint="eastAsia"/>
          <w:szCs w:val="24"/>
        </w:rPr>
        <w:t>三、服务期限</w:t>
      </w:r>
      <w:bookmarkEnd w:id="240"/>
    </w:p>
    <w:p>
      <w:pPr>
        <w:pageBreakBefore w:val="0"/>
        <w:widowControl/>
        <w:kinsoku/>
        <w:wordWrap/>
        <w:overflowPunct/>
        <w:bidi w:val="0"/>
        <w:spacing w:line="360" w:lineRule="auto"/>
        <w:ind w:firstLine="420" w:firstLineChars="20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合同签订之日起至项目工程审计结束。</w:t>
      </w:r>
    </w:p>
    <w:p>
      <w:pPr>
        <w:pStyle w:val="22"/>
        <w:spacing w:before="0" w:after="0" w:line="420" w:lineRule="exact"/>
        <w:ind w:firstLine="420" w:firstLineChars="200"/>
        <w:jc w:val="left"/>
        <w:outlineLvl w:val="1"/>
        <w:rPr>
          <w:szCs w:val="24"/>
        </w:rPr>
      </w:pPr>
      <w:bookmarkStart w:id="241" w:name="_Toc146588378"/>
      <w:r>
        <w:rPr>
          <w:rFonts w:hint="eastAsia"/>
          <w:szCs w:val="24"/>
        </w:rPr>
        <w:t>四、质量标准</w:t>
      </w:r>
      <w:bookmarkEnd w:id="241"/>
    </w:p>
    <w:p>
      <w:pPr>
        <w:spacing w:line="420" w:lineRule="exact"/>
        <w:ind w:firstLine="420" w:firstLineChars="200"/>
      </w:pPr>
      <w:r>
        <w:rPr>
          <w:rFonts w:hint="eastAsia"/>
        </w:rPr>
        <w:t>工程造价咨询成果文件应符合：_</w:t>
      </w:r>
      <w:r>
        <w:rPr>
          <w:rFonts w:hint="eastAsia"/>
          <w:u w:val="single"/>
        </w:rPr>
        <w:t>_执行通用条款</w:t>
      </w:r>
      <w:r>
        <w:rPr>
          <w:rFonts w:hint="eastAsia"/>
        </w:rPr>
        <w:t>___。</w:t>
      </w:r>
    </w:p>
    <w:p>
      <w:pPr>
        <w:pStyle w:val="22"/>
        <w:spacing w:before="0" w:after="0" w:line="420" w:lineRule="exact"/>
        <w:ind w:firstLine="420" w:firstLineChars="200"/>
        <w:jc w:val="left"/>
        <w:outlineLvl w:val="1"/>
        <w:rPr>
          <w:rFonts w:hint="eastAsia"/>
          <w:szCs w:val="24"/>
        </w:rPr>
      </w:pPr>
      <w:bookmarkStart w:id="242" w:name="_Toc146588379"/>
      <w:r>
        <w:rPr>
          <w:rFonts w:hint="eastAsia"/>
          <w:szCs w:val="24"/>
        </w:rPr>
        <w:t>五、酬金或计取方式</w:t>
      </w:r>
      <w:bookmarkEnd w:id="242"/>
    </w:p>
    <w:p>
      <w:pPr>
        <w:pStyle w:val="22"/>
        <w:spacing w:before="0" w:after="0" w:line="420" w:lineRule="exact"/>
        <w:ind w:firstLine="420" w:firstLineChars="200"/>
        <w:jc w:val="left"/>
        <w:outlineLvl w:val="1"/>
        <w:rPr>
          <w:rFonts w:hint="eastAsia"/>
          <w:szCs w:val="24"/>
        </w:rPr>
      </w:pPr>
      <w:r>
        <w:rPr>
          <w:rFonts w:hint="eastAsia"/>
          <w:szCs w:val="24"/>
        </w:rPr>
        <w:t>1.酬金：</w:t>
      </w:r>
      <w:r>
        <w:rPr>
          <w:rFonts w:hint="eastAsia"/>
          <w:szCs w:val="24"/>
          <w:u w:val="none"/>
          <w:lang w:val="en-US" w:eastAsia="zh-CN"/>
        </w:rPr>
        <w:t xml:space="preserve">      </w:t>
      </w:r>
      <w:r>
        <w:rPr>
          <w:rFonts w:hint="eastAsia"/>
          <w:szCs w:val="24"/>
        </w:rPr>
        <w:t>（元）</w:t>
      </w:r>
    </w:p>
    <w:p>
      <w:pPr>
        <w:pStyle w:val="22"/>
        <w:spacing w:before="0" w:after="0" w:line="420" w:lineRule="exact"/>
        <w:ind w:firstLine="420" w:firstLineChars="200"/>
        <w:jc w:val="left"/>
        <w:outlineLvl w:val="1"/>
        <w:rPr>
          <w:rFonts w:hint="eastAsia"/>
          <w:szCs w:val="24"/>
          <w:u w:val="none"/>
        </w:rPr>
      </w:pPr>
      <w:r>
        <w:rPr>
          <w:rFonts w:hint="eastAsia"/>
          <w:szCs w:val="24"/>
        </w:rPr>
        <w:t>2.计取方式</w:t>
      </w:r>
      <w:r>
        <w:rPr>
          <w:rFonts w:hint="eastAsia"/>
          <w:szCs w:val="24"/>
          <w:u w:val="none"/>
        </w:rPr>
        <w:t>：</w:t>
      </w:r>
      <w:r>
        <w:rPr>
          <w:rFonts w:hint="eastAsia"/>
          <w:szCs w:val="24"/>
          <w:u w:val="none"/>
          <w:lang w:val="en-US" w:eastAsia="zh-CN"/>
        </w:rPr>
        <w:t xml:space="preserve">         </w:t>
      </w:r>
      <w:r>
        <w:rPr>
          <w:rFonts w:hint="eastAsia"/>
          <w:szCs w:val="24"/>
          <w:u w:val="none"/>
        </w:rPr>
        <w:t>。</w:t>
      </w:r>
    </w:p>
    <w:p>
      <w:pPr>
        <w:pStyle w:val="102"/>
        <w:spacing w:before="0" w:beforeAutospacing="0" w:after="0" w:afterAutospacing="0" w:line="420" w:lineRule="exact"/>
        <w:ind w:left="482"/>
        <w:outlineLvl w:val="1"/>
        <w:rPr>
          <w:szCs w:val="24"/>
        </w:rPr>
      </w:pPr>
      <w:bookmarkStart w:id="243" w:name="_Toc146588380"/>
      <w:r>
        <w:rPr>
          <w:rFonts w:hint="eastAsia" w:ascii="Arial" w:hAnsi="Arial" w:cs="Times New Roman"/>
          <w:b/>
          <w:sz w:val="32"/>
          <w:szCs w:val="24"/>
        </w:rPr>
        <w:t>六、合同文件的构成</w:t>
      </w:r>
      <w:r>
        <w:rPr>
          <w:rFonts w:ascii="Arial" w:hAnsi="Arial" w:cs="Times New Roman"/>
          <w:b/>
          <w:sz w:val="32"/>
          <w:szCs w:val="24"/>
        </w:rPr>
        <w:br w:type="textWrapping"/>
      </w:r>
      <w:r>
        <w:rPr>
          <w:rFonts w:hint="eastAsia"/>
          <w:szCs w:val="24"/>
        </w:rPr>
        <w:t>本协议书与下列文件一起构成合同文件:</w:t>
      </w:r>
      <w:bookmarkEnd w:id="243"/>
    </w:p>
    <w:p>
      <w:pPr>
        <w:pStyle w:val="102"/>
        <w:spacing w:before="0" w:beforeAutospacing="0" w:after="0" w:afterAutospacing="0" w:line="420" w:lineRule="exact"/>
        <w:ind w:left="481"/>
        <w:rPr>
          <w:szCs w:val="24"/>
        </w:rPr>
      </w:pPr>
      <w:r>
        <w:rPr>
          <w:rFonts w:hint="eastAsia"/>
          <w:szCs w:val="24"/>
        </w:rPr>
        <w:t>1.中标通知书或委托书（如果有）；</w:t>
      </w:r>
    </w:p>
    <w:p>
      <w:pPr>
        <w:pStyle w:val="102"/>
        <w:spacing w:before="0" w:beforeAutospacing="0" w:after="0" w:afterAutospacing="0" w:line="420" w:lineRule="exact"/>
        <w:ind w:left="481"/>
        <w:rPr>
          <w:szCs w:val="24"/>
        </w:rPr>
      </w:pPr>
      <w:r>
        <w:rPr>
          <w:rFonts w:hint="eastAsia"/>
          <w:szCs w:val="24"/>
        </w:rPr>
        <w:t>2.投标函及投标函附录或造价咨询服务建议书（如果有）；</w:t>
      </w:r>
    </w:p>
    <w:p>
      <w:pPr>
        <w:pStyle w:val="102"/>
        <w:spacing w:before="0" w:beforeAutospacing="0" w:after="0" w:afterAutospacing="0" w:line="420" w:lineRule="exact"/>
        <w:ind w:left="481"/>
        <w:rPr>
          <w:szCs w:val="24"/>
        </w:rPr>
      </w:pPr>
      <w:r>
        <w:rPr>
          <w:rFonts w:hint="eastAsia"/>
          <w:szCs w:val="24"/>
        </w:rPr>
        <w:t>3.专用条件及附录；</w:t>
      </w:r>
    </w:p>
    <w:p>
      <w:pPr>
        <w:pStyle w:val="102"/>
        <w:spacing w:before="0" w:beforeAutospacing="0" w:after="0" w:afterAutospacing="0" w:line="420" w:lineRule="exact"/>
        <w:ind w:left="481"/>
        <w:rPr>
          <w:szCs w:val="24"/>
        </w:rPr>
      </w:pPr>
      <w:r>
        <w:rPr>
          <w:rFonts w:hint="eastAsia"/>
          <w:szCs w:val="24"/>
        </w:rPr>
        <w:t>4.通用条件；</w:t>
      </w:r>
    </w:p>
    <w:p>
      <w:pPr>
        <w:pStyle w:val="102"/>
        <w:spacing w:before="0" w:beforeAutospacing="0" w:after="0" w:afterAutospacing="0" w:line="420" w:lineRule="exact"/>
        <w:ind w:left="481"/>
        <w:rPr>
          <w:szCs w:val="24"/>
        </w:rPr>
      </w:pPr>
      <w:r>
        <w:rPr>
          <w:rFonts w:hint="eastAsia"/>
          <w:szCs w:val="24"/>
        </w:rPr>
        <w:t>5.其他合同文件。</w:t>
      </w:r>
    </w:p>
    <w:p>
      <w:pPr>
        <w:pStyle w:val="102"/>
        <w:spacing w:before="0" w:beforeAutospacing="0" w:after="0" w:afterAutospacing="0" w:line="420" w:lineRule="exact"/>
        <w:ind w:firstLine="480" w:firstLineChars="200"/>
        <w:rPr>
          <w:szCs w:val="24"/>
        </w:rPr>
      </w:pPr>
      <w:r>
        <w:rPr>
          <w:szCs w:val="24"/>
        </w:rPr>
        <w:t>上述各项合同文件包括合同当事人就该项合同文件所作出的补充和修改</w:t>
      </w:r>
      <w:r>
        <w:rPr>
          <w:rFonts w:hint="eastAsia"/>
          <w:szCs w:val="24"/>
        </w:rPr>
        <w:t>，</w:t>
      </w:r>
      <w:r>
        <w:rPr>
          <w:szCs w:val="24"/>
        </w:rPr>
        <w:t>属于同一类内容的文件，应以最新签署的为准。</w:t>
      </w:r>
    </w:p>
    <w:p>
      <w:pPr>
        <w:pStyle w:val="102"/>
        <w:spacing w:before="0" w:beforeAutospacing="0" w:after="0" w:afterAutospacing="0" w:line="420" w:lineRule="exact"/>
        <w:ind w:firstLine="480" w:firstLineChars="200"/>
        <w:rPr>
          <w:szCs w:val="24"/>
        </w:rPr>
      </w:pPr>
      <w:r>
        <w:rPr>
          <w:rFonts w:hint="eastAsia"/>
          <w:szCs w:val="24"/>
        </w:rPr>
        <w:t>在合同订立及履行过程中形成的与合同有关的文件（包括补充协议）均构</w:t>
      </w:r>
    </w:p>
    <w:p>
      <w:pPr>
        <w:spacing w:line="420" w:lineRule="exact"/>
      </w:pPr>
      <w:r>
        <w:rPr>
          <w:rFonts w:hint="eastAsia"/>
        </w:rPr>
        <w:t>成合同文件的组成部分。</w:t>
      </w:r>
    </w:p>
    <w:p>
      <w:pPr>
        <w:pStyle w:val="22"/>
        <w:spacing w:before="0" w:after="0" w:line="420" w:lineRule="exact"/>
        <w:ind w:firstLine="420" w:firstLineChars="200"/>
        <w:jc w:val="left"/>
        <w:outlineLvl w:val="1"/>
        <w:rPr>
          <w:rStyle w:val="104"/>
          <w:b/>
          <w:szCs w:val="24"/>
        </w:rPr>
      </w:pPr>
      <w:bookmarkStart w:id="244" w:name="_Toc146588381"/>
      <w:r>
        <w:rPr>
          <w:rStyle w:val="104"/>
          <w:rFonts w:hint="eastAsia"/>
          <w:b/>
          <w:szCs w:val="24"/>
        </w:rPr>
        <w:t>七、词语定义</w:t>
      </w:r>
      <w:bookmarkEnd w:id="244"/>
    </w:p>
    <w:p>
      <w:pPr>
        <w:spacing w:line="420" w:lineRule="exact"/>
        <w:ind w:firstLine="420" w:firstLineChars="200"/>
      </w:pPr>
      <w:r>
        <w:rPr>
          <w:rFonts w:hint="eastAsia"/>
        </w:rPr>
        <w:t>协议书中相关词语的含义与通用条件中的定义与解释相同。</w:t>
      </w:r>
    </w:p>
    <w:p>
      <w:pPr>
        <w:pStyle w:val="22"/>
        <w:spacing w:before="0" w:after="0" w:line="420" w:lineRule="exact"/>
        <w:ind w:firstLine="420" w:firstLineChars="200"/>
        <w:jc w:val="left"/>
        <w:outlineLvl w:val="1"/>
        <w:rPr>
          <w:szCs w:val="24"/>
        </w:rPr>
      </w:pPr>
      <w:bookmarkStart w:id="245" w:name="_Toc146588382"/>
      <w:r>
        <w:rPr>
          <w:rFonts w:hint="eastAsia"/>
          <w:szCs w:val="24"/>
        </w:rPr>
        <w:t>八、合同订立</w:t>
      </w:r>
      <w:bookmarkEnd w:id="245"/>
    </w:p>
    <w:p>
      <w:pPr>
        <w:pStyle w:val="102"/>
        <w:spacing w:before="0" w:beforeAutospacing="0" w:after="0" w:afterAutospacing="0" w:line="420" w:lineRule="exact"/>
        <w:ind w:firstLine="480" w:firstLineChars="200"/>
        <w:rPr>
          <w:szCs w:val="24"/>
        </w:rPr>
      </w:pPr>
      <w:r>
        <w:rPr>
          <w:rFonts w:hint="eastAsia"/>
          <w:szCs w:val="24"/>
        </w:rPr>
        <w:t>1.订立时间：</w:t>
      </w:r>
      <w:r>
        <w:rPr>
          <w:rFonts w:hint="eastAsia"/>
          <w:szCs w:val="24"/>
          <w:u w:val="single"/>
        </w:rPr>
        <w:t>202</w:t>
      </w:r>
      <w:r>
        <w:rPr>
          <w:rFonts w:hint="eastAsia"/>
          <w:szCs w:val="24"/>
          <w:u w:val="single"/>
          <w:lang w:val="en-US" w:eastAsia="zh-CN"/>
        </w:rPr>
        <w:t>5</w:t>
      </w:r>
      <w:r>
        <w:rPr>
          <w:rFonts w:hint="eastAsia"/>
          <w:szCs w:val="24"/>
        </w:rPr>
        <w:t>年</w:t>
      </w:r>
      <w:r>
        <w:rPr>
          <w:rFonts w:hint="eastAsia"/>
          <w:szCs w:val="24"/>
          <w:u w:val="single"/>
        </w:rPr>
        <w:t>__</w:t>
      </w:r>
      <w:r>
        <w:rPr>
          <w:rFonts w:hint="eastAsia"/>
          <w:szCs w:val="24"/>
        </w:rPr>
        <w:t>月_日。</w:t>
      </w:r>
    </w:p>
    <w:p>
      <w:pPr>
        <w:pStyle w:val="102"/>
        <w:spacing w:before="0" w:beforeAutospacing="0" w:after="0" w:afterAutospacing="0" w:line="420" w:lineRule="exact"/>
        <w:ind w:left="420" w:leftChars="200"/>
        <w:rPr>
          <w:szCs w:val="24"/>
        </w:rPr>
      </w:pPr>
      <w:r>
        <w:rPr>
          <w:rFonts w:hint="eastAsia"/>
          <w:szCs w:val="24"/>
        </w:rPr>
        <w:t>2.订立地点：_</w:t>
      </w:r>
    </w:p>
    <w:p>
      <w:pPr>
        <w:pStyle w:val="22"/>
        <w:spacing w:before="0" w:after="0" w:line="420" w:lineRule="exact"/>
        <w:ind w:firstLine="420" w:firstLineChars="200"/>
        <w:jc w:val="left"/>
        <w:outlineLvl w:val="1"/>
        <w:rPr>
          <w:szCs w:val="24"/>
        </w:rPr>
      </w:pPr>
      <w:bookmarkStart w:id="246" w:name="_Toc146588383"/>
      <w:r>
        <w:rPr>
          <w:rFonts w:hint="eastAsia"/>
          <w:szCs w:val="24"/>
        </w:rPr>
        <w:t>九、合同生效</w:t>
      </w:r>
      <w:bookmarkEnd w:id="246"/>
    </w:p>
    <w:p>
      <w:pPr>
        <w:pStyle w:val="102"/>
        <w:spacing w:before="0" w:beforeAutospacing="0" w:after="0" w:afterAutospacing="0" w:line="420" w:lineRule="exact"/>
        <w:ind w:firstLine="480" w:firstLineChars="200"/>
        <w:rPr>
          <w:szCs w:val="24"/>
        </w:rPr>
      </w:pPr>
      <w:r>
        <w:rPr>
          <w:rFonts w:hint="eastAsia"/>
          <w:szCs w:val="24"/>
        </w:rPr>
        <w:t>本合同自</w:t>
      </w:r>
      <w:r>
        <w:rPr>
          <w:rFonts w:hint="eastAsia"/>
          <w:szCs w:val="24"/>
          <w:u w:val="single"/>
        </w:rPr>
        <w:t>双方签字或者盖章之日起</w:t>
      </w:r>
      <w:r>
        <w:rPr>
          <w:rFonts w:hint="eastAsia"/>
          <w:szCs w:val="24"/>
        </w:rPr>
        <w:t>生效。</w:t>
      </w:r>
    </w:p>
    <w:p>
      <w:pPr>
        <w:pStyle w:val="22"/>
        <w:spacing w:before="0" w:after="0" w:line="420" w:lineRule="exact"/>
        <w:ind w:firstLine="420" w:firstLineChars="200"/>
        <w:jc w:val="left"/>
        <w:outlineLvl w:val="1"/>
        <w:rPr>
          <w:szCs w:val="24"/>
        </w:rPr>
      </w:pPr>
      <w:bookmarkStart w:id="247" w:name="_Toc146588384"/>
      <w:r>
        <w:rPr>
          <w:rFonts w:hint="eastAsia"/>
          <w:szCs w:val="24"/>
        </w:rPr>
        <w:t>十、合同份数</w:t>
      </w:r>
      <w:bookmarkEnd w:id="247"/>
    </w:p>
    <w:p>
      <w:pPr>
        <w:pStyle w:val="102"/>
        <w:spacing w:before="0" w:beforeAutospacing="0" w:after="0" w:afterAutospacing="0" w:line="420" w:lineRule="exact"/>
        <w:ind w:firstLine="480" w:firstLineChars="200"/>
        <w:rPr>
          <w:szCs w:val="24"/>
        </w:rPr>
      </w:pPr>
      <w:r>
        <w:rPr>
          <w:rFonts w:hint="eastAsia"/>
          <w:szCs w:val="24"/>
        </w:rPr>
        <w:t>本合同一式</w:t>
      </w:r>
      <w:r>
        <w:rPr>
          <w:rFonts w:hint="eastAsia"/>
          <w:szCs w:val="24"/>
          <w:u w:val="single"/>
        </w:rPr>
        <w:t>捌</w:t>
      </w:r>
      <w:r>
        <w:rPr>
          <w:rFonts w:hint="eastAsia"/>
          <w:szCs w:val="24"/>
        </w:rPr>
        <w:t>份，具有同等法律效力，其中委托人执</w:t>
      </w:r>
      <w:r>
        <w:rPr>
          <w:rFonts w:hint="eastAsia"/>
          <w:szCs w:val="24"/>
          <w:u w:val="single"/>
        </w:rPr>
        <w:t>伍</w:t>
      </w:r>
      <w:r>
        <w:rPr>
          <w:rFonts w:hint="eastAsia"/>
          <w:szCs w:val="24"/>
        </w:rPr>
        <w:t>份，咨询人执_</w:t>
      </w:r>
      <w:r>
        <w:rPr>
          <w:rFonts w:hint="eastAsia"/>
          <w:szCs w:val="24"/>
          <w:u w:val="single"/>
        </w:rPr>
        <w:t>叁_</w:t>
      </w:r>
      <w:r>
        <w:rPr>
          <w:rFonts w:hint="eastAsia"/>
          <w:szCs w:val="24"/>
        </w:rPr>
        <w:t>份。</w:t>
      </w:r>
    </w:p>
    <w:p>
      <w:pPr>
        <w:pStyle w:val="102"/>
        <w:spacing w:before="0" w:beforeAutospacing="0" w:after="0" w:afterAutospacing="0" w:line="420" w:lineRule="exact"/>
        <w:ind w:firstLine="480" w:firstLineChars="200"/>
        <w:rPr>
          <w:szCs w:val="24"/>
        </w:rPr>
      </w:pPr>
    </w:p>
    <w:p>
      <w:pPr>
        <w:pStyle w:val="102"/>
        <w:spacing w:before="0" w:beforeAutospacing="0" w:after="0" w:afterAutospacing="0" w:line="420" w:lineRule="exact"/>
        <w:ind w:firstLine="480" w:firstLineChars="200"/>
        <w:rPr>
          <w:szCs w:val="24"/>
        </w:rPr>
      </w:pPr>
    </w:p>
    <w:p>
      <w:pPr>
        <w:pStyle w:val="102"/>
        <w:spacing w:before="0" w:beforeAutospacing="0" w:after="0" w:afterAutospacing="0" w:line="420" w:lineRule="exact"/>
        <w:ind w:firstLine="480" w:firstLineChars="200"/>
        <w:rPr>
          <w:szCs w:val="24"/>
        </w:rPr>
      </w:pPr>
    </w:p>
    <w:p>
      <w:pPr>
        <w:widowControl/>
        <w:snapToGrid w:val="0"/>
        <w:spacing w:line="420" w:lineRule="exact"/>
        <w:ind w:firstLine="480"/>
        <w:rPr>
          <w:szCs w:val="21"/>
        </w:rPr>
      </w:pPr>
      <w:bookmarkStart w:id="248" w:name="_Toc146588385"/>
      <w:r>
        <w:rPr>
          <w:rFonts w:hint="eastAsia"/>
          <w:szCs w:val="21"/>
        </w:rPr>
        <w:t xml:space="preserve">委 托 人：__________（盖章）     咨 询 人：___________（盖章） </w:t>
      </w:r>
    </w:p>
    <w:p>
      <w:pPr>
        <w:widowControl/>
        <w:snapToGrid w:val="0"/>
        <w:spacing w:line="420" w:lineRule="exact"/>
        <w:ind w:firstLine="480"/>
        <w:rPr>
          <w:szCs w:val="21"/>
        </w:rPr>
      </w:pPr>
      <w:r>
        <w:rPr>
          <w:rFonts w:hint="eastAsia"/>
          <w:szCs w:val="21"/>
        </w:rPr>
        <w:t>法定代表人或其授权的             法定代表人或其授权的</w:t>
      </w:r>
    </w:p>
    <w:p>
      <w:pPr>
        <w:widowControl/>
        <w:snapToGrid w:val="0"/>
        <w:spacing w:line="420" w:lineRule="exact"/>
        <w:ind w:firstLine="480"/>
        <w:rPr>
          <w:szCs w:val="21"/>
        </w:rPr>
      </w:pPr>
      <w:r>
        <w:rPr>
          <w:rFonts w:hint="eastAsia"/>
          <w:szCs w:val="21"/>
        </w:rPr>
        <w:t xml:space="preserve">代理人：_________（签字或盖章）  代理人：_________（签字或盖章） </w:t>
      </w:r>
    </w:p>
    <w:p>
      <w:pPr>
        <w:widowControl/>
        <w:snapToGrid w:val="0"/>
        <w:spacing w:line="420" w:lineRule="exact"/>
        <w:ind w:firstLine="480"/>
        <w:rPr>
          <w:szCs w:val="21"/>
        </w:rPr>
      </w:pPr>
      <w:r>
        <w:rPr>
          <w:rFonts w:hint="eastAsia"/>
          <w:szCs w:val="21"/>
        </w:rPr>
        <w:t>组织机构代码：</w:t>
      </w:r>
      <w:r>
        <w:rPr>
          <w:rFonts w:hint="eastAsia" w:ascii="宋体" w:hAnsi="宋体" w:cs="宋体"/>
          <w:szCs w:val="21"/>
        </w:rPr>
        <w:t xml:space="preserve">                      </w:t>
      </w:r>
      <w:r>
        <w:rPr>
          <w:rFonts w:hint="eastAsia"/>
          <w:szCs w:val="21"/>
        </w:rPr>
        <w:t>组织机构代码：</w:t>
      </w:r>
    </w:p>
    <w:p>
      <w:pPr>
        <w:widowControl/>
        <w:snapToGrid w:val="0"/>
        <w:spacing w:line="420" w:lineRule="exact"/>
        <w:ind w:firstLine="480"/>
        <w:rPr>
          <w:szCs w:val="21"/>
        </w:rPr>
      </w:pPr>
      <w:r>
        <w:rPr>
          <w:rFonts w:hint="eastAsia"/>
          <w:szCs w:val="21"/>
        </w:rPr>
        <w:t>纳税人识别码：                      纳税人识别码：</w:t>
      </w:r>
    </w:p>
    <w:p>
      <w:pPr>
        <w:widowControl/>
        <w:snapToGrid w:val="0"/>
        <w:spacing w:line="420" w:lineRule="exact"/>
        <w:ind w:left="5098" w:leftChars="228" w:hanging="4620" w:hangingChars="2200"/>
        <w:rPr>
          <w:szCs w:val="21"/>
        </w:rPr>
      </w:pPr>
      <w:r>
        <w:rPr>
          <w:rFonts w:hint="eastAsia"/>
          <w:szCs w:val="21"/>
        </w:rPr>
        <w:t>住    所</w:t>
      </w:r>
      <w:r>
        <w:rPr>
          <w:rFonts w:hint="eastAsia"/>
          <w:spacing w:val="-20"/>
          <w:szCs w:val="21"/>
        </w:rPr>
        <w:t xml:space="preserve">：                                          </w:t>
      </w:r>
      <w:r>
        <w:rPr>
          <w:rFonts w:hint="eastAsia"/>
          <w:szCs w:val="21"/>
        </w:rPr>
        <w:t>住    所：</w:t>
      </w:r>
    </w:p>
    <w:p>
      <w:pPr>
        <w:widowControl/>
        <w:snapToGrid w:val="0"/>
        <w:spacing w:line="420" w:lineRule="exact"/>
        <w:ind w:firstLine="480"/>
        <w:rPr>
          <w:szCs w:val="21"/>
        </w:rPr>
      </w:pPr>
      <w:r>
        <w:rPr>
          <w:rFonts w:hint="eastAsia"/>
          <w:szCs w:val="21"/>
        </w:rPr>
        <w:t>账    号：                          账    号：</w:t>
      </w:r>
    </w:p>
    <w:p>
      <w:pPr>
        <w:widowControl/>
        <w:snapToGrid w:val="0"/>
        <w:spacing w:line="420" w:lineRule="exact"/>
        <w:ind w:right="-766" w:firstLine="480"/>
        <w:jc w:val="left"/>
        <w:rPr>
          <w:szCs w:val="21"/>
        </w:rPr>
      </w:pPr>
      <w:r>
        <w:rPr>
          <w:rFonts w:hint="eastAsia"/>
          <w:szCs w:val="21"/>
        </w:rPr>
        <w:t xml:space="preserve">开户银行：                          开户银行：          </w:t>
      </w:r>
    </w:p>
    <w:p>
      <w:pPr>
        <w:widowControl/>
        <w:snapToGrid w:val="0"/>
        <w:spacing w:line="420" w:lineRule="exact"/>
        <w:ind w:right="-766" w:firstLine="480"/>
        <w:jc w:val="left"/>
        <w:rPr>
          <w:szCs w:val="21"/>
        </w:rPr>
      </w:pPr>
      <w:r>
        <w:rPr>
          <w:rFonts w:hint="eastAsia"/>
          <w:szCs w:val="21"/>
        </w:rPr>
        <w:t>邮政编码：                          邮政编码：</w:t>
      </w:r>
    </w:p>
    <w:p>
      <w:pPr>
        <w:widowControl/>
        <w:snapToGrid w:val="0"/>
        <w:spacing w:line="420" w:lineRule="exact"/>
        <w:ind w:right="-766" w:firstLine="480"/>
        <w:jc w:val="left"/>
        <w:rPr>
          <w:szCs w:val="21"/>
        </w:rPr>
      </w:pPr>
      <w:r>
        <w:rPr>
          <w:rFonts w:hint="eastAsia"/>
          <w:szCs w:val="21"/>
        </w:rPr>
        <w:t xml:space="preserve">电    话：                          电    话：                                                                              </w:t>
      </w:r>
    </w:p>
    <w:p>
      <w:pPr>
        <w:widowControl/>
        <w:snapToGrid w:val="0"/>
        <w:spacing w:line="420" w:lineRule="exact"/>
        <w:ind w:firstLine="480"/>
        <w:jc w:val="left"/>
        <w:rPr>
          <w:szCs w:val="21"/>
        </w:rPr>
      </w:pPr>
      <w:r>
        <w:rPr>
          <w:rFonts w:hint="eastAsia"/>
          <w:szCs w:val="21"/>
        </w:rPr>
        <w:t>传    真：                          传    真：</w:t>
      </w:r>
    </w:p>
    <w:p>
      <w:pPr>
        <w:pStyle w:val="102"/>
        <w:spacing w:line="420" w:lineRule="exact"/>
        <w:ind w:firstLine="480" w:firstLineChars="200"/>
        <w:jc w:val="left"/>
        <w:rPr>
          <w:rFonts w:ascii="宋体" w:hAnsi="宋体"/>
        </w:rPr>
      </w:pPr>
      <w:r>
        <w:rPr>
          <w:rFonts w:hint="eastAsia"/>
        </w:rPr>
        <w:t xml:space="preserve">电子信箱：                          电子信箱： </w:t>
      </w:r>
    </w:p>
    <w:p>
      <w:pPr>
        <w:rPr>
          <w:rFonts w:ascii="Times New Roman" w:hAnsi="Times New Roman"/>
          <w:spacing w:val="-5"/>
          <w:sz w:val="32"/>
          <w:szCs w:val="32"/>
        </w:rPr>
      </w:pPr>
      <w:r>
        <w:rPr>
          <w:rFonts w:ascii="Times New Roman" w:hAnsi="Times New Roman"/>
          <w:spacing w:val="-5"/>
          <w:sz w:val="32"/>
          <w:szCs w:val="32"/>
        </w:rPr>
        <w:br w:type="page"/>
      </w:r>
    </w:p>
    <w:p>
      <w:pPr>
        <w:pStyle w:val="3"/>
        <w:spacing w:line="400" w:lineRule="exact"/>
        <w:jc w:val="center"/>
        <w:rPr>
          <w:rFonts w:ascii="Times New Roman" w:hAnsi="Times New Roman"/>
          <w:spacing w:val="-5"/>
        </w:rPr>
      </w:pPr>
      <w:r>
        <w:rPr>
          <w:rFonts w:ascii="Times New Roman" w:hAnsi="Times New Roman"/>
          <w:spacing w:val="-5"/>
          <w:sz w:val="32"/>
          <w:szCs w:val="32"/>
        </w:rPr>
        <w:t>第二部分通用条件</w:t>
      </w:r>
      <w:bookmarkEnd w:id="248"/>
    </w:p>
    <w:p>
      <w:pPr>
        <w:pStyle w:val="4"/>
        <w:spacing w:line="300" w:lineRule="exact"/>
        <w:rPr>
          <w:rFonts w:ascii="Times New Roman" w:hAnsi="Times New Roman"/>
        </w:rPr>
      </w:pPr>
      <w:bookmarkStart w:id="249" w:name="_Toc435691742"/>
      <w:bookmarkStart w:id="250" w:name="_Toc146588386"/>
      <w:r>
        <w:rPr>
          <w:rFonts w:ascii="Times New Roman" w:hAnsi="Times New Roman"/>
          <w:spacing w:val="-5"/>
          <w:sz w:val="24"/>
        </w:rPr>
        <w:t>1.词语定义、语言、解释顺序与适用法律</w:t>
      </w:r>
      <w:bookmarkEnd w:id="249"/>
      <w:bookmarkEnd w:id="250"/>
    </w:p>
    <w:p>
      <w:pPr>
        <w:pStyle w:val="5"/>
        <w:spacing w:line="300" w:lineRule="exact"/>
        <w:rPr>
          <w:rFonts w:ascii="Times New Roman" w:hAnsi="Times New Roman"/>
          <w:spacing w:val="-3"/>
          <w:sz w:val="24"/>
        </w:rPr>
      </w:pPr>
      <w:bookmarkStart w:id="251" w:name="_Toc435691743"/>
      <w:r>
        <w:rPr>
          <w:rFonts w:ascii="Times New Roman" w:hAnsi="Times New Roman"/>
          <w:spacing w:val="-3"/>
          <w:sz w:val="24"/>
        </w:rPr>
        <w:t>1.1词语定义</w:t>
      </w:r>
      <w:bookmarkEnd w:id="251"/>
    </w:p>
    <w:p>
      <w:pPr>
        <w:spacing w:line="300" w:lineRule="exact"/>
        <w:ind w:left="60" w:firstLine="480"/>
        <w:rPr>
          <w:rFonts w:ascii="Times New Roman" w:hAnsi="Times New Roman"/>
          <w:spacing w:val="-5"/>
          <w:sz w:val="24"/>
        </w:rPr>
      </w:pPr>
      <w:r>
        <w:rPr>
          <w:rFonts w:ascii="Times New Roman" w:hAnsi="Times New Roman"/>
          <w:spacing w:val="-5"/>
          <w:sz w:val="24"/>
        </w:rPr>
        <w:t>组成本合同的全部文件中的下列名词和用语应具有本款所赋予的含义：</w:t>
      </w:r>
    </w:p>
    <w:p>
      <w:pPr>
        <w:spacing w:line="300" w:lineRule="exact"/>
        <w:ind w:left="60" w:firstLine="480"/>
        <w:rPr>
          <w:rFonts w:ascii="Times New Roman" w:hAnsi="Times New Roman"/>
          <w:spacing w:val="-5"/>
          <w:sz w:val="24"/>
        </w:rPr>
      </w:pPr>
      <w:r>
        <w:rPr>
          <w:rFonts w:ascii="Times New Roman" w:hAnsi="Times New Roman"/>
          <w:spacing w:val="-5"/>
          <w:sz w:val="24"/>
        </w:rPr>
        <w:t>1.1.1“工程”是指按照本合同约定实施造价咨询与其他服务的建设工程。</w:t>
      </w:r>
    </w:p>
    <w:p>
      <w:pPr>
        <w:spacing w:line="300" w:lineRule="exact"/>
        <w:ind w:left="60" w:firstLine="480"/>
        <w:rPr>
          <w:rFonts w:ascii="Times New Roman" w:hAnsi="Times New Roman"/>
          <w:spacing w:val="-5"/>
          <w:sz w:val="24"/>
        </w:rPr>
      </w:pPr>
      <w:r>
        <w:rPr>
          <w:rFonts w:ascii="Times New Roman" w:hAnsi="Times New Roman"/>
          <w:spacing w:val="-5"/>
          <w:sz w:val="24"/>
        </w:rPr>
        <w:t>1.1.2“工程造价”是指工程项目建设过程中预计或实际支出的全部费用。</w:t>
      </w:r>
    </w:p>
    <w:p>
      <w:pPr>
        <w:spacing w:line="300" w:lineRule="exact"/>
        <w:ind w:left="60" w:firstLine="480"/>
        <w:rPr>
          <w:rFonts w:ascii="Times New Roman" w:hAnsi="Times New Roman"/>
          <w:spacing w:val="-5"/>
          <w:sz w:val="24"/>
        </w:rPr>
      </w:pPr>
      <w:r>
        <w:rPr>
          <w:rFonts w:ascii="Times New Roman" w:hAnsi="Times New Roman"/>
          <w:spacing w:val="-5"/>
          <w:sz w:val="24"/>
        </w:rPr>
        <w:t>1.1.3“委托人”是指本合同中委托造价咨询与其他服务的一方，及其合法的继承人或受让人。</w:t>
      </w:r>
    </w:p>
    <w:p>
      <w:pPr>
        <w:spacing w:line="300" w:lineRule="exact"/>
        <w:ind w:left="60" w:firstLine="480"/>
        <w:rPr>
          <w:rFonts w:ascii="Times New Roman" w:hAnsi="Times New Roman"/>
          <w:spacing w:val="-5"/>
          <w:sz w:val="24"/>
        </w:rPr>
      </w:pPr>
      <w:r>
        <w:rPr>
          <w:rFonts w:ascii="Times New Roman" w:hAnsi="Times New Roman"/>
          <w:spacing w:val="-5"/>
          <w:sz w:val="24"/>
        </w:rPr>
        <w:t>1.1.4“咨询人”是指本合同中提供造价咨询与其他服务的一方，及其合法的继承人。</w:t>
      </w:r>
    </w:p>
    <w:p>
      <w:pPr>
        <w:spacing w:line="300" w:lineRule="exact"/>
        <w:ind w:left="60" w:firstLine="480"/>
        <w:rPr>
          <w:rFonts w:ascii="Times New Roman" w:hAnsi="Times New Roman"/>
          <w:spacing w:val="-5"/>
          <w:sz w:val="24"/>
        </w:rPr>
      </w:pPr>
      <w:r>
        <w:rPr>
          <w:rFonts w:ascii="Times New Roman" w:hAnsi="Times New Roman"/>
          <w:spacing w:val="-5"/>
          <w:sz w:val="24"/>
        </w:rPr>
        <w:t>1.1.5“第三人”是指除委托人、咨询人以外与本咨询业务有关的当事人。</w:t>
      </w:r>
    </w:p>
    <w:p>
      <w:pPr>
        <w:spacing w:line="300" w:lineRule="exact"/>
        <w:ind w:left="60" w:firstLine="480"/>
        <w:rPr>
          <w:rFonts w:ascii="Times New Roman" w:hAnsi="Times New Roman"/>
          <w:spacing w:val="-5"/>
          <w:sz w:val="24"/>
        </w:rPr>
      </w:pPr>
      <w:r>
        <w:rPr>
          <w:rFonts w:ascii="Times New Roman" w:hAnsi="Times New Roman"/>
          <w:spacing w:val="-5"/>
          <w:sz w:val="24"/>
        </w:rPr>
        <w:t>1.1.6“正常工作”是指本合同订立时通用条件和专用条件中约定的咨询人的工作。</w:t>
      </w:r>
    </w:p>
    <w:p>
      <w:pPr>
        <w:spacing w:line="300" w:lineRule="exact"/>
        <w:ind w:left="60" w:firstLine="480"/>
        <w:rPr>
          <w:rFonts w:ascii="Times New Roman" w:hAnsi="Times New Roman"/>
          <w:spacing w:val="-5"/>
          <w:sz w:val="24"/>
        </w:rPr>
      </w:pPr>
      <w:r>
        <w:rPr>
          <w:rFonts w:ascii="Times New Roman" w:hAnsi="Times New Roman"/>
          <w:spacing w:val="-5"/>
          <w:sz w:val="24"/>
        </w:rPr>
        <w:t>1.1.7“附加工作”是指咨询人根据合同条件完成的正常工作以外的工作。</w:t>
      </w:r>
    </w:p>
    <w:p>
      <w:pPr>
        <w:spacing w:line="300" w:lineRule="exact"/>
        <w:ind w:left="60" w:firstLine="480"/>
        <w:rPr>
          <w:rFonts w:ascii="Times New Roman" w:hAnsi="Times New Roman"/>
          <w:spacing w:val="-5"/>
          <w:sz w:val="24"/>
        </w:rPr>
      </w:pPr>
      <w:r>
        <w:rPr>
          <w:rFonts w:ascii="Times New Roman" w:hAnsi="Times New Roman"/>
          <w:spacing w:val="-5"/>
          <w:sz w:val="24"/>
        </w:rPr>
        <w:t>1.1.8“项目咨询团队”是指咨询人指派负责履行本合同的团队，其团队成员为本合同的项目咨询人员。</w:t>
      </w:r>
    </w:p>
    <w:p>
      <w:pPr>
        <w:spacing w:line="300" w:lineRule="exact"/>
        <w:ind w:left="60" w:firstLine="480"/>
        <w:rPr>
          <w:rFonts w:ascii="Times New Roman" w:hAnsi="Times New Roman"/>
          <w:spacing w:val="-5"/>
          <w:sz w:val="24"/>
        </w:rPr>
      </w:pPr>
      <w:r>
        <w:rPr>
          <w:rFonts w:ascii="Times New Roman" w:hAnsi="Times New Roman"/>
          <w:spacing w:val="-5"/>
          <w:sz w:val="24"/>
        </w:rPr>
        <w:t>1.1.9“项目负责人”是指由咨询人的法定代表人书面授权，在授权范围内负责履行本合同、主持项目咨询团队工作的负责人。</w:t>
      </w:r>
    </w:p>
    <w:p>
      <w:pPr>
        <w:spacing w:line="300" w:lineRule="exact"/>
        <w:ind w:left="60" w:firstLine="480"/>
        <w:rPr>
          <w:rFonts w:ascii="Times New Roman" w:hAnsi="Times New Roman"/>
          <w:spacing w:val="-5"/>
          <w:sz w:val="24"/>
        </w:rPr>
      </w:pPr>
      <w:r>
        <w:rPr>
          <w:rFonts w:ascii="Times New Roman" w:hAnsi="Times New Roman"/>
          <w:spacing w:val="-5"/>
          <w:sz w:val="24"/>
        </w:rPr>
        <w:t>1.1.10“委托人代表”是指由委托人的法定代表人书面授权，在授权范围内行使委托人权利的人。</w:t>
      </w:r>
      <w:bookmarkStart w:id="252" w:name="11"/>
      <w:bookmarkEnd w:id="252"/>
    </w:p>
    <w:p>
      <w:pPr>
        <w:spacing w:line="300" w:lineRule="exact"/>
        <w:ind w:left="60" w:firstLine="480"/>
        <w:rPr>
          <w:rFonts w:ascii="Times New Roman" w:hAnsi="Times New Roman"/>
          <w:spacing w:val="-5"/>
          <w:sz w:val="24"/>
        </w:rPr>
      </w:pPr>
      <w:r>
        <w:rPr>
          <w:rFonts w:ascii="Times New Roman" w:hAnsi="Times New Roman"/>
          <w:spacing w:val="-5"/>
          <w:sz w:val="24"/>
        </w:rPr>
        <w:t>1.1.11“酬金”是指咨询人履行本合同义务，委托人按照本合同约定给付咨询人的金额。</w:t>
      </w:r>
    </w:p>
    <w:p>
      <w:pPr>
        <w:spacing w:line="300" w:lineRule="exact"/>
        <w:ind w:left="60" w:firstLine="480"/>
        <w:rPr>
          <w:rFonts w:ascii="Times New Roman" w:hAnsi="Times New Roman"/>
          <w:spacing w:val="-5"/>
          <w:sz w:val="24"/>
        </w:rPr>
      </w:pPr>
      <w:r>
        <w:rPr>
          <w:rFonts w:ascii="Times New Roman" w:hAnsi="Times New Roman"/>
          <w:spacing w:val="-5"/>
          <w:sz w:val="24"/>
        </w:rPr>
        <w:t>1.1.12“正常工作酬金”是指在协议书中载明的，咨询人完成正常工作，委托人应给付咨询人的酬金。</w:t>
      </w:r>
    </w:p>
    <w:p>
      <w:pPr>
        <w:spacing w:line="300" w:lineRule="exact"/>
        <w:ind w:left="60" w:firstLine="480"/>
        <w:rPr>
          <w:rFonts w:ascii="Times New Roman" w:hAnsi="Times New Roman"/>
          <w:spacing w:val="-5"/>
          <w:sz w:val="24"/>
        </w:rPr>
      </w:pPr>
      <w:r>
        <w:rPr>
          <w:rFonts w:ascii="Times New Roman" w:hAnsi="Times New Roman"/>
          <w:spacing w:val="-5"/>
          <w:sz w:val="24"/>
        </w:rPr>
        <w:t>1.1.13“附加工作酬金”是指咨询人完成附加工作，委托人应给付咨询人的酬金。</w:t>
      </w:r>
    </w:p>
    <w:p>
      <w:pPr>
        <w:spacing w:line="300" w:lineRule="exact"/>
        <w:ind w:left="60" w:firstLine="480"/>
        <w:rPr>
          <w:rFonts w:ascii="Times New Roman" w:hAnsi="Times New Roman"/>
          <w:spacing w:val="-5"/>
          <w:sz w:val="24"/>
        </w:rPr>
      </w:pPr>
      <w:r>
        <w:rPr>
          <w:rFonts w:ascii="Times New Roman" w:hAnsi="Times New Roman"/>
          <w:spacing w:val="-5"/>
          <w:sz w:val="24"/>
        </w:rPr>
        <w:t>1.1.14“书面形式”是指合同书、信件和数据电文（包括电报、电传、传真、电子数据交换和电子邮件）等可以有形地表现所载内容的形式。</w:t>
      </w:r>
    </w:p>
    <w:p>
      <w:pPr>
        <w:spacing w:line="300" w:lineRule="exact"/>
        <w:ind w:left="60" w:firstLine="480"/>
        <w:rPr>
          <w:rFonts w:ascii="Times New Roman" w:hAnsi="Times New Roman"/>
          <w:spacing w:val="-5"/>
          <w:sz w:val="24"/>
        </w:rPr>
      </w:pPr>
      <w:r>
        <w:rPr>
          <w:rFonts w:ascii="Times New Roman" w:hAnsi="Times New Roman"/>
          <w:spacing w:val="-5"/>
          <w:sz w:val="24"/>
        </w:rPr>
        <w:t>1.1.15“不可抗力”是指委托人和咨询人在订立本合同时不可预见，在合同履行过程中不可避免并不能克服的自然灾害和社会性突发事件，如地震、海啸、瘟疫、水灾、骚乱、暴动、战争等情形。</w:t>
      </w:r>
    </w:p>
    <w:p>
      <w:pPr>
        <w:pStyle w:val="5"/>
        <w:spacing w:line="300" w:lineRule="exact"/>
        <w:rPr>
          <w:rFonts w:ascii="Times New Roman" w:hAnsi="Times New Roman"/>
          <w:spacing w:val="-3"/>
          <w:sz w:val="24"/>
        </w:rPr>
      </w:pPr>
      <w:bookmarkStart w:id="253" w:name="_Toc435691744"/>
      <w:r>
        <w:rPr>
          <w:rFonts w:ascii="Times New Roman" w:hAnsi="Times New Roman"/>
          <w:spacing w:val="-3"/>
          <w:sz w:val="24"/>
        </w:rPr>
        <w:t>1.2语言</w:t>
      </w:r>
      <w:bookmarkEnd w:id="253"/>
    </w:p>
    <w:p>
      <w:pPr>
        <w:spacing w:line="300" w:lineRule="exact"/>
        <w:ind w:left="60" w:firstLine="480"/>
        <w:rPr>
          <w:rFonts w:ascii="Times New Roman" w:hAnsi="Times New Roman"/>
          <w:spacing w:val="-5"/>
          <w:sz w:val="24"/>
        </w:rPr>
      </w:pPr>
      <w:r>
        <w:rPr>
          <w:rFonts w:ascii="Times New Roman" w:hAnsi="Times New Roman"/>
          <w:spacing w:val="-5"/>
          <w:sz w:val="24"/>
        </w:rPr>
        <w:t>本合同使用中文书写、解释和说明。如专用条件约定使用两种及以上语言文字时，应以中文为准。</w:t>
      </w:r>
    </w:p>
    <w:p>
      <w:pPr>
        <w:pStyle w:val="5"/>
        <w:spacing w:line="300" w:lineRule="exact"/>
        <w:rPr>
          <w:rFonts w:ascii="Times New Roman" w:hAnsi="Times New Roman"/>
          <w:spacing w:val="-3"/>
          <w:sz w:val="24"/>
        </w:rPr>
      </w:pPr>
      <w:bookmarkStart w:id="254" w:name="_Toc435691745"/>
      <w:r>
        <w:rPr>
          <w:rFonts w:ascii="Times New Roman" w:hAnsi="Times New Roman"/>
          <w:spacing w:val="-3"/>
          <w:sz w:val="24"/>
        </w:rPr>
        <w:t>1.3合同文件的优先顺序</w:t>
      </w:r>
      <w:bookmarkEnd w:id="254"/>
    </w:p>
    <w:p>
      <w:pPr>
        <w:spacing w:line="300" w:lineRule="exact"/>
        <w:ind w:left="60" w:firstLine="480"/>
        <w:rPr>
          <w:rFonts w:ascii="Times New Roman" w:hAnsi="Times New Roman"/>
          <w:spacing w:val="-5"/>
          <w:sz w:val="24"/>
        </w:rPr>
      </w:pPr>
      <w:r>
        <w:rPr>
          <w:rFonts w:ascii="Times New Roman" w:hAnsi="Times New Roman"/>
          <w:spacing w:val="-5"/>
          <w:sz w:val="24"/>
        </w:rPr>
        <w:t>组成本合同的下列文件彼此应能相互解释、互为说明。除专用条件另有约定外，本合同文件的解释顺序如下：</w:t>
      </w:r>
    </w:p>
    <w:p>
      <w:pPr>
        <w:spacing w:line="300" w:lineRule="exact"/>
        <w:ind w:left="60" w:firstLine="480"/>
        <w:rPr>
          <w:rFonts w:ascii="Times New Roman" w:hAnsi="Times New Roman"/>
          <w:spacing w:val="-5"/>
          <w:sz w:val="24"/>
        </w:rPr>
      </w:pPr>
      <w:r>
        <w:rPr>
          <w:rFonts w:ascii="Times New Roman" w:hAnsi="Times New Roman"/>
          <w:spacing w:val="-5"/>
          <w:sz w:val="24"/>
        </w:rPr>
        <w:t>1.协议书</w:t>
      </w:r>
    </w:p>
    <w:p>
      <w:pPr>
        <w:spacing w:line="300" w:lineRule="exact"/>
        <w:ind w:left="60" w:firstLine="480"/>
        <w:rPr>
          <w:rFonts w:ascii="Times New Roman" w:hAnsi="Times New Roman"/>
          <w:spacing w:val="-5"/>
          <w:sz w:val="24"/>
        </w:rPr>
      </w:pPr>
      <w:r>
        <w:rPr>
          <w:rFonts w:ascii="Times New Roman" w:hAnsi="Times New Roman"/>
          <w:spacing w:val="-5"/>
          <w:sz w:val="24"/>
        </w:rPr>
        <w:t>2.中标通知书或委托书（如果有）；</w:t>
      </w:r>
    </w:p>
    <w:p>
      <w:pPr>
        <w:spacing w:line="300" w:lineRule="exact"/>
        <w:ind w:left="60" w:firstLine="480"/>
        <w:rPr>
          <w:rFonts w:ascii="Times New Roman" w:hAnsi="Times New Roman"/>
          <w:spacing w:val="-5"/>
          <w:sz w:val="24"/>
        </w:rPr>
      </w:pPr>
      <w:r>
        <w:rPr>
          <w:rFonts w:ascii="Times New Roman" w:hAnsi="Times New Roman"/>
          <w:spacing w:val="-5"/>
          <w:sz w:val="24"/>
        </w:rPr>
        <w:t>3.专用条件及附录；</w:t>
      </w:r>
    </w:p>
    <w:p>
      <w:pPr>
        <w:spacing w:line="300" w:lineRule="exact"/>
        <w:ind w:left="60" w:firstLine="480"/>
        <w:rPr>
          <w:rFonts w:ascii="Times New Roman" w:hAnsi="Times New Roman"/>
          <w:spacing w:val="-5"/>
          <w:sz w:val="24"/>
        </w:rPr>
      </w:pPr>
      <w:r>
        <w:rPr>
          <w:rFonts w:ascii="Times New Roman" w:hAnsi="Times New Roman"/>
          <w:spacing w:val="-5"/>
          <w:sz w:val="24"/>
        </w:rPr>
        <w:t>4.通用条件；</w:t>
      </w:r>
    </w:p>
    <w:p>
      <w:pPr>
        <w:spacing w:line="300" w:lineRule="exact"/>
        <w:ind w:left="60" w:firstLine="480"/>
        <w:rPr>
          <w:rFonts w:ascii="Times New Roman" w:hAnsi="Times New Roman"/>
          <w:spacing w:val="-5"/>
          <w:sz w:val="24"/>
        </w:rPr>
      </w:pPr>
      <w:r>
        <w:rPr>
          <w:rFonts w:ascii="Times New Roman" w:hAnsi="Times New Roman"/>
          <w:spacing w:val="-5"/>
          <w:sz w:val="24"/>
        </w:rPr>
        <w:t>5.投标函及投标函附录或造价咨询服务建议书（如果有）；</w:t>
      </w:r>
    </w:p>
    <w:p>
      <w:pPr>
        <w:spacing w:line="300" w:lineRule="exact"/>
        <w:ind w:left="60" w:firstLine="480"/>
        <w:rPr>
          <w:rFonts w:ascii="Times New Roman" w:hAnsi="Times New Roman"/>
          <w:spacing w:val="-5"/>
          <w:sz w:val="24"/>
        </w:rPr>
      </w:pPr>
      <w:r>
        <w:rPr>
          <w:rFonts w:ascii="Times New Roman" w:hAnsi="Times New Roman"/>
          <w:spacing w:val="-5"/>
          <w:sz w:val="24"/>
        </w:rPr>
        <w:t>6.其他合同文件。</w:t>
      </w:r>
    </w:p>
    <w:p>
      <w:pPr>
        <w:spacing w:line="300" w:lineRule="exact"/>
        <w:ind w:left="60" w:firstLine="480"/>
        <w:rPr>
          <w:rFonts w:ascii="Times New Roman" w:hAnsi="Times New Roman"/>
          <w:spacing w:val="-5"/>
          <w:sz w:val="24"/>
        </w:rPr>
      </w:pPr>
      <w:r>
        <w:rPr>
          <w:rFonts w:ascii="Times New Roman" w:hAnsi="Times New Roman"/>
          <w:spacing w:val="-5"/>
          <w:sz w:val="24"/>
        </w:rPr>
        <w:t>上述各项合同文件包括合同当事人就该项合同文件所作出的补充和修改，属于同一类内容的文件，应以最新签署的为准。</w:t>
      </w:r>
    </w:p>
    <w:p>
      <w:pPr>
        <w:spacing w:line="300" w:lineRule="exact"/>
        <w:ind w:left="60" w:firstLine="480"/>
        <w:rPr>
          <w:rFonts w:ascii="Times New Roman" w:hAnsi="Times New Roman"/>
          <w:spacing w:val="-5"/>
          <w:sz w:val="24"/>
        </w:rPr>
      </w:pPr>
      <w:r>
        <w:rPr>
          <w:rFonts w:ascii="Times New Roman" w:hAnsi="Times New Roman"/>
          <w:spacing w:val="-5"/>
          <w:sz w:val="24"/>
        </w:rPr>
        <w:t>在合同订立及履行过程中形成的与合同有关的文件均构成合同文件的组成部分。</w:t>
      </w:r>
    </w:p>
    <w:p>
      <w:pPr>
        <w:pStyle w:val="5"/>
        <w:spacing w:line="300" w:lineRule="exact"/>
        <w:rPr>
          <w:rFonts w:ascii="Times New Roman" w:hAnsi="Times New Roman"/>
          <w:spacing w:val="-3"/>
          <w:sz w:val="24"/>
        </w:rPr>
      </w:pPr>
      <w:bookmarkStart w:id="255" w:name="_Toc435691746"/>
      <w:r>
        <w:rPr>
          <w:rFonts w:ascii="Times New Roman" w:hAnsi="Times New Roman"/>
          <w:spacing w:val="-3"/>
          <w:sz w:val="24"/>
        </w:rPr>
        <w:t>1.4适用法律</w:t>
      </w:r>
      <w:bookmarkEnd w:id="255"/>
      <w:bookmarkStart w:id="256" w:name="12"/>
      <w:bookmarkEnd w:id="256"/>
    </w:p>
    <w:p>
      <w:pPr>
        <w:spacing w:line="300" w:lineRule="exact"/>
        <w:ind w:left="60" w:firstLine="480"/>
        <w:rPr>
          <w:rFonts w:ascii="Times New Roman" w:hAnsi="Times New Roman"/>
          <w:spacing w:val="-5"/>
          <w:sz w:val="24"/>
        </w:rPr>
      </w:pPr>
      <w:r>
        <w:rPr>
          <w:rFonts w:ascii="Times New Roman" w:hAnsi="Times New Roman"/>
          <w:spacing w:val="-5"/>
          <w:sz w:val="24"/>
        </w:rPr>
        <w:t>本合同适用中华人民共和国法律、行政法规、部门规章以及工程所在地的地方性法规、自治条例、单行条例和地方政府规章等。</w:t>
      </w:r>
    </w:p>
    <w:p>
      <w:pPr>
        <w:spacing w:line="300" w:lineRule="exact"/>
        <w:ind w:left="60" w:firstLine="480"/>
        <w:rPr>
          <w:rFonts w:ascii="Times New Roman" w:hAnsi="Times New Roman"/>
          <w:spacing w:val="-5"/>
          <w:sz w:val="24"/>
        </w:rPr>
      </w:pPr>
      <w:r>
        <w:rPr>
          <w:rFonts w:ascii="Times New Roman" w:hAnsi="Times New Roman"/>
          <w:spacing w:val="-5"/>
          <w:sz w:val="24"/>
        </w:rPr>
        <w:t>合同当事人可以在专用条件中约定本合同适用的其他规范、规程、定额、技术标准等规范性文件。</w:t>
      </w:r>
    </w:p>
    <w:p>
      <w:pPr>
        <w:pStyle w:val="4"/>
        <w:spacing w:line="300" w:lineRule="exact"/>
        <w:rPr>
          <w:rFonts w:ascii="Times New Roman" w:hAnsi="Times New Roman"/>
          <w:spacing w:val="-5"/>
          <w:sz w:val="24"/>
        </w:rPr>
      </w:pPr>
      <w:bookmarkStart w:id="257" w:name="_Toc435691747"/>
      <w:bookmarkStart w:id="258" w:name="_Toc146588387"/>
      <w:r>
        <w:rPr>
          <w:rFonts w:ascii="Times New Roman" w:hAnsi="Times New Roman"/>
          <w:spacing w:val="-5"/>
          <w:sz w:val="24"/>
        </w:rPr>
        <w:t>2.委托人的义务</w:t>
      </w:r>
      <w:bookmarkEnd w:id="257"/>
      <w:bookmarkEnd w:id="258"/>
    </w:p>
    <w:p>
      <w:pPr>
        <w:pStyle w:val="5"/>
        <w:spacing w:line="300" w:lineRule="exact"/>
        <w:rPr>
          <w:rFonts w:ascii="Times New Roman" w:hAnsi="Times New Roman"/>
          <w:spacing w:val="-3"/>
          <w:sz w:val="24"/>
        </w:rPr>
      </w:pPr>
      <w:bookmarkStart w:id="259" w:name="_Toc435691748"/>
      <w:r>
        <w:rPr>
          <w:rFonts w:ascii="Times New Roman" w:hAnsi="Times New Roman"/>
          <w:spacing w:val="-3"/>
          <w:sz w:val="24"/>
        </w:rPr>
        <w:t>2.1提供资料</w:t>
      </w:r>
      <w:bookmarkEnd w:id="259"/>
    </w:p>
    <w:p>
      <w:pPr>
        <w:spacing w:line="300" w:lineRule="exact"/>
        <w:ind w:left="60" w:firstLine="480"/>
        <w:rPr>
          <w:rFonts w:ascii="Times New Roman" w:hAnsi="Times New Roman"/>
          <w:spacing w:val="-5"/>
          <w:sz w:val="24"/>
        </w:rPr>
      </w:pPr>
      <w:r>
        <w:rPr>
          <w:rFonts w:ascii="Times New Roman" w:hAnsi="Times New Roman"/>
          <w:spacing w:val="-5"/>
          <w:sz w:val="24"/>
        </w:rPr>
        <w:t>委托人应当在专用条件约定的时间内，按照附录C的约定无偿向咨询人提供与本合同咨询业务有关的资料。在本合同履行过程中，委托人应及时向咨询</w:t>
      </w:r>
    </w:p>
    <w:p>
      <w:pPr>
        <w:spacing w:line="300" w:lineRule="exact"/>
        <w:ind w:left="60" w:firstLine="480"/>
        <w:rPr>
          <w:rFonts w:ascii="Times New Roman" w:hAnsi="Times New Roman"/>
          <w:spacing w:val="-5"/>
          <w:sz w:val="24"/>
        </w:rPr>
      </w:pPr>
      <w:r>
        <w:rPr>
          <w:rFonts w:ascii="Times New Roman" w:hAnsi="Times New Roman"/>
          <w:spacing w:val="-5"/>
          <w:sz w:val="24"/>
        </w:rPr>
        <w:t>人提供最新的与本合同咨询业务有关的资料。委托人应对所提供资料的真实性、准确性、合法性与完整性负责。</w:t>
      </w:r>
    </w:p>
    <w:p>
      <w:pPr>
        <w:pStyle w:val="5"/>
        <w:spacing w:line="300" w:lineRule="exact"/>
        <w:rPr>
          <w:rFonts w:ascii="Times New Roman" w:hAnsi="Times New Roman"/>
          <w:spacing w:val="-3"/>
          <w:sz w:val="24"/>
        </w:rPr>
      </w:pPr>
      <w:bookmarkStart w:id="260" w:name="_Toc435691749"/>
      <w:r>
        <w:rPr>
          <w:rFonts w:ascii="Times New Roman" w:hAnsi="Times New Roman"/>
          <w:spacing w:val="-3"/>
          <w:sz w:val="24"/>
        </w:rPr>
        <w:t>2.2提供工作条件</w:t>
      </w:r>
      <w:bookmarkEnd w:id="260"/>
    </w:p>
    <w:p>
      <w:pPr>
        <w:spacing w:line="300" w:lineRule="exact"/>
        <w:ind w:left="60" w:firstLine="480"/>
        <w:rPr>
          <w:rFonts w:ascii="Times New Roman" w:hAnsi="Times New Roman"/>
          <w:spacing w:val="-5"/>
          <w:sz w:val="24"/>
        </w:rPr>
      </w:pPr>
      <w:r>
        <w:rPr>
          <w:rFonts w:ascii="Times New Roman" w:hAnsi="Times New Roman"/>
          <w:spacing w:val="-5"/>
          <w:sz w:val="24"/>
        </w:rPr>
        <w:t>委托人应为咨询人完成造价咨询提供必要的条件。</w:t>
      </w:r>
    </w:p>
    <w:p>
      <w:pPr>
        <w:spacing w:line="300" w:lineRule="exact"/>
        <w:ind w:left="60" w:firstLine="480"/>
        <w:rPr>
          <w:rFonts w:ascii="Times New Roman" w:hAnsi="Times New Roman"/>
          <w:spacing w:val="-5"/>
          <w:sz w:val="24"/>
        </w:rPr>
      </w:pPr>
      <w:r>
        <w:rPr>
          <w:rFonts w:ascii="Times New Roman" w:hAnsi="Times New Roman"/>
          <w:spacing w:val="-5"/>
          <w:sz w:val="24"/>
        </w:rPr>
        <w:t>2.2.1委托人需要咨询人派驻项目现场咨询人员的，除专用条件另有约定外，项目咨询人员有权无偿使用附录D中由委托人提供的房屋及设备。</w:t>
      </w:r>
    </w:p>
    <w:p>
      <w:pPr>
        <w:spacing w:line="300" w:lineRule="exact"/>
        <w:ind w:left="60" w:firstLine="480"/>
        <w:rPr>
          <w:rFonts w:ascii="Times New Roman" w:hAnsi="Times New Roman"/>
          <w:spacing w:val="-5"/>
          <w:sz w:val="24"/>
        </w:rPr>
      </w:pPr>
      <w:r>
        <w:rPr>
          <w:rFonts w:ascii="Times New Roman" w:hAnsi="Times New Roman"/>
          <w:spacing w:val="-5"/>
          <w:sz w:val="24"/>
        </w:rPr>
        <w:t>2.2.2委托人应负责与本工程造价咨询业务有关的所有外部关系的协调，为咨询人履行本合同提供必要的外部条件。</w:t>
      </w:r>
    </w:p>
    <w:p>
      <w:pPr>
        <w:pStyle w:val="5"/>
        <w:spacing w:line="300" w:lineRule="exact"/>
        <w:rPr>
          <w:rFonts w:ascii="Times New Roman" w:hAnsi="Times New Roman"/>
          <w:spacing w:val="-3"/>
          <w:sz w:val="24"/>
        </w:rPr>
      </w:pPr>
      <w:bookmarkStart w:id="261" w:name="_Toc435691750"/>
      <w:r>
        <w:rPr>
          <w:rFonts w:ascii="Times New Roman" w:hAnsi="Times New Roman"/>
          <w:spacing w:val="-3"/>
          <w:sz w:val="24"/>
        </w:rPr>
        <w:t>2.3合理工作时限</w:t>
      </w:r>
      <w:bookmarkEnd w:id="261"/>
    </w:p>
    <w:p>
      <w:pPr>
        <w:spacing w:line="300" w:lineRule="exact"/>
        <w:ind w:left="60" w:firstLine="480"/>
        <w:rPr>
          <w:rFonts w:ascii="Times New Roman" w:hAnsi="Times New Roman"/>
          <w:spacing w:val="-5"/>
          <w:sz w:val="24"/>
        </w:rPr>
      </w:pPr>
      <w:r>
        <w:rPr>
          <w:rFonts w:ascii="Times New Roman" w:hAnsi="Times New Roman"/>
          <w:spacing w:val="-5"/>
          <w:sz w:val="24"/>
        </w:rPr>
        <w:t>委托人应当为咨询人完成其咨询工作，设定合理的工作时限。</w:t>
      </w:r>
    </w:p>
    <w:p>
      <w:pPr>
        <w:pStyle w:val="5"/>
        <w:spacing w:line="300" w:lineRule="exact"/>
        <w:rPr>
          <w:rFonts w:ascii="Times New Roman" w:hAnsi="Times New Roman"/>
          <w:spacing w:val="-3"/>
          <w:sz w:val="24"/>
        </w:rPr>
      </w:pPr>
      <w:bookmarkStart w:id="262" w:name="_Toc435691751"/>
      <w:r>
        <w:rPr>
          <w:rFonts w:ascii="Times New Roman" w:hAnsi="Times New Roman"/>
          <w:spacing w:val="-3"/>
          <w:sz w:val="24"/>
        </w:rPr>
        <w:t>2.4委托人代表</w:t>
      </w:r>
      <w:bookmarkEnd w:id="262"/>
    </w:p>
    <w:p>
      <w:pPr>
        <w:spacing w:line="300" w:lineRule="exact"/>
        <w:ind w:left="60" w:firstLine="480"/>
        <w:rPr>
          <w:rFonts w:ascii="Times New Roman" w:hAnsi="Times New Roman"/>
          <w:spacing w:val="-5"/>
          <w:sz w:val="24"/>
        </w:rPr>
      </w:pPr>
      <w:r>
        <w:rPr>
          <w:rFonts w:ascii="Times New Roman" w:hAnsi="Times New Roman"/>
          <w:spacing w:val="-5"/>
          <w:sz w:val="24"/>
        </w:rPr>
        <w:t>委托人应授权一名代表负责本合同的履行。委托人应在双方签订本合同7日内，将委托人代表的姓名和权限范围书面告知咨询人。委托人更换委托人代表时，应提前7日书面通知咨询人。</w:t>
      </w:r>
    </w:p>
    <w:p>
      <w:pPr>
        <w:pStyle w:val="5"/>
        <w:spacing w:line="300" w:lineRule="exact"/>
        <w:rPr>
          <w:rFonts w:ascii="Times New Roman" w:hAnsi="Times New Roman"/>
          <w:spacing w:val="-3"/>
          <w:sz w:val="24"/>
        </w:rPr>
      </w:pPr>
      <w:bookmarkStart w:id="263" w:name="_Toc435691752"/>
      <w:r>
        <w:rPr>
          <w:rFonts w:ascii="Times New Roman" w:hAnsi="Times New Roman"/>
          <w:spacing w:val="-3"/>
          <w:sz w:val="24"/>
        </w:rPr>
        <w:t>2.5答复</w:t>
      </w:r>
      <w:bookmarkEnd w:id="263"/>
    </w:p>
    <w:p>
      <w:pPr>
        <w:spacing w:line="300" w:lineRule="exact"/>
        <w:ind w:left="60" w:firstLine="480"/>
        <w:rPr>
          <w:rFonts w:ascii="Times New Roman" w:hAnsi="Times New Roman"/>
          <w:spacing w:val="-5"/>
          <w:sz w:val="24"/>
        </w:rPr>
      </w:pPr>
      <w:r>
        <w:rPr>
          <w:rFonts w:ascii="Times New Roman" w:hAnsi="Times New Roman"/>
          <w:spacing w:val="-5"/>
          <w:sz w:val="24"/>
        </w:rPr>
        <w:t>委托人应当在专用条件约定的时间内就咨询人以书面形式提交并要求做出答复的事宜给予书面答复。逾期未答复的，由此造成的工作延误和损失由委托人承担。</w:t>
      </w:r>
    </w:p>
    <w:p>
      <w:pPr>
        <w:pStyle w:val="5"/>
        <w:spacing w:line="300" w:lineRule="exact"/>
        <w:rPr>
          <w:rFonts w:ascii="Times New Roman" w:hAnsi="Times New Roman"/>
          <w:spacing w:val="-3"/>
          <w:sz w:val="24"/>
        </w:rPr>
      </w:pPr>
      <w:bookmarkStart w:id="264" w:name="_Toc435691753"/>
      <w:r>
        <w:rPr>
          <w:rFonts w:ascii="Times New Roman" w:hAnsi="Times New Roman"/>
          <w:spacing w:val="-3"/>
          <w:sz w:val="24"/>
        </w:rPr>
        <w:t>2.6支付</w:t>
      </w:r>
      <w:bookmarkEnd w:id="264"/>
    </w:p>
    <w:p>
      <w:pPr>
        <w:spacing w:line="300" w:lineRule="exact"/>
        <w:ind w:left="60" w:firstLine="480"/>
        <w:rPr>
          <w:rFonts w:ascii="Times New Roman" w:hAnsi="Times New Roman"/>
        </w:rPr>
      </w:pPr>
      <w:r>
        <w:rPr>
          <w:rFonts w:ascii="Times New Roman" w:hAnsi="Times New Roman"/>
          <w:spacing w:val="-5"/>
          <w:sz w:val="24"/>
        </w:rPr>
        <w:t>委托人应当按照合同的约定，向咨询人支付酬金。</w:t>
      </w:r>
    </w:p>
    <w:p>
      <w:pPr>
        <w:pStyle w:val="4"/>
        <w:spacing w:line="300" w:lineRule="exact"/>
        <w:rPr>
          <w:rFonts w:ascii="Times New Roman" w:hAnsi="Times New Roman"/>
          <w:b w:val="0"/>
          <w:spacing w:val="-4"/>
          <w:sz w:val="24"/>
        </w:rPr>
      </w:pPr>
      <w:bookmarkStart w:id="265" w:name="_Toc435691754"/>
      <w:bookmarkStart w:id="266" w:name="_Toc146588388"/>
      <w:r>
        <w:rPr>
          <w:rFonts w:ascii="Times New Roman" w:hAnsi="Times New Roman"/>
          <w:spacing w:val="-5"/>
          <w:sz w:val="24"/>
        </w:rPr>
        <w:t>3.咨询人的义务</w:t>
      </w:r>
      <w:bookmarkEnd w:id="265"/>
      <w:bookmarkEnd w:id="266"/>
    </w:p>
    <w:p>
      <w:pPr>
        <w:pStyle w:val="5"/>
        <w:spacing w:line="300" w:lineRule="exact"/>
        <w:rPr>
          <w:rFonts w:ascii="Times New Roman" w:hAnsi="Times New Roman"/>
          <w:spacing w:val="-3"/>
          <w:sz w:val="24"/>
        </w:rPr>
      </w:pPr>
      <w:bookmarkStart w:id="267" w:name="13"/>
      <w:bookmarkEnd w:id="267"/>
      <w:bookmarkStart w:id="268" w:name="_Toc435691755"/>
      <w:r>
        <w:rPr>
          <w:rFonts w:ascii="Times New Roman" w:hAnsi="Times New Roman"/>
          <w:spacing w:val="-3"/>
          <w:sz w:val="24"/>
        </w:rPr>
        <w:t>3.1项目咨询团队及人员</w:t>
      </w:r>
      <w:bookmarkEnd w:id="268"/>
    </w:p>
    <w:p>
      <w:pPr>
        <w:spacing w:line="300" w:lineRule="exact"/>
        <w:ind w:left="60" w:firstLine="480"/>
        <w:rPr>
          <w:rFonts w:ascii="Times New Roman" w:hAnsi="Times New Roman"/>
          <w:spacing w:val="-5"/>
          <w:sz w:val="24"/>
        </w:rPr>
      </w:pPr>
      <w:r>
        <w:rPr>
          <w:rFonts w:ascii="Times New Roman" w:hAnsi="Times New Roman"/>
          <w:spacing w:val="-5"/>
          <w:sz w:val="24"/>
        </w:rPr>
        <w:t>3.1.1项目咨询团队的主要人员应具有专用条件约定的资格条件，团队人员的数量应符合专用条件的约定。</w:t>
      </w:r>
    </w:p>
    <w:p>
      <w:pPr>
        <w:spacing w:line="300" w:lineRule="exact"/>
        <w:ind w:left="60" w:firstLine="480"/>
        <w:rPr>
          <w:rFonts w:ascii="Times New Roman" w:hAnsi="Times New Roman"/>
          <w:spacing w:val="-5"/>
          <w:sz w:val="24"/>
        </w:rPr>
      </w:pPr>
      <w:r>
        <w:rPr>
          <w:rFonts w:ascii="Times New Roman" w:hAnsi="Times New Roman"/>
          <w:spacing w:val="-5"/>
          <w:sz w:val="24"/>
        </w:rPr>
        <w:t>3.1.2项目负责人</w:t>
      </w:r>
    </w:p>
    <w:p>
      <w:pPr>
        <w:spacing w:line="300" w:lineRule="exact"/>
        <w:ind w:left="60" w:firstLine="480"/>
        <w:rPr>
          <w:rFonts w:ascii="Times New Roman" w:hAnsi="Times New Roman"/>
          <w:spacing w:val="-5"/>
          <w:sz w:val="24"/>
        </w:rPr>
      </w:pPr>
      <w:r>
        <w:rPr>
          <w:rFonts w:ascii="Times New Roman" w:hAnsi="Times New Roman"/>
          <w:spacing w:val="-5"/>
          <w:sz w:val="24"/>
        </w:rPr>
        <w:t>咨询人应以书面形式授权一名项目负责人负责履行本合同、主持项目咨询团队工作。采用招标程序签署本合同的，项目负责人应当与投标文件载明的一致。</w:t>
      </w:r>
    </w:p>
    <w:p>
      <w:pPr>
        <w:spacing w:line="300" w:lineRule="exact"/>
        <w:ind w:left="60" w:firstLine="480"/>
        <w:rPr>
          <w:rFonts w:ascii="Times New Roman" w:hAnsi="Times New Roman"/>
          <w:spacing w:val="-5"/>
          <w:sz w:val="24"/>
        </w:rPr>
      </w:pPr>
      <w:r>
        <w:rPr>
          <w:rFonts w:ascii="Times New Roman" w:hAnsi="Times New Roman"/>
          <w:spacing w:val="-5"/>
          <w:sz w:val="24"/>
        </w:rPr>
        <w:t>3.1.3在本合同履行过程中，咨询人员应保持相对稳定，以保证咨询工作正常进行。</w:t>
      </w:r>
    </w:p>
    <w:p>
      <w:pPr>
        <w:spacing w:line="300" w:lineRule="exact"/>
        <w:ind w:left="60" w:firstLine="480"/>
        <w:rPr>
          <w:rFonts w:ascii="Times New Roman" w:hAnsi="Times New Roman"/>
          <w:spacing w:val="-5"/>
          <w:sz w:val="24"/>
        </w:rPr>
      </w:pPr>
      <w:r>
        <w:rPr>
          <w:rFonts w:ascii="Times New Roman" w:hAnsi="Times New Roman"/>
          <w:spacing w:val="-5"/>
          <w:sz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spacing w:line="300" w:lineRule="exact"/>
        <w:ind w:left="60" w:firstLine="480"/>
        <w:rPr>
          <w:rFonts w:ascii="Times New Roman" w:hAnsi="Times New Roman"/>
          <w:spacing w:val="-5"/>
          <w:sz w:val="24"/>
        </w:rPr>
      </w:pPr>
      <w:r>
        <w:rPr>
          <w:rFonts w:ascii="Times New Roman" w:hAnsi="Times New Roman"/>
          <w:spacing w:val="-5"/>
          <w:sz w:val="24"/>
        </w:rPr>
        <w:t>3.1.4咨询人员有下列情形之一，委托人要求咨询人更换的，咨询人应当更换：</w:t>
      </w:r>
    </w:p>
    <w:p>
      <w:pPr>
        <w:spacing w:line="300" w:lineRule="exact"/>
        <w:ind w:left="60" w:firstLine="480"/>
        <w:rPr>
          <w:rFonts w:ascii="Times New Roman" w:hAnsi="Times New Roman"/>
          <w:spacing w:val="-5"/>
          <w:sz w:val="24"/>
        </w:rPr>
      </w:pPr>
      <w:r>
        <w:rPr>
          <w:rFonts w:ascii="Times New Roman" w:hAnsi="Times New Roman"/>
          <w:spacing w:val="-5"/>
          <w:sz w:val="24"/>
        </w:rPr>
        <w:t>（1）存在严重过失行为的；</w:t>
      </w:r>
    </w:p>
    <w:p>
      <w:pPr>
        <w:spacing w:line="300" w:lineRule="exact"/>
        <w:ind w:left="60" w:firstLine="480"/>
        <w:rPr>
          <w:rFonts w:ascii="Times New Roman" w:hAnsi="Times New Roman"/>
          <w:spacing w:val="-5"/>
          <w:sz w:val="24"/>
        </w:rPr>
      </w:pPr>
      <w:r>
        <w:rPr>
          <w:rFonts w:ascii="Times New Roman" w:hAnsi="Times New Roman"/>
          <w:spacing w:val="-5"/>
          <w:sz w:val="24"/>
        </w:rPr>
        <w:t>（2）存在违法行为不能履行职责的；</w:t>
      </w:r>
    </w:p>
    <w:p>
      <w:pPr>
        <w:spacing w:line="300" w:lineRule="exact"/>
        <w:ind w:left="60" w:firstLine="480"/>
        <w:rPr>
          <w:rFonts w:ascii="Times New Roman" w:hAnsi="Times New Roman"/>
          <w:spacing w:val="-5"/>
          <w:sz w:val="24"/>
        </w:rPr>
      </w:pPr>
      <w:r>
        <w:rPr>
          <w:rFonts w:ascii="Times New Roman" w:hAnsi="Times New Roman"/>
          <w:spacing w:val="-5"/>
          <w:sz w:val="24"/>
        </w:rPr>
        <w:t>（3）涉嫌犯罪的；</w:t>
      </w:r>
    </w:p>
    <w:p>
      <w:pPr>
        <w:spacing w:line="300" w:lineRule="exact"/>
        <w:ind w:left="60" w:firstLine="480"/>
        <w:rPr>
          <w:rFonts w:ascii="Times New Roman" w:hAnsi="Times New Roman"/>
          <w:spacing w:val="-5"/>
          <w:sz w:val="24"/>
        </w:rPr>
      </w:pPr>
      <w:r>
        <w:rPr>
          <w:rFonts w:ascii="Times New Roman" w:hAnsi="Times New Roman"/>
          <w:spacing w:val="-5"/>
          <w:sz w:val="24"/>
        </w:rPr>
        <w:t>（4）不能胜任岗位职责的；</w:t>
      </w:r>
    </w:p>
    <w:p>
      <w:pPr>
        <w:spacing w:line="300" w:lineRule="exact"/>
        <w:ind w:left="60" w:firstLine="480"/>
        <w:rPr>
          <w:rFonts w:ascii="Times New Roman" w:hAnsi="Times New Roman"/>
          <w:spacing w:val="-5"/>
          <w:sz w:val="24"/>
        </w:rPr>
      </w:pPr>
      <w:r>
        <w:rPr>
          <w:rFonts w:ascii="Times New Roman" w:hAnsi="Times New Roman"/>
          <w:spacing w:val="-5"/>
          <w:sz w:val="24"/>
        </w:rPr>
        <w:t>（5）严重违反职业道德的；</w:t>
      </w:r>
    </w:p>
    <w:p>
      <w:pPr>
        <w:spacing w:line="300" w:lineRule="exact"/>
        <w:ind w:left="60" w:firstLine="480"/>
        <w:rPr>
          <w:rFonts w:ascii="Times New Roman" w:hAnsi="Times New Roman"/>
          <w:spacing w:val="-5"/>
          <w:sz w:val="24"/>
        </w:rPr>
      </w:pPr>
      <w:r>
        <w:rPr>
          <w:rFonts w:ascii="Times New Roman" w:hAnsi="Times New Roman"/>
          <w:spacing w:val="-5"/>
          <w:sz w:val="24"/>
        </w:rPr>
        <w:t>（6）专用条件约定的其他情形。</w:t>
      </w:r>
    </w:p>
    <w:p>
      <w:pPr>
        <w:pStyle w:val="5"/>
        <w:spacing w:line="300" w:lineRule="exact"/>
        <w:rPr>
          <w:rFonts w:ascii="Times New Roman" w:hAnsi="Times New Roman"/>
          <w:spacing w:val="-3"/>
          <w:sz w:val="24"/>
        </w:rPr>
      </w:pPr>
      <w:bookmarkStart w:id="269" w:name="_Toc435691756"/>
      <w:r>
        <w:rPr>
          <w:rFonts w:ascii="Times New Roman" w:hAnsi="Times New Roman"/>
          <w:spacing w:val="-3"/>
          <w:sz w:val="24"/>
        </w:rPr>
        <w:t>3.2咨询人的工作要求</w:t>
      </w:r>
      <w:bookmarkEnd w:id="269"/>
    </w:p>
    <w:p>
      <w:pPr>
        <w:spacing w:line="300" w:lineRule="exact"/>
        <w:ind w:left="60" w:firstLine="480"/>
        <w:rPr>
          <w:rFonts w:ascii="Times New Roman" w:hAnsi="Times New Roman"/>
          <w:spacing w:val="-5"/>
          <w:sz w:val="24"/>
        </w:rPr>
      </w:pPr>
      <w:r>
        <w:rPr>
          <w:rFonts w:ascii="Times New Roman" w:hAnsi="Times New Roman"/>
          <w:spacing w:val="-5"/>
          <w:sz w:val="24"/>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spacing w:line="300" w:lineRule="exact"/>
        <w:ind w:left="60" w:firstLine="480"/>
        <w:rPr>
          <w:rFonts w:ascii="Times New Roman" w:hAnsi="Times New Roman"/>
          <w:spacing w:val="-5"/>
          <w:sz w:val="24"/>
        </w:rPr>
      </w:pPr>
      <w:r>
        <w:rPr>
          <w:rFonts w:ascii="Times New Roman" w:hAnsi="Times New Roman"/>
          <w:spacing w:val="-5"/>
          <w:sz w:val="24"/>
        </w:rPr>
        <w:t>3.2.2咨询人应当在专用条件约定的时间内，按照专用条件约定的份数、组成向委托人提交咨询成果文件。</w:t>
      </w:r>
    </w:p>
    <w:p>
      <w:pPr>
        <w:spacing w:line="300" w:lineRule="exact"/>
        <w:ind w:left="60" w:firstLine="480"/>
        <w:rPr>
          <w:rFonts w:ascii="Times New Roman" w:hAnsi="Times New Roman"/>
          <w:spacing w:val="-5"/>
          <w:sz w:val="24"/>
        </w:rPr>
      </w:pPr>
      <w:r>
        <w:rPr>
          <w:rFonts w:ascii="Times New Roman" w:hAnsi="Times New Roman"/>
          <w:spacing w:val="-5"/>
          <w:sz w:val="24"/>
        </w:rPr>
        <w:t>咨询人提供造价咨询服务以及出具工程造价咨询成果文件应符合现行国家或行业有关规定、标准、规范的要求。委托人要求的工程造价咨询成果文件质</w:t>
      </w:r>
      <w:bookmarkStart w:id="270" w:name="14"/>
      <w:bookmarkEnd w:id="270"/>
      <w:r>
        <w:rPr>
          <w:rFonts w:ascii="Times New Roman" w:hAnsi="Times New Roman"/>
          <w:spacing w:val="-5"/>
          <w:sz w:val="24"/>
        </w:rPr>
        <w:t>量标准高于现行国家或行业标准的，应在专用条件中约定具体的质量标准，并相应增加服务酬金。</w:t>
      </w:r>
    </w:p>
    <w:p>
      <w:pPr>
        <w:spacing w:line="300" w:lineRule="exact"/>
        <w:ind w:left="60" w:firstLine="480"/>
        <w:rPr>
          <w:rFonts w:ascii="Times New Roman" w:hAnsi="Times New Roman"/>
          <w:spacing w:val="-5"/>
          <w:sz w:val="24"/>
        </w:rPr>
      </w:pPr>
      <w:r>
        <w:rPr>
          <w:rFonts w:ascii="Times New Roman" w:hAnsi="Times New Roman"/>
          <w:spacing w:val="-5"/>
          <w:sz w:val="24"/>
        </w:rPr>
        <w:t>3.2.3咨询人提交的工程造价咨询成果文件，除加盖咨询人单位公章、工程造价咨询企业执业印章外，还必须按要求加盖参加咨询工作人员的执业（从业）资格印章。</w:t>
      </w:r>
    </w:p>
    <w:p>
      <w:pPr>
        <w:spacing w:line="300" w:lineRule="exact"/>
        <w:ind w:left="60" w:firstLine="480"/>
        <w:rPr>
          <w:rFonts w:ascii="Times New Roman" w:hAnsi="Times New Roman"/>
          <w:spacing w:val="-5"/>
          <w:sz w:val="24"/>
        </w:rPr>
      </w:pPr>
      <w:r>
        <w:rPr>
          <w:rFonts w:ascii="Times New Roman" w:hAnsi="Times New Roman"/>
          <w:spacing w:val="-5"/>
          <w:sz w:val="24"/>
        </w:rPr>
        <w:t>3.2.4咨询人应在专用条件约定的时间内，对委托人以书面形式提出的建议或者异议给予书面答复。</w:t>
      </w:r>
    </w:p>
    <w:p>
      <w:pPr>
        <w:spacing w:line="300" w:lineRule="exact"/>
        <w:ind w:left="60" w:firstLine="480"/>
        <w:rPr>
          <w:rFonts w:ascii="Times New Roman" w:hAnsi="Times New Roman"/>
          <w:spacing w:val="-5"/>
          <w:sz w:val="24"/>
        </w:rPr>
      </w:pPr>
      <w:r>
        <w:rPr>
          <w:rFonts w:ascii="Times New Roman" w:hAnsi="Times New Roman"/>
          <w:spacing w:val="-5"/>
          <w:sz w:val="24"/>
        </w:rPr>
        <w:t>3.2.5咨询人从事工程造价咨询活动，应当遵循独立、客观、公正、诚实信用的原则，不得损害社会公共利益和他人的合法权益。</w:t>
      </w:r>
    </w:p>
    <w:p>
      <w:pPr>
        <w:spacing w:line="300" w:lineRule="exact"/>
        <w:ind w:left="60" w:firstLine="480"/>
        <w:rPr>
          <w:rFonts w:ascii="Times New Roman" w:hAnsi="Times New Roman"/>
          <w:spacing w:val="-5"/>
          <w:sz w:val="24"/>
        </w:rPr>
      </w:pPr>
      <w:r>
        <w:rPr>
          <w:rFonts w:ascii="Times New Roman" w:hAnsi="Times New Roman"/>
          <w:spacing w:val="-5"/>
          <w:sz w:val="24"/>
        </w:rPr>
        <w:t>3.2.6咨询人承诺按照法律规定及合同约定，完成合同范围内的建设工程造价咨询服务，不转包承接的造价咨询服务业务。</w:t>
      </w:r>
    </w:p>
    <w:p>
      <w:pPr>
        <w:pStyle w:val="5"/>
        <w:spacing w:line="300" w:lineRule="exact"/>
        <w:rPr>
          <w:rFonts w:ascii="Times New Roman" w:hAnsi="Times New Roman"/>
          <w:spacing w:val="-3"/>
          <w:sz w:val="24"/>
        </w:rPr>
      </w:pPr>
      <w:bookmarkStart w:id="271" w:name="_Toc435691757"/>
      <w:r>
        <w:rPr>
          <w:rFonts w:ascii="Times New Roman" w:hAnsi="Times New Roman"/>
          <w:spacing w:val="-3"/>
          <w:sz w:val="24"/>
        </w:rPr>
        <w:t>3.3咨询人的工作依据</w:t>
      </w:r>
      <w:bookmarkEnd w:id="271"/>
    </w:p>
    <w:p>
      <w:pPr>
        <w:spacing w:line="300" w:lineRule="exact"/>
        <w:ind w:left="60" w:firstLine="480"/>
        <w:rPr>
          <w:rFonts w:ascii="Times New Roman" w:hAnsi="Times New Roman"/>
          <w:spacing w:val="-5"/>
          <w:sz w:val="24"/>
        </w:rPr>
      </w:pPr>
      <w:r>
        <w:rPr>
          <w:rFonts w:ascii="Times New Roman" w:hAnsi="Times New Roman"/>
          <w:spacing w:val="-5"/>
          <w:sz w:val="24"/>
        </w:rPr>
        <w:t>咨询人应在专用条件内与委托人协商明确履行本合同约定的咨询服务需要适用的技术标准、规范、定额等工作依据，但不得违反国家及工程所在地的强制性标准、规范。</w:t>
      </w:r>
    </w:p>
    <w:p>
      <w:pPr>
        <w:spacing w:line="300" w:lineRule="exact"/>
        <w:ind w:left="60" w:firstLine="480"/>
        <w:rPr>
          <w:rFonts w:ascii="Times New Roman" w:hAnsi="Times New Roman"/>
          <w:spacing w:val="-5"/>
          <w:sz w:val="24"/>
        </w:rPr>
      </w:pPr>
      <w:r>
        <w:rPr>
          <w:rFonts w:ascii="Times New Roman" w:hAnsi="Times New Roman"/>
          <w:spacing w:val="-5"/>
          <w:sz w:val="24"/>
        </w:rPr>
        <w:t>咨询人应自行配备本条所述的技术标准、规范、定额等相关资料。必须由委托人提供的资料，应在附录C中载明。需要委托人协助才能获得的资料，委托人应予以协助。</w:t>
      </w:r>
    </w:p>
    <w:p>
      <w:pPr>
        <w:pStyle w:val="5"/>
        <w:spacing w:line="300" w:lineRule="exact"/>
        <w:rPr>
          <w:rFonts w:ascii="Times New Roman" w:hAnsi="Times New Roman"/>
          <w:spacing w:val="-3"/>
          <w:sz w:val="24"/>
        </w:rPr>
      </w:pPr>
      <w:bookmarkStart w:id="272" w:name="_Toc435691758"/>
      <w:r>
        <w:rPr>
          <w:rFonts w:ascii="Times New Roman" w:hAnsi="Times New Roman"/>
          <w:spacing w:val="-3"/>
          <w:sz w:val="24"/>
        </w:rPr>
        <w:t>3.4使用委托人房屋及设备的返还</w:t>
      </w:r>
      <w:bookmarkEnd w:id="272"/>
    </w:p>
    <w:p>
      <w:pPr>
        <w:spacing w:line="300" w:lineRule="exact"/>
        <w:ind w:left="60" w:firstLine="480"/>
        <w:rPr>
          <w:rFonts w:ascii="Times New Roman" w:hAnsi="Times New Roman"/>
        </w:rPr>
      </w:pPr>
      <w:r>
        <w:rPr>
          <w:rFonts w:ascii="Times New Roman" w:hAnsi="Times New Roman"/>
          <w:spacing w:val="-5"/>
          <w:sz w:val="24"/>
        </w:rPr>
        <w:t>项目咨询人员使用委托人提供的房屋及设备的，咨询人应妥善使用和保管，在本合同终止时将上述房屋及设备按专用条件约定的时间和方式返还委托人。</w:t>
      </w:r>
    </w:p>
    <w:p>
      <w:pPr>
        <w:pStyle w:val="4"/>
        <w:spacing w:line="300" w:lineRule="exact"/>
        <w:rPr>
          <w:rFonts w:ascii="Times New Roman" w:hAnsi="Times New Roman"/>
          <w:spacing w:val="-4"/>
          <w:sz w:val="24"/>
        </w:rPr>
      </w:pPr>
      <w:bookmarkStart w:id="273" w:name="_Toc146588389"/>
      <w:bookmarkStart w:id="274" w:name="_Toc435691759"/>
      <w:r>
        <w:rPr>
          <w:rFonts w:ascii="Times New Roman" w:hAnsi="Times New Roman"/>
          <w:spacing w:val="-5"/>
          <w:sz w:val="24"/>
        </w:rPr>
        <w:t>4.违约责任</w:t>
      </w:r>
      <w:bookmarkEnd w:id="273"/>
      <w:bookmarkEnd w:id="274"/>
    </w:p>
    <w:p>
      <w:pPr>
        <w:pStyle w:val="5"/>
        <w:spacing w:line="300" w:lineRule="exact"/>
        <w:rPr>
          <w:rFonts w:ascii="Times New Roman" w:hAnsi="Times New Roman"/>
          <w:spacing w:val="-3"/>
          <w:sz w:val="24"/>
        </w:rPr>
      </w:pPr>
      <w:bookmarkStart w:id="275" w:name="_Toc435691760"/>
      <w:r>
        <w:rPr>
          <w:rFonts w:ascii="Times New Roman" w:hAnsi="Times New Roman"/>
          <w:spacing w:val="-3"/>
          <w:sz w:val="24"/>
        </w:rPr>
        <w:t>4.1委托人的违约责任</w:t>
      </w:r>
      <w:bookmarkEnd w:id="275"/>
    </w:p>
    <w:p>
      <w:pPr>
        <w:spacing w:line="300" w:lineRule="exact"/>
        <w:ind w:left="60" w:firstLine="480"/>
        <w:rPr>
          <w:rFonts w:ascii="Times New Roman" w:hAnsi="Times New Roman"/>
          <w:spacing w:val="-5"/>
          <w:sz w:val="24"/>
        </w:rPr>
      </w:pPr>
      <w:r>
        <w:rPr>
          <w:rFonts w:ascii="Times New Roman" w:hAnsi="Times New Roman"/>
          <w:spacing w:val="-5"/>
          <w:sz w:val="24"/>
        </w:rPr>
        <w:t>4.1.1委托人不履行本合同义务或者履行义务不符合本合同约定的，应承担违约责任。双方可在专用条件中约定违约金的计算及支付方法。</w:t>
      </w:r>
    </w:p>
    <w:p>
      <w:pPr>
        <w:spacing w:line="300" w:lineRule="exact"/>
        <w:ind w:left="60" w:firstLine="480"/>
        <w:rPr>
          <w:rFonts w:ascii="Times New Roman" w:hAnsi="Times New Roman"/>
          <w:spacing w:val="-5"/>
          <w:sz w:val="24"/>
        </w:rPr>
      </w:pPr>
      <w:r>
        <w:rPr>
          <w:rFonts w:ascii="Times New Roman" w:hAnsi="Times New Roman"/>
          <w:spacing w:val="-5"/>
          <w:sz w:val="24"/>
        </w:rPr>
        <w:t>4.1.2委托人违反本合同约定造成咨询人损失的，委托人应予以赔偿。双方可在专用条件中约定赔偿金额的确定及支付方法。</w:t>
      </w:r>
    </w:p>
    <w:p>
      <w:pPr>
        <w:spacing w:line="300" w:lineRule="exact"/>
        <w:ind w:left="60" w:firstLine="480"/>
        <w:rPr>
          <w:rFonts w:ascii="Times New Roman" w:hAnsi="Times New Roman"/>
          <w:spacing w:val="-5"/>
          <w:sz w:val="24"/>
        </w:rPr>
      </w:pPr>
      <w:bookmarkStart w:id="276" w:name="15"/>
      <w:bookmarkEnd w:id="276"/>
      <w:r>
        <w:rPr>
          <w:rFonts w:ascii="Times New Roman" w:hAnsi="Times New Roman"/>
          <w:spacing w:val="-5"/>
          <w:sz w:val="24"/>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pStyle w:val="5"/>
        <w:spacing w:line="300" w:lineRule="exact"/>
        <w:rPr>
          <w:rFonts w:ascii="Times New Roman" w:hAnsi="Times New Roman"/>
          <w:spacing w:val="-3"/>
          <w:sz w:val="24"/>
        </w:rPr>
      </w:pPr>
      <w:bookmarkStart w:id="277" w:name="_Toc435691761"/>
      <w:r>
        <w:rPr>
          <w:rFonts w:ascii="Times New Roman" w:hAnsi="Times New Roman"/>
          <w:spacing w:val="-3"/>
          <w:sz w:val="24"/>
        </w:rPr>
        <w:t>4.2咨询人的违约责任</w:t>
      </w:r>
      <w:bookmarkEnd w:id="277"/>
    </w:p>
    <w:p>
      <w:pPr>
        <w:spacing w:line="300" w:lineRule="exact"/>
        <w:ind w:left="60" w:firstLine="480"/>
        <w:rPr>
          <w:rFonts w:ascii="Times New Roman" w:hAnsi="Times New Roman"/>
          <w:spacing w:val="-5"/>
          <w:sz w:val="24"/>
        </w:rPr>
      </w:pPr>
      <w:r>
        <w:rPr>
          <w:rFonts w:ascii="Times New Roman" w:hAnsi="Times New Roman"/>
          <w:spacing w:val="-5"/>
          <w:sz w:val="24"/>
        </w:rPr>
        <w:t>4.2.1咨询人不履行本合同义务或者履行义务不符合本合同约定的，应承担违约责任。双方可在专用条件中约定违约金的计算及支付方法。</w:t>
      </w:r>
    </w:p>
    <w:p>
      <w:pPr>
        <w:spacing w:line="300" w:lineRule="exact"/>
        <w:ind w:left="60" w:firstLine="480"/>
        <w:rPr>
          <w:rFonts w:ascii="Times New Roman" w:hAnsi="Times New Roman"/>
        </w:rPr>
      </w:pPr>
      <w:r>
        <w:rPr>
          <w:rFonts w:ascii="Times New Roman" w:hAnsi="Times New Roman"/>
          <w:spacing w:val="-5"/>
          <w:sz w:val="24"/>
        </w:rPr>
        <w:t>4.2.2因咨询人违反本合同约定给委托人造成损失的，咨询人应当赔偿委托人损失。双方可在专用条件中约定赔偿金额的确定及支付方法。</w:t>
      </w:r>
    </w:p>
    <w:p>
      <w:pPr>
        <w:pStyle w:val="4"/>
        <w:spacing w:line="300" w:lineRule="exact"/>
        <w:rPr>
          <w:rFonts w:ascii="Times New Roman" w:hAnsi="Times New Roman"/>
          <w:spacing w:val="-2"/>
          <w:w w:val="95"/>
          <w:sz w:val="24"/>
        </w:rPr>
      </w:pPr>
      <w:bookmarkStart w:id="278" w:name="_Toc146588390"/>
      <w:bookmarkStart w:id="279" w:name="_Toc435691762"/>
      <w:r>
        <w:rPr>
          <w:rFonts w:ascii="Times New Roman" w:hAnsi="Times New Roman"/>
          <w:spacing w:val="-5"/>
          <w:sz w:val="24"/>
        </w:rPr>
        <w:t>5.支付</w:t>
      </w:r>
      <w:bookmarkEnd w:id="278"/>
      <w:bookmarkEnd w:id="279"/>
    </w:p>
    <w:p>
      <w:pPr>
        <w:pStyle w:val="5"/>
        <w:spacing w:line="300" w:lineRule="exact"/>
        <w:rPr>
          <w:rFonts w:ascii="Times New Roman" w:hAnsi="Times New Roman"/>
          <w:spacing w:val="-3"/>
          <w:sz w:val="24"/>
        </w:rPr>
      </w:pPr>
      <w:bookmarkStart w:id="280" w:name="_Toc435691763"/>
      <w:r>
        <w:rPr>
          <w:rFonts w:ascii="Times New Roman" w:hAnsi="Times New Roman"/>
          <w:spacing w:val="-3"/>
          <w:sz w:val="24"/>
        </w:rPr>
        <w:t>5.1支付货币</w:t>
      </w:r>
      <w:bookmarkEnd w:id="280"/>
    </w:p>
    <w:p>
      <w:pPr>
        <w:spacing w:line="300" w:lineRule="exact"/>
        <w:ind w:left="60" w:firstLine="480"/>
        <w:rPr>
          <w:rFonts w:ascii="Times New Roman" w:hAnsi="Times New Roman"/>
          <w:spacing w:val="-5"/>
          <w:sz w:val="24"/>
        </w:rPr>
      </w:pPr>
      <w:r>
        <w:rPr>
          <w:rFonts w:ascii="Times New Roman" w:hAnsi="Times New Roman"/>
          <w:spacing w:val="-5"/>
          <w:sz w:val="24"/>
        </w:rPr>
        <w:t>除专用条件另有约定外，酬金均以人民币支付。涉及外币支付的，所采用的货币种类和汇率等在专用条件中约定。</w:t>
      </w:r>
    </w:p>
    <w:p>
      <w:pPr>
        <w:pStyle w:val="5"/>
        <w:spacing w:line="300" w:lineRule="exact"/>
        <w:rPr>
          <w:rFonts w:ascii="Times New Roman" w:hAnsi="Times New Roman"/>
          <w:spacing w:val="-3"/>
          <w:sz w:val="24"/>
        </w:rPr>
      </w:pPr>
      <w:bookmarkStart w:id="281" w:name="_Toc435691764"/>
      <w:r>
        <w:rPr>
          <w:rFonts w:ascii="Times New Roman" w:hAnsi="Times New Roman"/>
          <w:spacing w:val="-3"/>
          <w:sz w:val="24"/>
        </w:rPr>
        <w:t>5.2支付申请</w:t>
      </w:r>
      <w:bookmarkEnd w:id="281"/>
    </w:p>
    <w:p>
      <w:pPr>
        <w:spacing w:line="300" w:lineRule="exact"/>
        <w:ind w:left="60" w:firstLine="480"/>
        <w:rPr>
          <w:rFonts w:ascii="Times New Roman" w:hAnsi="Times New Roman"/>
          <w:spacing w:val="-5"/>
          <w:sz w:val="24"/>
        </w:rPr>
      </w:pPr>
      <w:r>
        <w:rPr>
          <w:rFonts w:ascii="Times New Roman" w:hAnsi="Times New Roman"/>
          <w:spacing w:val="-5"/>
          <w:sz w:val="24"/>
        </w:rPr>
        <w:t>咨询人应在本合同约定的每次应付款日期前，向委托人提交支付申请书，支付申请书的提交日期由双方在专用条件中约定。支付申请书应当说明当期应付款总额，并列出当期应支付的款项及其金额。</w:t>
      </w:r>
    </w:p>
    <w:p>
      <w:pPr>
        <w:pStyle w:val="5"/>
        <w:spacing w:line="300" w:lineRule="exact"/>
        <w:rPr>
          <w:rFonts w:ascii="Times New Roman" w:hAnsi="Times New Roman"/>
          <w:spacing w:val="-3"/>
          <w:sz w:val="24"/>
        </w:rPr>
      </w:pPr>
      <w:bookmarkStart w:id="282" w:name="_Toc435691765"/>
      <w:r>
        <w:rPr>
          <w:rFonts w:ascii="Times New Roman" w:hAnsi="Times New Roman"/>
          <w:spacing w:val="-3"/>
          <w:sz w:val="24"/>
        </w:rPr>
        <w:t>5.3支付酬金</w:t>
      </w:r>
      <w:bookmarkEnd w:id="282"/>
    </w:p>
    <w:p>
      <w:pPr>
        <w:spacing w:line="300" w:lineRule="exact"/>
        <w:ind w:left="60" w:firstLine="480"/>
        <w:rPr>
          <w:rFonts w:ascii="Times New Roman" w:hAnsi="Times New Roman"/>
          <w:spacing w:val="-5"/>
          <w:sz w:val="24"/>
        </w:rPr>
      </w:pPr>
      <w:r>
        <w:rPr>
          <w:rFonts w:ascii="Times New Roman" w:hAnsi="Times New Roman"/>
          <w:spacing w:val="-5"/>
          <w:sz w:val="24"/>
        </w:rPr>
        <w:t>支付酬金包括正常工作酬金、附加工作酬金、合理化建议奖励金额及费用。</w:t>
      </w:r>
    </w:p>
    <w:p>
      <w:pPr>
        <w:pStyle w:val="5"/>
        <w:spacing w:line="300" w:lineRule="exact"/>
        <w:rPr>
          <w:rFonts w:ascii="Times New Roman" w:hAnsi="Times New Roman"/>
          <w:spacing w:val="-3"/>
          <w:sz w:val="24"/>
        </w:rPr>
      </w:pPr>
      <w:bookmarkStart w:id="283" w:name="_Toc435691766"/>
      <w:r>
        <w:rPr>
          <w:rFonts w:ascii="Times New Roman" w:hAnsi="Times New Roman"/>
          <w:spacing w:val="-3"/>
          <w:sz w:val="24"/>
        </w:rPr>
        <w:t>5.4有异议部分的支付</w:t>
      </w:r>
      <w:bookmarkEnd w:id="283"/>
    </w:p>
    <w:p>
      <w:pPr>
        <w:spacing w:line="300" w:lineRule="exact"/>
        <w:ind w:left="60" w:firstLine="480"/>
        <w:rPr>
          <w:rFonts w:ascii="Times New Roman" w:hAnsi="Times New Roman"/>
          <w:spacing w:val="-5"/>
          <w:sz w:val="24"/>
        </w:rPr>
      </w:pPr>
      <w:r>
        <w:rPr>
          <w:rFonts w:ascii="Times New Roman" w:hAnsi="Times New Roman"/>
          <w:spacing w:val="-5"/>
          <w:sz w:val="24"/>
        </w:rPr>
        <w:t>委托人对咨询人提交的支付申请书有异议时，应当在收到咨询人提交的支付申请书后7日内，以书面形式向咨询人发出异议通知。无异议部分的款项应按期支付，有异议部分的款项按第7条约定办理。</w:t>
      </w:r>
    </w:p>
    <w:p>
      <w:pPr>
        <w:pStyle w:val="4"/>
        <w:spacing w:line="300" w:lineRule="exact"/>
        <w:rPr>
          <w:rFonts w:ascii="Times New Roman" w:hAnsi="Times New Roman"/>
          <w:spacing w:val="-2"/>
          <w:w w:val="95"/>
          <w:sz w:val="24"/>
        </w:rPr>
      </w:pPr>
      <w:bookmarkStart w:id="284" w:name="_Toc146588391"/>
      <w:bookmarkStart w:id="285" w:name="_Toc435691767"/>
      <w:r>
        <w:rPr>
          <w:rFonts w:ascii="Times New Roman" w:hAnsi="Times New Roman"/>
          <w:spacing w:val="-5"/>
          <w:sz w:val="24"/>
        </w:rPr>
        <w:t>6.合同变更、解除与终止</w:t>
      </w:r>
      <w:bookmarkEnd w:id="284"/>
      <w:bookmarkEnd w:id="285"/>
    </w:p>
    <w:p>
      <w:pPr>
        <w:pStyle w:val="5"/>
        <w:spacing w:line="300" w:lineRule="exact"/>
        <w:rPr>
          <w:rFonts w:ascii="Times New Roman" w:hAnsi="Times New Roman"/>
          <w:spacing w:val="-3"/>
          <w:sz w:val="24"/>
        </w:rPr>
      </w:pPr>
      <w:bookmarkStart w:id="286" w:name="_Toc435691768"/>
      <w:r>
        <w:rPr>
          <w:rFonts w:ascii="Times New Roman" w:hAnsi="Times New Roman"/>
          <w:spacing w:val="-3"/>
          <w:sz w:val="24"/>
        </w:rPr>
        <w:t>6.1合同变更</w:t>
      </w:r>
      <w:bookmarkEnd w:id="286"/>
    </w:p>
    <w:p>
      <w:pPr>
        <w:spacing w:line="300" w:lineRule="exact"/>
        <w:ind w:left="60" w:firstLine="480"/>
        <w:rPr>
          <w:rFonts w:ascii="Times New Roman" w:hAnsi="Times New Roman"/>
          <w:spacing w:val="-5"/>
          <w:sz w:val="24"/>
        </w:rPr>
      </w:pPr>
      <w:r>
        <w:rPr>
          <w:rFonts w:ascii="Times New Roman" w:hAnsi="Times New Roman"/>
          <w:spacing w:val="-5"/>
          <w:sz w:val="24"/>
        </w:rPr>
        <w:t>6.1.1任何一方以书面形式提出变更请求时，双方经协商一致后可进行变更。</w:t>
      </w:r>
    </w:p>
    <w:p>
      <w:pPr>
        <w:spacing w:line="300" w:lineRule="exact"/>
        <w:ind w:left="60" w:firstLine="480"/>
        <w:rPr>
          <w:rFonts w:ascii="Times New Roman" w:hAnsi="Times New Roman"/>
          <w:spacing w:val="-5"/>
          <w:sz w:val="24"/>
        </w:rPr>
      </w:pPr>
      <w:r>
        <w:rPr>
          <w:rFonts w:ascii="Times New Roman" w:hAnsi="Times New Roman"/>
          <w:spacing w:val="-5"/>
          <w:sz w:val="24"/>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00" w:lineRule="exact"/>
        <w:ind w:left="60" w:firstLine="480"/>
        <w:rPr>
          <w:rFonts w:ascii="Times New Roman" w:hAnsi="Times New Roman"/>
          <w:spacing w:val="-5"/>
          <w:sz w:val="24"/>
        </w:rPr>
      </w:pPr>
      <w:r>
        <w:rPr>
          <w:rFonts w:ascii="Times New Roman" w:hAnsi="Times New Roman"/>
          <w:spacing w:val="-5"/>
          <w:sz w:val="24"/>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spacing w:line="300" w:lineRule="exact"/>
        <w:ind w:left="60" w:firstLine="480"/>
        <w:rPr>
          <w:rFonts w:ascii="Times New Roman" w:hAnsi="Times New Roman"/>
          <w:spacing w:val="-5"/>
          <w:sz w:val="24"/>
        </w:rPr>
      </w:pPr>
      <w:r>
        <w:rPr>
          <w:rFonts w:ascii="Times New Roman" w:hAnsi="Times New Roman"/>
          <w:spacing w:val="-5"/>
          <w:sz w:val="24"/>
        </w:rPr>
        <w:t>6.1.4因工程规模、服务范围及工作内容的变化等导致咨询人的工作量增减时，服务酬金应作相应调整，调整方法由双方在专用条件中约定。</w:t>
      </w:r>
    </w:p>
    <w:p>
      <w:pPr>
        <w:pStyle w:val="5"/>
        <w:spacing w:line="300" w:lineRule="exact"/>
        <w:rPr>
          <w:rFonts w:ascii="Times New Roman" w:hAnsi="Times New Roman"/>
          <w:spacing w:val="-3"/>
          <w:sz w:val="24"/>
        </w:rPr>
      </w:pPr>
      <w:bookmarkStart w:id="287" w:name="_Toc435691769"/>
      <w:r>
        <w:rPr>
          <w:rFonts w:ascii="Times New Roman" w:hAnsi="Times New Roman"/>
          <w:spacing w:val="-3"/>
          <w:sz w:val="24"/>
        </w:rPr>
        <w:t>6.2合同解除</w:t>
      </w:r>
      <w:bookmarkEnd w:id="287"/>
    </w:p>
    <w:p>
      <w:pPr>
        <w:spacing w:line="300" w:lineRule="exact"/>
        <w:ind w:left="60" w:firstLine="480"/>
        <w:rPr>
          <w:rFonts w:ascii="Times New Roman" w:hAnsi="Times New Roman"/>
          <w:spacing w:val="-5"/>
          <w:sz w:val="24"/>
        </w:rPr>
      </w:pPr>
      <w:r>
        <w:rPr>
          <w:rFonts w:ascii="Times New Roman" w:hAnsi="Times New Roman"/>
          <w:spacing w:val="-5"/>
          <w:sz w:val="24"/>
        </w:rPr>
        <w:t>6.2.1委托人与咨询人协商一致，可以解除合同。</w:t>
      </w:r>
    </w:p>
    <w:p>
      <w:pPr>
        <w:spacing w:line="300" w:lineRule="exact"/>
        <w:ind w:left="60" w:firstLine="480"/>
        <w:rPr>
          <w:rFonts w:ascii="Times New Roman" w:hAnsi="Times New Roman"/>
          <w:spacing w:val="-5"/>
          <w:sz w:val="24"/>
        </w:rPr>
      </w:pPr>
      <w:r>
        <w:rPr>
          <w:rFonts w:ascii="Times New Roman" w:hAnsi="Times New Roman"/>
          <w:spacing w:val="-5"/>
          <w:sz w:val="24"/>
        </w:rPr>
        <w:t>6.2.2有下列情形之一的，合同当事人一方或双方可以解除合同：</w:t>
      </w:r>
    </w:p>
    <w:p>
      <w:pPr>
        <w:spacing w:line="300" w:lineRule="exact"/>
        <w:ind w:left="60" w:firstLine="480"/>
        <w:rPr>
          <w:rFonts w:ascii="Times New Roman" w:hAnsi="Times New Roman"/>
          <w:spacing w:val="-5"/>
          <w:sz w:val="24"/>
        </w:rPr>
      </w:pPr>
      <w:r>
        <w:rPr>
          <w:rFonts w:ascii="Times New Roman" w:hAnsi="Times New Roman"/>
          <w:spacing w:val="-5"/>
          <w:sz w:val="24"/>
        </w:rPr>
        <w:t>（1）咨询人将本合同约定的工程造价咨询服务工作全部或部分转包给他人，委托人可以解除合同；</w:t>
      </w:r>
    </w:p>
    <w:p>
      <w:pPr>
        <w:spacing w:line="300" w:lineRule="exact"/>
        <w:ind w:left="60" w:firstLine="480"/>
        <w:rPr>
          <w:rFonts w:ascii="Times New Roman" w:hAnsi="Times New Roman"/>
          <w:spacing w:val="-5"/>
          <w:sz w:val="24"/>
        </w:rPr>
      </w:pPr>
      <w:r>
        <w:rPr>
          <w:rFonts w:ascii="Times New Roman" w:hAnsi="Times New Roman"/>
          <w:spacing w:val="-5"/>
          <w:sz w:val="24"/>
        </w:rPr>
        <w:t>（2）咨询人提供的造价咨询服务不符合合同约定的要求，经委托人催告仍不能达到合同约定要求的，委托人可以解除合同；</w:t>
      </w:r>
    </w:p>
    <w:p>
      <w:pPr>
        <w:spacing w:line="300" w:lineRule="exact"/>
        <w:ind w:left="60" w:firstLine="480"/>
        <w:rPr>
          <w:rFonts w:ascii="Times New Roman" w:hAnsi="Times New Roman"/>
          <w:spacing w:val="-5"/>
          <w:sz w:val="24"/>
        </w:rPr>
      </w:pPr>
      <w:r>
        <w:rPr>
          <w:rFonts w:ascii="Times New Roman" w:hAnsi="Times New Roman"/>
          <w:spacing w:val="-5"/>
          <w:sz w:val="24"/>
        </w:rPr>
        <w:t>（3）委托人未按合同约定支付服务酬金，经咨询人催告后，在28天内仍未支付的，咨询人可以解除合同；</w:t>
      </w:r>
    </w:p>
    <w:p>
      <w:pPr>
        <w:spacing w:line="300" w:lineRule="exact"/>
        <w:ind w:left="60" w:firstLine="480"/>
        <w:rPr>
          <w:rFonts w:ascii="Times New Roman" w:hAnsi="Times New Roman"/>
          <w:spacing w:val="-5"/>
          <w:sz w:val="24"/>
        </w:rPr>
      </w:pPr>
      <w:r>
        <w:rPr>
          <w:rFonts w:ascii="Times New Roman" w:hAnsi="Times New Roman"/>
          <w:spacing w:val="-5"/>
          <w:sz w:val="24"/>
        </w:rPr>
        <w:t>（4）因不可抗力致使合同无法履行；</w:t>
      </w:r>
    </w:p>
    <w:p>
      <w:pPr>
        <w:spacing w:line="300" w:lineRule="exact"/>
        <w:ind w:left="60" w:firstLine="480"/>
        <w:rPr>
          <w:rFonts w:ascii="Times New Roman" w:hAnsi="Times New Roman"/>
          <w:spacing w:val="-5"/>
          <w:sz w:val="24"/>
        </w:rPr>
      </w:pPr>
      <w:r>
        <w:rPr>
          <w:rFonts w:ascii="Times New Roman" w:hAnsi="Times New Roman"/>
          <w:spacing w:val="-5"/>
          <w:sz w:val="24"/>
        </w:rPr>
        <w:t>（5）因一方违约致使合同无法实际履行或实际履行已无必要。</w:t>
      </w:r>
    </w:p>
    <w:p>
      <w:pPr>
        <w:spacing w:line="300" w:lineRule="exact"/>
        <w:ind w:left="60" w:firstLine="480"/>
        <w:rPr>
          <w:rFonts w:ascii="Times New Roman" w:hAnsi="Times New Roman"/>
          <w:spacing w:val="-5"/>
          <w:sz w:val="24"/>
        </w:rPr>
      </w:pPr>
      <w:r>
        <w:rPr>
          <w:rFonts w:ascii="Times New Roman" w:hAnsi="Times New Roman"/>
          <w:spacing w:val="-5"/>
          <w:sz w:val="24"/>
        </w:rPr>
        <w:t>除上述情形外，双方可以根据委托的服务范围及工作内容，在专用条件中约定解除合同的其他条件。</w:t>
      </w:r>
    </w:p>
    <w:p>
      <w:pPr>
        <w:spacing w:line="300" w:lineRule="exact"/>
        <w:ind w:left="60" w:firstLine="480"/>
        <w:rPr>
          <w:rFonts w:ascii="Times New Roman" w:hAnsi="Times New Roman"/>
          <w:spacing w:val="-5"/>
          <w:sz w:val="24"/>
        </w:rPr>
      </w:pPr>
      <w:r>
        <w:rPr>
          <w:rFonts w:ascii="Times New Roman" w:hAnsi="Times New Roman"/>
          <w:spacing w:val="-5"/>
          <w:sz w:val="24"/>
        </w:rPr>
        <w:t>6.2.3任何一方提出解除合同的，应提前30天书面通知对方。</w:t>
      </w:r>
    </w:p>
    <w:p>
      <w:pPr>
        <w:spacing w:line="300" w:lineRule="exact"/>
        <w:ind w:left="60" w:firstLine="480"/>
        <w:rPr>
          <w:rFonts w:ascii="Times New Roman" w:hAnsi="Times New Roman"/>
          <w:spacing w:val="-5"/>
          <w:sz w:val="24"/>
        </w:rPr>
      </w:pPr>
      <w:r>
        <w:rPr>
          <w:rFonts w:ascii="Times New Roman" w:hAnsi="Times New Roman"/>
          <w:spacing w:val="-5"/>
          <w:sz w:val="24"/>
        </w:rPr>
        <w:t>6.2.4合同解除后，委托人应按照合同约定向咨询人支付已完成部分的咨询服务酬金。</w:t>
      </w:r>
    </w:p>
    <w:p>
      <w:pPr>
        <w:spacing w:line="300" w:lineRule="exact"/>
        <w:ind w:left="60" w:firstLine="480"/>
        <w:rPr>
          <w:rFonts w:ascii="Times New Roman" w:hAnsi="Times New Roman"/>
          <w:spacing w:val="-5"/>
          <w:sz w:val="24"/>
        </w:rPr>
      </w:pPr>
      <w:r>
        <w:rPr>
          <w:rFonts w:ascii="Times New Roman" w:hAnsi="Times New Roman"/>
          <w:spacing w:val="-5"/>
          <w:sz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00" w:lineRule="exact"/>
        <w:ind w:left="60" w:firstLine="480"/>
        <w:rPr>
          <w:rFonts w:ascii="Times New Roman" w:hAnsi="Times New Roman"/>
          <w:spacing w:val="-5"/>
          <w:sz w:val="24"/>
        </w:rPr>
      </w:pPr>
      <w:bookmarkStart w:id="288" w:name="17"/>
      <w:bookmarkEnd w:id="288"/>
      <w:r>
        <w:rPr>
          <w:rFonts w:ascii="Times New Roman" w:hAnsi="Times New Roman"/>
          <w:spacing w:val="-5"/>
          <w:sz w:val="24"/>
        </w:rPr>
        <w:t>6.2.5本合同解除后，本合同约定的有关结算、争议解决方式的条款仍然有效。</w:t>
      </w:r>
    </w:p>
    <w:p>
      <w:pPr>
        <w:pStyle w:val="5"/>
        <w:spacing w:line="300" w:lineRule="exact"/>
        <w:rPr>
          <w:rFonts w:ascii="Times New Roman" w:hAnsi="Times New Roman"/>
          <w:spacing w:val="-3"/>
          <w:sz w:val="24"/>
        </w:rPr>
      </w:pPr>
      <w:bookmarkStart w:id="289" w:name="_Toc435691770"/>
      <w:r>
        <w:rPr>
          <w:rFonts w:ascii="Times New Roman" w:hAnsi="Times New Roman"/>
          <w:spacing w:val="-3"/>
          <w:sz w:val="24"/>
        </w:rPr>
        <w:t>6.3合同终止</w:t>
      </w:r>
      <w:bookmarkEnd w:id="289"/>
    </w:p>
    <w:p>
      <w:pPr>
        <w:spacing w:line="300" w:lineRule="exact"/>
        <w:ind w:left="60" w:firstLine="480"/>
        <w:rPr>
          <w:rFonts w:ascii="Times New Roman" w:hAnsi="Times New Roman"/>
          <w:spacing w:val="-5"/>
          <w:sz w:val="24"/>
        </w:rPr>
      </w:pPr>
      <w:r>
        <w:rPr>
          <w:rFonts w:ascii="Times New Roman" w:hAnsi="Times New Roman"/>
          <w:spacing w:val="-5"/>
          <w:sz w:val="24"/>
        </w:rPr>
        <w:t>除合同解除外，以下条件全部满足时，本合同终止：</w:t>
      </w:r>
    </w:p>
    <w:p>
      <w:pPr>
        <w:spacing w:line="300" w:lineRule="exact"/>
        <w:ind w:left="60" w:firstLine="480"/>
        <w:rPr>
          <w:rFonts w:ascii="Times New Roman" w:hAnsi="Times New Roman"/>
          <w:spacing w:val="-5"/>
          <w:sz w:val="24"/>
        </w:rPr>
      </w:pPr>
      <w:r>
        <w:rPr>
          <w:rFonts w:ascii="Times New Roman" w:hAnsi="Times New Roman"/>
          <w:spacing w:val="-5"/>
          <w:sz w:val="24"/>
        </w:rPr>
        <w:t>（1）咨询人完成本合同约定的全部工作；</w:t>
      </w:r>
    </w:p>
    <w:p>
      <w:pPr>
        <w:spacing w:line="300" w:lineRule="exact"/>
        <w:ind w:left="60" w:firstLine="480"/>
        <w:rPr>
          <w:rFonts w:ascii="Times New Roman" w:hAnsi="Times New Roman"/>
          <w:spacing w:val="-5"/>
          <w:sz w:val="24"/>
        </w:rPr>
      </w:pPr>
      <w:r>
        <w:rPr>
          <w:rFonts w:ascii="Times New Roman" w:hAnsi="Times New Roman"/>
          <w:spacing w:val="-5"/>
          <w:sz w:val="24"/>
        </w:rPr>
        <w:t>（2）委托人与咨询人结清并支付酬金；</w:t>
      </w:r>
    </w:p>
    <w:p>
      <w:pPr>
        <w:spacing w:line="300" w:lineRule="exact"/>
        <w:ind w:left="60" w:firstLine="480"/>
        <w:rPr>
          <w:rFonts w:ascii="Times New Roman" w:hAnsi="Times New Roman"/>
          <w:spacing w:val="-5"/>
          <w:sz w:val="24"/>
        </w:rPr>
      </w:pPr>
      <w:r>
        <w:rPr>
          <w:rFonts w:ascii="Times New Roman" w:hAnsi="Times New Roman"/>
          <w:spacing w:val="-5"/>
          <w:sz w:val="24"/>
        </w:rPr>
        <w:t>（3）咨询人将委托人提供的资料交还。</w:t>
      </w:r>
    </w:p>
    <w:p>
      <w:pPr>
        <w:pStyle w:val="4"/>
        <w:spacing w:line="300" w:lineRule="exact"/>
        <w:rPr>
          <w:rFonts w:ascii="Times New Roman" w:hAnsi="Times New Roman"/>
          <w:spacing w:val="-5"/>
          <w:sz w:val="24"/>
        </w:rPr>
      </w:pPr>
      <w:bookmarkStart w:id="290" w:name="_Toc146588392"/>
      <w:bookmarkStart w:id="291" w:name="_Toc435691771"/>
      <w:r>
        <w:rPr>
          <w:rFonts w:ascii="Times New Roman" w:hAnsi="Times New Roman"/>
          <w:spacing w:val="-5"/>
          <w:sz w:val="24"/>
        </w:rPr>
        <w:t>7.争议解决</w:t>
      </w:r>
      <w:bookmarkEnd w:id="290"/>
      <w:bookmarkEnd w:id="291"/>
    </w:p>
    <w:p>
      <w:pPr>
        <w:pStyle w:val="5"/>
        <w:spacing w:line="300" w:lineRule="exact"/>
        <w:rPr>
          <w:rFonts w:ascii="Times New Roman" w:hAnsi="Times New Roman"/>
          <w:spacing w:val="-3"/>
          <w:sz w:val="24"/>
        </w:rPr>
      </w:pPr>
      <w:bookmarkStart w:id="292" w:name="_Toc435691772"/>
      <w:r>
        <w:rPr>
          <w:rFonts w:ascii="Times New Roman" w:hAnsi="Times New Roman"/>
          <w:spacing w:val="-3"/>
          <w:sz w:val="24"/>
        </w:rPr>
        <w:t>7.1协商</w:t>
      </w:r>
      <w:bookmarkEnd w:id="292"/>
    </w:p>
    <w:p>
      <w:pPr>
        <w:spacing w:line="300" w:lineRule="exact"/>
        <w:ind w:left="60" w:firstLine="480"/>
        <w:rPr>
          <w:rFonts w:ascii="Times New Roman" w:hAnsi="Times New Roman"/>
          <w:spacing w:val="-5"/>
          <w:sz w:val="24"/>
        </w:rPr>
      </w:pPr>
      <w:r>
        <w:rPr>
          <w:rFonts w:ascii="Times New Roman" w:hAnsi="Times New Roman"/>
          <w:spacing w:val="-5"/>
          <w:sz w:val="24"/>
        </w:rPr>
        <w:t>双方应本着诚实信用的原则协商解决本合同履行过程中发生的争议。</w:t>
      </w:r>
    </w:p>
    <w:p>
      <w:pPr>
        <w:pStyle w:val="5"/>
        <w:spacing w:line="300" w:lineRule="exact"/>
        <w:rPr>
          <w:rFonts w:ascii="Times New Roman" w:hAnsi="Times New Roman"/>
          <w:spacing w:val="-3"/>
          <w:sz w:val="24"/>
        </w:rPr>
      </w:pPr>
      <w:bookmarkStart w:id="293" w:name="_Toc435691773"/>
      <w:r>
        <w:rPr>
          <w:rFonts w:ascii="Times New Roman" w:hAnsi="Times New Roman"/>
          <w:spacing w:val="-3"/>
          <w:sz w:val="24"/>
        </w:rPr>
        <w:t>7.2调解</w:t>
      </w:r>
      <w:bookmarkEnd w:id="293"/>
    </w:p>
    <w:p>
      <w:pPr>
        <w:spacing w:line="300" w:lineRule="exact"/>
        <w:ind w:left="60" w:firstLine="480"/>
        <w:rPr>
          <w:rFonts w:ascii="Times New Roman" w:hAnsi="Times New Roman"/>
          <w:spacing w:val="-5"/>
          <w:sz w:val="24"/>
        </w:rPr>
      </w:pPr>
      <w:r>
        <w:rPr>
          <w:rFonts w:ascii="Times New Roman" w:hAnsi="Times New Roman"/>
          <w:spacing w:val="-5"/>
          <w:sz w:val="24"/>
        </w:rPr>
        <w:t>如果双方不能在14日内或双方商定的其他时间内解决本合同争议，可以将其提交给专用条件约定的或事后达成协议的调解人进行调解。</w:t>
      </w:r>
    </w:p>
    <w:p>
      <w:pPr>
        <w:pStyle w:val="5"/>
        <w:spacing w:line="300" w:lineRule="exact"/>
        <w:rPr>
          <w:rFonts w:ascii="Times New Roman" w:hAnsi="Times New Roman"/>
          <w:spacing w:val="-3"/>
          <w:sz w:val="24"/>
        </w:rPr>
      </w:pPr>
      <w:bookmarkStart w:id="294" w:name="_Toc435691774"/>
      <w:r>
        <w:rPr>
          <w:rFonts w:ascii="Times New Roman" w:hAnsi="Times New Roman"/>
          <w:spacing w:val="-3"/>
          <w:sz w:val="24"/>
        </w:rPr>
        <w:t>7.3仲裁或诉讼</w:t>
      </w:r>
      <w:bookmarkEnd w:id="294"/>
    </w:p>
    <w:p>
      <w:pPr>
        <w:spacing w:line="300" w:lineRule="exact"/>
        <w:ind w:left="60" w:firstLine="480"/>
        <w:rPr>
          <w:rFonts w:ascii="Times New Roman" w:hAnsi="Times New Roman"/>
        </w:rPr>
      </w:pPr>
      <w:r>
        <w:rPr>
          <w:rFonts w:ascii="Times New Roman" w:hAnsi="Times New Roman"/>
          <w:spacing w:val="-5"/>
          <w:sz w:val="24"/>
        </w:rPr>
        <w:t>双方均有权不经调解直接向专用条件约定的仲裁机构申请仲裁或向有管辖权的人民法院提起诉讼。</w:t>
      </w:r>
    </w:p>
    <w:p>
      <w:pPr>
        <w:pStyle w:val="4"/>
        <w:spacing w:line="300" w:lineRule="exact"/>
        <w:rPr>
          <w:rFonts w:ascii="Times New Roman" w:hAnsi="Times New Roman"/>
          <w:spacing w:val="-2"/>
          <w:w w:val="95"/>
          <w:sz w:val="24"/>
        </w:rPr>
      </w:pPr>
      <w:bookmarkStart w:id="295" w:name="_Toc146588393"/>
      <w:bookmarkStart w:id="296" w:name="_Toc435691775"/>
      <w:r>
        <w:rPr>
          <w:rFonts w:ascii="Times New Roman" w:hAnsi="Times New Roman"/>
          <w:spacing w:val="-5"/>
          <w:sz w:val="24"/>
        </w:rPr>
        <w:t>8.其他</w:t>
      </w:r>
      <w:bookmarkEnd w:id="295"/>
      <w:bookmarkEnd w:id="296"/>
    </w:p>
    <w:p>
      <w:pPr>
        <w:pStyle w:val="5"/>
        <w:spacing w:line="300" w:lineRule="exact"/>
        <w:rPr>
          <w:rFonts w:ascii="Times New Roman" w:hAnsi="Times New Roman"/>
          <w:spacing w:val="-3"/>
          <w:sz w:val="24"/>
        </w:rPr>
      </w:pPr>
      <w:bookmarkStart w:id="297" w:name="_Toc435691776"/>
      <w:r>
        <w:rPr>
          <w:rFonts w:ascii="Times New Roman" w:hAnsi="Times New Roman"/>
          <w:spacing w:val="-3"/>
          <w:sz w:val="24"/>
        </w:rPr>
        <w:t>8.1考察及相关费用</w:t>
      </w:r>
      <w:bookmarkEnd w:id="297"/>
    </w:p>
    <w:p>
      <w:pPr>
        <w:spacing w:line="300" w:lineRule="exact"/>
        <w:ind w:left="60" w:firstLine="480"/>
        <w:rPr>
          <w:rFonts w:ascii="Times New Roman" w:hAnsi="Times New Roman"/>
          <w:spacing w:val="-5"/>
          <w:sz w:val="24"/>
        </w:rPr>
      </w:pPr>
      <w:r>
        <w:rPr>
          <w:rFonts w:ascii="Times New Roman" w:hAnsi="Times New Roman"/>
          <w:spacing w:val="-5"/>
          <w:sz w:val="24"/>
        </w:rPr>
        <w:t>除专用条件另有约定外，咨询人经委托人同意进行考察发生的费用由委托人审核后另行支付。差旅费及相关费用的承担由双方在专用条件中约定。</w:t>
      </w:r>
    </w:p>
    <w:p>
      <w:pPr>
        <w:pStyle w:val="5"/>
        <w:spacing w:line="300" w:lineRule="exact"/>
        <w:rPr>
          <w:rFonts w:ascii="Times New Roman" w:hAnsi="Times New Roman"/>
          <w:spacing w:val="-3"/>
          <w:sz w:val="24"/>
        </w:rPr>
      </w:pPr>
      <w:bookmarkStart w:id="298" w:name="_Toc435691777"/>
      <w:r>
        <w:rPr>
          <w:rFonts w:ascii="Times New Roman" w:hAnsi="Times New Roman"/>
          <w:spacing w:val="-3"/>
          <w:sz w:val="24"/>
        </w:rPr>
        <w:t>8.2奖励</w:t>
      </w:r>
      <w:bookmarkEnd w:id="298"/>
    </w:p>
    <w:p>
      <w:pPr>
        <w:spacing w:line="300" w:lineRule="exact"/>
        <w:ind w:left="60" w:firstLine="480"/>
        <w:rPr>
          <w:rFonts w:ascii="Times New Roman" w:hAnsi="Times New Roman"/>
          <w:spacing w:val="-5"/>
          <w:sz w:val="24"/>
        </w:rPr>
      </w:pPr>
      <w:r>
        <w:rPr>
          <w:rFonts w:ascii="Times New Roman" w:hAnsi="Times New Roman"/>
          <w:spacing w:val="-5"/>
          <w:sz w:val="24"/>
        </w:rPr>
        <w:t>对于咨询人在服务过程中提出合理化建议，使委托人获得效益的，双方在专用条件中约定奖励金额的确定方法。奖励金额在合理化建议被采纳后，与最近一期的正常工作酬金同期支付。</w:t>
      </w:r>
    </w:p>
    <w:p>
      <w:pPr>
        <w:pStyle w:val="5"/>
        <w:spacing w:line="300" w:lineRule="exact"/>
        <w:rPr>
          <w:rFonts w:ascii="Times New Roman" w:hAnsi="Times New Roman"/>
          <w:spacing w:val="-3"/>
          <w:sz w:val="24"/>
        </w:rPr>
      </w:pPr>
      <w:bookmarkStart w:id="299" w:name="_Toc435691778"/>
      <w:r>
        <w:rPr>
          <w:rFonts w:ascii="Times New Roman" w:hAnsi="Times New Roman"/>
          <w:spacing w:val="-3"/>
          <w:sz w:val="24"/>
        </w:rPr>
        <w:t>8.3保密</w:t>
      </w:r>
      <w:bookmarkEnd w:id="299"/>
    </w:p>
    <w:p>
      <w:pPr>
        <w:spacing w:line="300" w:lineRule="exact"/>
        <w:ind w:left="60" w:firstLine="480"/>
        <w:rPr>
          <w:rFonts w:ascii="Times New Roman" w:hAnsi="Times New Roman"/>
          <w:spacing w:val="-5"/>
          <w:sz w:val="24"/>
        </w:rPr>
      </w:pPr>
      <w:r>
        <w:rPr>
          <w:rFonts w:ascii="Times New Roman" w:hAnsi="Times New Roman"/>
          <w:spacing w:val="-5"/>
          <w:sz w:val="24"/>
        </w:rPr>
        <w:t>在本合同履行期间或专用条件约定的期限内，双方不得泄露对方申明的保密资料，亦不得泄露与实施工程有关的第三人所提供的保密资料。保密事项在专用条件中约定。</w:t>
      </w:r>
    </w:p>
    <w:p>
      <w:pPr>
        <w:pStyle w:val="5"/>
        <w:spacing w:line="300" w:lineRule="exact"/>
        <w:rPr>
          <w:rFonts w:ascii="Times New Roman" w:hAnsi="Times New Roman"/>
          <w:spacing w:val="-3"/>
          <w:sz w:val="24"/>
        </w:rPr>
      </w:pPr>
      <w:bookmarkStart w:id="300" w:name="_Toc435691779"/>
      <w:r>
        <w:rPr>
          <w:rFonts w:ascii="Times New Roman" w:hAnsi="Times New Roman"/>
          <w:spacing w:val="-3"/>
          <w:sz w:val="24"/>
        </w:rPr>
        <w:t>8.4联络</w:t>
      </w:r>
      <w:bookmarkEnd w:id="300"/>
    </w:p>
    <w:p>
      <w:pPr>
        <w:spacing w:line="300" w:lineRule="exact"/>
        <w:ind w:left="60" w:firstLine="480"/>
        <w:rPr>
          <w:rFonts w:ascii="Times New Roman" w:hAnsi="Times New Roman"/>
          <w:spacing w:val="-5"/>
          <w:sz w:val="24"/>
        </w:rPr>
      </w:pPr>
      <w:bookmarkStart w:id="301" w:name="18"/>
      <w:bookmarkEnd w:id="301"/>
      <w:r>
        <w:rPr>
          <w:rFonts w:ascii="Times New Roman" w:hAnsi="Times New Roman"/>
          <w:spacing w:val="-5"/>
          <w:sz w:val="24"/>
        </w:rPr>
        <w:t>8.4.1与合同有关的通知、指示、要求、决定等，均应采用书面形式，并应在专用条件约定的期限内送达接收人和送达地点。</w:t>
      </w:r>
    </w:p>
    <w:p>
      <w:pPr>
        <w:spacing w:line="300" w:lineRule="exact"/>
        <w:ind w:left="60" w:firstLine="480"/>
        <w:rPr>
          <w:rFonts w:ascii="Times New Roman" w:hAnsi="Times New Roman"/>
          <w:spacing w:val="-5"/>
          <w:sz w:val="24"/>
        </w:rPr>
      </w:pPr>
      <w:r>
        <w:rPr>
          <w:rFonts w:ascii="Times New Roman" w:hAnsi="Times New Roman"/>
          <w:spacing w:val="-5"/>
          <w:sz w:val="24"/>
        </w:rPr>
        <w:t>8.4.2委托人和咨询人应在专用条件中约定各自的送达接收人、送达地点、电子邮箱。任何一方指定的接收人或送达地点或电子邮箱发生变动的，应提前3天以书面形式通知对方，否则视为未发生变动。</w:t>
      </w:r>
    </w:p>
    <w:p>
      <w:pPr>
        <w:spacing w:line="300" w:lineRule="exact"/>
        <w:ind w:left="60" w:firstLine="480"/>
        <w:rPr>
          <w:rFonts w:ascii="Times New Roman" w:hAnsi="Times New Roman"/>
          <w:spacing w:val="-5"/>
          <w:sz w:val="24"/>
        </w:rPr>
      </w:pPr>
      <w:r>
        <w:rPr>
          <w:rFonts w:ascii="Times New Roman" w:hAnsi="Times New Roman"/>
          <w:spacing w:val="-5"/>
          <w:sz w:val="24"/>
        </w:rPr>
        <w:t>8.4.3委托人和咨询人应当及时签收另一方送达至送达地点和指定接收人的往来函件，如确有充分证据证明一方无正当理由拒不签收的，视为认可往来函件的内容。</w:t>
      </w:r>
    </w:p>
    <w:p>
      <w:pPr>
        <w:pStyle w:val="5"/>
        <w:spacing w:line="300" w:lineRule="exact"/>
        <w:rPr>
          <w:rFonts w:ascii="Times New Roman" w:hAnsi="Times New Roman"/>
          <w:spacing w:val="-3"/>
          <w:sz w:val="24"/>
        </w:rPr>
      </w:pPr>
      <w:r>
        <w:rPr>
          <w:rFonts w:ascii="Times New Roman" w:hAnsi="Times New Roman"/>
          <w:spacing w:val="-3"/>
          <w:sz w:val="24"/>
        </w:rPr>
        <w:t>8.5知识产权</w:t>
      </w:r>
    </w:p>
    <w:p>
      <w:pPr>
        <w:spacing w:line="300" w:lineRule="exact"/>
        <w:ind w:left="60" w:firstLine="480"/>
        <w:rPr>
          <w:rFonts w:ascii="Times New Roman" w:hAnsi="Times New Roman"/>
          <w:spacing w:val="-5"/>
          <w:sz w:val="24"/>
        </w:rPr>
      </w:pPr>
      <w:r>
        <w:rPr>
          <w:rFonts w:ascii="Times New Roman" w:hAnsi="Times New Roman"/>
          <w:spacing w:val="-5"/>
          <w:sz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00" w:lineRule="exact"/>
        <w:ind w:left="62" w:firstLine="482"/>
        <w:rPr>
          <w:rFonts w:ascii="Times New Roman" w:hAnsi="Times New Roman"/>
          <w:spacing w:val="-5"/>
          <w:sz w:val="24"/>
        </w:rPr>
      </w:pPr>
      <w:r>
        <w:rPr>
          <w:rFonts w:ascii="Times New Roman" w:hAnsi="Times New Roman"/>
          <w:spacing w:val="-5"/>
          <w:sz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spacing w:line="300" w:lineRule="exact"/>
        <w:ind w:left="62" w:firstLine="482"/>
        <w:rPr>
          <w:rFonts w:ascii="Times New Roman" w:hAnsi="Times New Roman"/>
          <w:spacing w:val="-5"/>
          <w:sz w:val="24"/>
        </w:rPr>
      </w:pPr>
      <w:r>
        <w:rPr>
          <w:rFonts w:ascii="Times New Roman" w:hAnsi="Times New Roman"/>
          <w:spacing w:val="-5"/>
          <w:sz w:val="24"/>
        </w:rPr>
        <w:t>双方保证在履行本合同过程中不侵犯对方及第三方的知识产权。因咨询人侵犯他人知识产权所引起的责任，由咨询人承担；因委托人提供的基础资料导致侵权的，由委托人承担责任。</w:t>
      </w:r>
    </w:p>
    <w:p>
      <w:pPr>
        <w:rPr>
          <w:rFonts w:ascii="Times New Roman" w:hAnsi="Times New Roman"/>
          <w:b/>
          <w:bCs/>
          <w:spacing w:val="-3"/>
          <w:sz w:val="24"/>
          <w:szCs w:val="32"/>
        </w:rPr>
      </w:pPr>
      <w:r>
        <w:rPr>
          <w:rFonts w:ascii="Times New Roman" w:hAnsi="Times New Roman"/>
          <w:spacing w:val="-5"/>
          <w:sz w:val="24"/>
        </w:rPr>
        <w:t>除专用条件另有约定外，双方均有权在履行本合同保密义务并且不损害对方利益的情况下，将履行本合同形成的有关成果文件用于企业宣传、申报奖项以及接受上级主管部门的检查。</w:t>
      </w:r>
    </w:p>
    <w:p>
      <w:pPr>
        <w:rPr>
          <w:rFonts w:hint="eastAsia"/>
        </w:rPr>
        <w:sectPr>
          <w:footerReference r:id="rId7" w:type="default"/>
          <w:pgSz w:w="11906" w:h="16838"/>
          <w:pgMar w:top="957" w:right="1380" w:bottom="717" w:left="1740" w:header="567" w:footer="567" w:gutter="0"/>
          <w:cols w:space="720" w:num="1"/>
          <w:docGrid w:type="linesAndChars" w:linePitch="312" w:charSpace="0"/>
        </w:sectPr>
      </w:pPr>
    </w:p>
    <w:p>
      <w:pPr>
        <w:pStyle w:val="3"/>
        <w:spacing w:line="340" w:lineRule="exact"/>
        <w:jc w:val="center"/>
        <w:rPr>
          <w:rFonts w:ascii="Times New Roman" w:hAnsi="Times New Roman"/>
          <w:spacing w:val="-5"/>
          <w:sz w:val="32"/>
          <w:szCs w:val="32"/>
        </w:rPr>
      </w:pPr>
      <w:bookmarkStart w:id="302" w:name="_Toc146588394"/>
      <w:bookmarkStart w:id="303" w:name="_Toc435691781"/>
      <w:bookmarkStart w:id="304" w:name="_Toc138673249"/>
      <w:r>
        <w:rPr>
          <w:rFonts w:ascii="Times New Roman" w:hAnsi="Times New Roman"/>
          <w:spacing w:val="-5"/>
          <w:sz w:val="32"/>
          <w:szCs w:val="32"/>
        </w:rPr>
        <w:t>第三部分</w:t>
      </w:r>
      <w:r>
        <w:rPr>
          <w:rFonts w:ascii="Times New Roman" w:hAnsi="Times New Roman"/>
          <w:spacing w:val="-5"/>
          <w:sz w:val="32"/>
          <w:szCs w:val="32"/>
        </w:rPr>
        <w:tab/>
      </w:r>
      <w:r>
        <w:rPr>
          <w:rFonts w:ascii="Times New Roman" w:hAnsi="Times New Roman"/>
          <w:spacing w:val="-5"/>
          <w:sz w:val="32"/>
          <w:szCs w:val="32"/>
        </w:rPr>
        <w:t>专用条件</w:t>
      </w:r>
      <w:bookmarkEnd w:id="302"/>
      <w:bookmarkEnd w:id="303"/>
      <w:bookmarkEnd w:id="304"/>
    </w:p>
    <w:p>
      <w:pPr>
        <w:pStyle w:val="4"/>
        <w:spacing w:line="340" w:lineRule="exact"/>
        <w:jc w:val="left"/>
        <w:rPr>
          <w:rFonts w:ascii="Times New Roman" w:hAnsi="Times New Roman"/>
        </w:rPr>
      </w:pPr>
      <w:bookmarkStart w:id="305" w:name="_Toc146588395"/>
      <w:bookmarkStart w:id="306" w:name="_Toc138673250"/>
      <w:bookmarkStart w:id="307" w:name="_Toc435691782"/>
      <w:r>
        <w:rPr>
          <w:rFonts w:ascii="Times New Roman" w:hAnsi="Times New Roman"/>
          <w:spacing w:val="-5"/>
          <w:sz w:val="24"/>
        </w:rPr>
        <w:t>1.词语定义、语言、解释顺序与适用法律</w:t>
      </w:r>
      <w:bookmarkEnd w:id="305"/>
      <w:bookmarkEnd w:id="306"/>
      <w:bookmarkEnd w:id="307"/>
    </w:p>
    <w:p>
      <w:pPr>
        <w:pStyle w:val="5"/>
        <w:spacing w:line="340" w:lineRule="exact"/>
        <w:jc w:val="left"/>
        <w:rPr>
          <w:rFonts w:ascii="Times New Roman" w:hAnsi="Times New Roman"/>
          <w:spacing w:val="-3"/>
          <w:sz w:val="24"/>
        </w:rPr>
      </w:pPr>
      <w:bookmarkStart w:id="308" w:name="_Toc435691783"/>
      <w:bookmarkStart w:id="309" w:name="_Toc138673251"/>
      <w:r>
        <w:rPr>
          <w:rFonts w:ascii="Times New Roman" w:hAnsi="Times New Roman"/>
          <w:spacing w:val="-3"/>
          <w:sz w:val="24"/>
        </w:rPr>
        <w:t>1.1语言</w:t>
      </w:r>
      <w:bookmarkEnd w:id="308"/>
      <w:bookmarkEnd w:id="309"/>
    </w:p>
    <w:p>
      <w:pPr>
        <w:spacing w:line="340" w:lineRule="exact"/>
        <w:ind w:firstLine="464" w:firstLineChars="200"/>
        <w:jc w:val="left"/>
        <w:rPr>
          <w:rFonts w:ascii="Times New Roman" w:hAnsi="Times New Roman"/>
        </w:rPr>
      </w:pPr>
      <w:r>
        <w:rPr>
          <w:rFonts w:ascii="Times New Roman" w:hAnsi="Times New Roman"/>
          <w:spacing w:val="-4"/>
          <w:sz w:val="24"/>
        </w:rPr>
        <w:t>本合同文件除使用中文外，还可用</w:t>
      </w:r>
      <w:r>
        <w:rPr>
          <w:rFonts w:ascii="Times New Roman" w:hAnsi="Times New Roman"/>
          <w:spacing w:val="-4"/>
          <w:sz w:val="24"/>
          <w:u w:val="single"/>
        </w:rPr>
        <w:t>/</w:t>
      </w:r>
      <w:r>
        <w:rPr>
          <w:rFonts w:ascii="Times New Roman" w:hAnsi="Times New Roman"/>
          <w:spacing w:val="-4"/>
          <w:sz w:val="24"/>
        </w:rPr>
        <w:t>。</w:t>
      </w:r>
    </w:p>
    <w:p>
      <w:pPr>
        <w:pStyle w:val="5"/>
        <w:spacing w:line="340" w:lineRule="exact"/>
        <w:jc w:val="left"/>
        <w:rPr>
          <w:rFonts w:ascii="Times New Roman" w:hAnsi="Times New Roman"/>
          <w:spacing w:val="-3"/>
          <w:sz w:val="24"/>
        </w:rPr>
      </w:pPr>
      <w:bookmarkStart w:id="310" w:name="_Toc138673252"/>
      <w:bookmarkStart w:id="311" w:name="_Toc435691784"/>
      <w:r>
        <w:rPr>
          <w:rFonts w:ascii="Times New Roman" w:hAnsi="Times New Roman"/>
          <w:spacing w:val="-3"/>
          <w:sz w:val="24"/>
        </w:rPr>
        <w:t>1.2合同文件的优先顺序</w:t>
      </w:r>
      <w:bookmarkEnd w:id="310"/>
      <w:bookmarkEnd w:id="311"/>
    </w:p>
    <w:p>
      <w:pPr>
        <w:pStyle w:val="102"/>
        <w:spacing w:line="340" w:lineRule="exact"/>
        <w:ind w:firstLine="464" w:firstLineChars="200"/>
        <w:rPr>
          <w:spacing w:val="-4"/>
        </w:rPr>
      </w:pPr>
      <w:r>
        <w:rPr>
          <w:spacing w:val="-4"/>
        </w:rPr>
        <w:t>本合同文件的解释顺序为：</w:t>
      </w:r>
      <w:r>
        <w:rPr>
          <w:spacing w:val="-4"/>
          <w:u w:val="single"/>
        </w:rPr>
        <w:t>见第二部分通用条件1.3条</w:t>
      </w:r>
      <w:r>
        <w:rPr>
          <w:spacing w:val="-4"/>
        </w:rPr>
        <w:t>。</w:t>
      </w:r>
    </w:p>
    <w:p>
      <w:pPr>
        <w:pStyle w:val="5"/>
        <w:spacing w:line="340" w:lineRule="exact"/>
        <w:jc w:val="left"/>
        <w:rPr>
          <w:rFonts w:ascii="Times New Roman" w:hAnsi="Times New Roman"/>
          <w:spacing w:val="-3"/>
          <w:sz w:val="24"/>
        </w:rPr>
      </w:pPr>
      <w:bookmarkStart w:id="312" w:name="_Toc435691785"/>
      <w:bookmarkStart w:id="313" w:name="_Toc138673253"/>
      <w:r>
        <w:rPr>
          <w:rFonts w:ascii="Times New Roman" w:hAnsi="Times New Roman"/>
          <w:spacing w:val="-3"/>
          <w:sz w:val="24"/>
        </w:rPr>
        <w:t>1.3适用法律</w:t>
      </w:r>
      <w:bookmarkEnd w:id="312"/>
      <w:bookmarkEnd w:id="313"/>
    </w:p>
    <w:p>
      <w:pPr>
        <w:spacing w:line="340" w:lineRule="exact"/>
        <w:ind w:firstLine="460" w:firstLineChars="200"/>
        <w:jc w:val="left"/>
        <w:rPr>
          <w:rFonts w:ascii="Times New Roman" w:hAnsi="Times New Roman"/>
        </w:rPr>
      </w:pPr>
      <w:r>
        <w:rPr>
          <w:rFonts w:ascii="Times New Roman" w:hAnsi="Times New Roman"/>
          <w:spacing w:val="-5"/>
          <w:sz w:val="24"/>
        </w:rPr>
        <w:t>本合同适用的其他规范性文件包括:</w:t>
      </w:r>
      <w:r>
        <w:rPr>
          <w:rFonts w:ascii="Times New Roman" w:hAnsi="Times New Roman"/>
          <w:spacing w:val="-4"/>
          <w:kern w:val="0"/>
          <w:sz w:val="24"/>
          <w:szCs w:val="21"/>
          <w:u w:val="single"/>
        </w:rPr>
        <w:t>见第二部分通用条件1.4条</w:t>
      </w:r>
      <w:r>
        <w:rPr>
          <w:rFonts w:ascii="Times New Roman" w:hAnsi="Times New Roman"/>
          <w:spacing w:val="-5"/>
          <w:sz w:val="24"/>
        </w:rPr>
        <w:t>。</w:t>
      </w:r>
    </w:p>
    <w:p>
      <w:pPr>
        <w:pStyle w:val="4"/>
        <w:spacing w:line="340" w:lineRule="exact"/>
        <w:jc w:val="left"/>
        <w:rPr>
          <w:rFonts w:ascii="Times New Roman" w:hAnsi="Times New Roman"/>
          <w:b w:val="0"/>
        </w:rPr>
      </w:pPr>
      <w:bookmarkStart w:id="314" w:name="_Toc435691786"/>
      <w:bookmarkStart w:id="315" w:name="_Toc146588396"/>
      <w:bookmarkStart w:id="316" w:name="_Toc138673254"/>
      <w:r>
        <w:rPr>
          <w:rFonts w:ascii="Times New Roman" w:hAnsi="Times New Roman"/>
          <w:spacing w:val="-5"/>
          <w:sz w:val="24"/>
        </w:rPr>
        <w:t>2.委托人的义务</w:t>
      </w:r>
      <w:bookmarkEnd w:id="314"/>
      <w:bookmarkEnd w:id="315"/>
      <w:bookmarkEnd w:id="316"/>
    </w:p>
    <w:p>
      <w:pPr>
        <w:pStyle w:val="5"/>
        <w:spacing w:line="340" w:lineRule="exact"/>
        <w:jc w:val="left"/>
        <w:rPr>
          <w:rFonts w:ascii="Times New Roman" w:hAnsi="Times New Roman"/>
          <w:spacing w:val="-3"/>
          <w:sz w:val="24"/>
        </w:rPr>
      </w:pPr>
      <w:bookmarkStart w:id="317" w:name="_Toc138673255"/>
      <w:bookmarkStart w:id="318" w:name="_Toc435691787"/>
      <w:r>
        <w:rPr>
          <w:rFonts w:ascii="Times New Roman" w:hAnsi="Times New Roman"/>
          <w:spacing w:val="-3"/>
          <w:sz w:val="24"/>
        </w:rPr>
        <w:t>2.1提供资料</w:t>
      </w:r>
      <w:bookmarkEnd w:id="317"/>
      <w:bookmarkEnd w:id="318"/>
    </w:p>
    <w:p>
      <w:pPr>
        <w:spacing w:line="340" w:lineRule="exact"/>
        <w:ind w:left="62" w:firstLine="482"/>
        <w:jc w:val="left"/>
        <w:rPr>
          <w:rFonts w:ascii="Times New Roman" w:hAnsi="Times New Roman"/>
          <w:spacing w:val="-6"/>
          <w:sz w:val="24"/>
        </w:rPr>
      </w:pPr>
      <w:r>
        <w:rPr>
          <w:rFonts w:ascii="Times New Roman" w:hAnsi="Times New Roman"/>
          <w:spacing w:val="-6"/>
          <w:sz w:val="24"/>
        </w:rPr>
        <w:t>委托人按照附录</w:t>
      </w:r>
      <w:r>
        <w:rPr>
          <w:rFonts w:ascii="Times New Roman" w:hAnsi="Times New Roman"/>
          <w:spacing w:val="-3"/>
          <w:sz w:val="24"/>
        </w:rPr>
        <w:t>C</w:t>
      </w:r>
      <w:r>
        <w:rPr>
          <w:rFonts w:ascii="Times New Roman" w:hAnsi="Times New Roman"/>
          <w:spacing w:val="-6"/>
          <w:sz w:val="24"/>
        </w:rPr>
        <w:t>约定无偿向咨询人提供与本合同咨询业务有关资料的时</w:t>
      </w:r>
      <w:r>
        <w:rPr>
          <w:rFonts w:ascii="Times New Roman" w:hAnsi="Times New Roman"/>
          <w:spacing w:val="-3"/>
          <w:sz w:val="24"/>
        </w:rPr>
        <w:t>间为：</w:t>
      </w:r>
      <w:r>
        <w:rPr>
          <w:rFonts w:ascii="Times New Roman" w:hAnsi="Times New Roman"/>
          <w:spacing w:val="-6"/>
          <w:sz w:val="24"/>
          <w:u w:val="single"/>
        </w:rPr>
        <w:t>合同订立之后7日内</w:t>
      </w:r>
      <w:r>
        <w:rPr>
          <w:rFonts w:ascii="Times New Roman" w:hAnsi="Times New Roman"/>
          <w:spacing w:val="-6"/>
          <w:sz w:val="24"/>
        </w:rPr>
        <w:t>。</w:t>
      </w:r>
    </w:p>
    <w:p>
      <w:pPr>
        <w:pStyle w:val="5"/>
        <w:spacing w:line="340" w:lineRule="exact"/>
        <w:jc w:val="left"/>
        <w:rPr>
          <w:rFonts w:ascii="Times New Roman" w:hAnsi="Times New Roman"/>
          <w:spacing w:val="-3"/>
          <w:sz w:val="24"/>
        </w:rPr>
      </w:pPr>
      <w:bookmarkStart w:id="319" w:name="_Toc138673256"/>
      <w:bookmarkStart w:id="320" w:name="_Toc435691788"/>
      <w:r>
        <w:rPr>
          <w:rFonts w:ascii="Times New Roman" w:hAnsi="Times New Roman"/>
          <w:spacing w:val="-3"/>
          <w:sz w:val="24"/>
        </w:rPr>
        <w:t>2.2提供工作条件</w:t>
      </w:r>
      <w:bookmarkEnd w:id="319"/>
      <w:bookmarkEnd w:id="320"/>
    </w:p>
    <w:p>
      <w:pPr>
        <w:spacing w:line="340" w:lineRule="exact"/>
        <w:ind w:left="62" w:firstLine="482"/>
        <w:jc w:val="left"/>
        <w:rPr>
          <w:rFonts w:ascii="Times New Roman" w:hAnsi="Times New Roman"/>
        </w:rPr>
      </w:pPr>
      <w:r>
        <w:rPr>
          <w:rFonts w:ascii="Times New Roman" w:hAnsi="Times New Roman"/>
          <w:spacing w:val="-3"/>
          <w:sz w:val="24"/>
        </w:rPr>
        <w:t>2.2.1</w:t>
      </w:r>
      <w:r>
        <w:rPr>
          <w:rFonts w:ascii="Times New Roman" w:hAnsi="Times New Roman"/>
          <w:spacing w:val="-6"/>
          <w:sz w:val="24"/>
        </w:rPr>
        <w:t>项目咨询人员使用附录</w:t>
      </w:r>
      <w:r>
        <w:rPr>
          <w:rFonts w:ascii="Times New Roman" w:hAnsi="Times New Roman"/>
          <w:spacing w:val="-3"/>
          <w:sz w:val="24"/>
        </w:rPr>
        <w:t>D</w:t>
      </w:r>
      <w:r>
        <w:rPr>
          <w:rFonts w:ascii="Times New Roman" w:hAnsi="Times New Roman"/>
          <w:spacing w:val="-6"/>
          <w:sz w:val="24"/>
        </w:rPr>
        <w:t>中由委托人提供的房屋及设备，支付使用费的标准为：</w:t>
      </w:r>
      <w:r>
        <w:rPr>
          <w:rFonts w:ascii="Times New Roman" w:hAnsi="Times New Roman"/>
          <w:u w:val="single"/>
        </w:rPr>
        <w:t>/</w:t>
      </w:r>
      <w:r>
        <w:rPr>
          <w:rFonts w:ascii="Times New Roman" w:hAnsi="Times New Roman"/>
          <w:spacing w:val="-6"/>
          <w:sz w:val="24"/>
        </w:rPr>
        <w:t>。</w:t>
      </w:r>
    </w:p>
    <w:p>
      <w:pPr>
        <w:pStyle w:val="5"/>
        <w:spacing w:line="340" w:lineRule="exact"/>
        <w:jc w:val="left"/>
        <w:rPr>
          <w:rFonts w:ascii="Times New Roman" w:hAnsi="Times New Roman"/>
          <w:spacing w:val="-3"/>
          <w:sz w:val="24"/>
        </w:rPr>
      </w:pPr>
      <w:bookmarkStart w:id="321" w:name="_Toc435691789"/>
      <w:bookmarkStart w:id="322" w:name="_Toc138673257"/>
      <w:r>
        <w:rPr>
          <w:rFonts w:ascii="Times New Roman" w:hAnsi="Times New Roman"/>
          <w:spacing w:val="-3"/>
          <w:sz w:val="24"/>
        </w:rPr>
        <w:t>2.3委托人代表</w:t>
      </w:r>
      <w:bookmarkEnd w:id="321"/>
      <w:bookmarkEnd w:id="322"/>
    </w:p>
    <w:p>
      <w:pPr>
        <w:spacing w:line="340" w:lineRule="exact"/>
        <w:ind w:left="62" w:firstLine="482"/>
        <w:jc w:val="left"/>
        <w:rPr>
          <w:rFonts w:ascii="Times New Roman" w:hAnsi="Times New Roman"/>
          <w:sz w:val="24"/>
          <w:szCs w:val="24"/>
          <w:u w:val="single"/>
        </w:rPr>
      </w:pPr>
      <w:r>
        <w:rPr>
          <w:rFonts w:ascii="Times New Roman" w:hAnsi="Times New Roman"/>
          <w:spacing w:val="-4"/>
          <w:sz w:val="24"/>
          <w:szCs w:val="24"/>
        </w:rPr>
        <w:t>委托人代表为：，其权限范围：</w:t>
      </w:r>
      <w:r>
        <w:rPr>
          <w:rFonts w:ascii="Times New Roman" w:hAnsi="Times New Roman"/>
          <w:sz w:val="24"/>
          <w:szCs w:val="24"/>
          <w:u w:val="single"/>
        </w:rPr>
        <w:t>提供咨询人所需要的资料，审核咨询人出具的成果</w:t>
      </w:r>
      <w:r>
        <w:rPr>
          <w:rFonts w:ascii="Times New Roman" w:hAnsi="Times New Roman"/>
          <w:spacing w:val="-3"/>
          <w:sz w:val="24"/>
          <w:szCs w:val="24"/>
        </w:rPr>
        <w:t>。</w:t>
      </w:r>
    </w:p>
    <w:p>
      <w:pPr>
        <w:pStyle w:val="5"/>
        <w:spacing w:line="340" w:lineRule="exact"/>
        <w:jc w:val="left"/>
        <w:rPr>
          <w:rFonts w:ascii="Times New Roman" w:hAnsi="Times New Roman"/>
          <w:spacing w:val="-3"/>
          <w:sz w:val="24"/>
        </w:rPr>
      </w:pPr>
      <w:bookmarkStart w:id="323" w:name="_Toc435691790"/>
      <w:bookmarkStart w:id="324" w:name="_Toc138673258"/>
      <w:r>
        <w:rPr>
          <w:rFonts w:ascii="Times New Roman" w:hAnsi="Times New Roman"/>
          <w:spacing w:val="-3"/>
          <w:sz w:val="24"/>
        </w:rPr>
        <w:t>2.4答复</w:t>
      </w:r>
      <w:bookmarkEnd w:id="323"/>
      <w:bookmarkEnd w:id="324"/>
    </w:p>
    <w:p>
      <w:pPr>
        <w:spacing w:line="340" w:lineRule="exact"/>
        <w:ind w:left="62" w:firstLine="482"/>
        <w:jc w:val="left"/>
        <w:rPr>
          <w:rFonts w:ascii="Times New Roman" w:hAnsi="Times New Roman"/>
          <w:spacing w:val="-3"/>
          <w:sz w:val="24"/>
        </w:rPr>
      </w:pPr>
      <w:r>
        <w:rPr>
          <w:rFonts w:ascii="Times New Roman" w:hAnsi="Times New Roman"/>
          <w:spacing w:val="-5"/>
          <w:sz w:val="24"/>
        </w:rPr>
        <w:t>委托人同意在</w:t>
      </w:r>
      <w:r>
        <w:rPr>
          <w:rFonts w:ascii="Times New Roman" w:hAnsi="Times New Roman"/>
          <w:spacing w:val="-5"/>
          <w:sz w:val="24"/>
          <w:u w:val="single"/>
        </w:rPr>
        <w:t>7</w:t>
      </w:r>
      <w:r>
        <w:rPr>
          <w:rFonts w:ascii="Times New Roman" w:hAnsi="Times New Roman"/>
          <w:spacing w:val="-5"/>
          <w:sz w:val="24"/>
        </w:rPr>
        <w:t>日内，对咨询人书面提交并要求做出决定的事宜给予</w:t>
      </w:r>
      <w:r>
        <w:rPr>
          <w:rFonts w:ascii="Times New Roman" w:hAnsi="Times New Roman"/>
          <w:spacing w:val="-6"/>
          <w:sz w:val="24"/>
        </w:rPr>
        <w:t>书面答</w:t>
      </w:r>
      <w:r>
        <w:rPr>
          <w:rFonts w:ascii="Times New Roman" w:hAnsi="Times New Roman"/>
          <w:spacing w:val="-3"/>
          <w:sz w:val="24"/>
        </w:rPr>
        <w:t>复。逾期未答复的，视为委托人认可。</w:t>
      </w:r>
    </w:p>
    <w:p>
      <w:pPr>
        <w:pStyle w:val="4"/>
        <w:spacing w:line="340" w:lineRule="exact"/>
        <w:jc w:val="left"/>
        <w:rPr>
          <w:rFonts w:ascii="Times New Roman" w:hAnsi="Times New Roman"/>
          <w:b w:val="0"/>
          <w:spacing w:val="-3"/>
          <w:sz w:val="24"/>
        </w:rPr>
      </w:pPr>
      <w:bookmarkStart w:id="325" w:name="_Toc138673259"/>
      <w:bookmarkStart w:id="326" w:name="_Toc146588397"/>
      <w:bookmarkStart w:id="327" w:name="_Toc435691791"/>
      <w:r>
        <w:rPr>
          <w:rFonts w:ascii="Times New Roman" w:hAnsi="Times New Roman"/>
          <w:spacing w:val="-5"/>
          <w:sz w:val="24"/>
        </w:rPr>
        <w:t>3.咨询人的义务</w:t>
      </w:r>
      <w:bookmarkEnd w:id="325"/>
      <w:bookmarkEnd w:id="326"/>
      <w:bookmarkEnd w:id="327"/>
    </w:p>
    <w:p>
      <w:pPr>
        <w:pStyle w:val="5"/>
        <w:spacing w:line="340" w:lineRule="exact"/>
        <w:jc w:val="left"/>
        <w:rPr>
          <w:rFonts w:ascii="Times New Roman" w:hAnsi="Times New Roman"/>
          <w:spacing w:val="-3"/>
          <w:sz w:val="24"/>
        </w:rPr>
      </w:pPr>
      <w:bookmarkStart w:id="328" w:name="_Toc138673260"/>
      <w:bookmarkStart w:id="329" w:name="_Toc435691792"/>
      <w:r>
        <w:rPr>
          <w:rFonts w:ascii="Times New Roman" w:hAnsi="Times New Roman"/>
          <w:spacing w:val="-3"/>
          <w:sz w:val="24"/>
        </w:rPr>
        <w:t>3.1项目咨询团队及人员</w:t>
      </w:r>
      <w:bookmarkEnd w:id="328"/>
      <w:bookmarkEnd w:id="329"/>
    </w:p>
    <w:p>
      <w:pPr>
        <w:spacing w:line="340" w:lineRule="exact"/>
        <w:ind w:left="62" w:firstLine="482"/>
        <w:jc w:val="left"/>
        <w:rPr>
          <w:rFonts w:ascii="Times New Roman" w:hAnsi="Times New Roman"/>
        </w:rPr>
      </w:pPr>
      <w:r>
        <w:rPr>
          <w:rFonts w:ascii="Times New Roman" w:hAnsi="Times New Roman"/>
          <w:spacing w:val="-3"/>
          <w:sz w:val="24"/>
        </w:rPr>
        <w:t>3.1.1项目咨询团队的主要人员</w:t>
      </w:r>
      <w:r>
        <w:rPr>
          <w:rFonts w:ascii="Times New Roman" w:hAnsi="Times New Roman"/>
          <w:spacing w:val="-6"/>
          <w:sz w:val="24"/>
        </w:rPr>
        <w:t>应具有</w:t>
      </w:r>
      <w:r>
        <w:rPr>
          <w:rFonts w:ascii="Times New Roman" w:hAnsi="Times New Roman"/>
          <w:sz w:val="24"/>
          <w:szCs w:val="24"/>
          <w:u w:val="single"/>
        </w:rPr>
        <w:t>独立完成造价咨询</w:t>
      </w:r>
      <w:r>
        <w:rPr>
          <w:rFonts w:ascii="Times New Roman" w:hAnsi="Times New Roman"/>
          <w:spacing w:val="-6"/>
          <w:sz w:val="24"/>
        </w:rPr>
        <w:t>资格条件，团队人</w:t>
      </w:r>
      <w:r>
        <w:rPr>
          <w:rFonts w:ascii="Times New Roman" w:hAnsi="Times New Roman"/>
          <w:spacing w:val="-4"/>
          <w:sz w:val="24"/>
        </w:rPr>
        <w:t>员的数量为</w:t>
      </w:r>
      <w:r>
        <w:rPr>
          <w:rFonts w:ascii="Times New Roman" w:hAnsi="Times New Roman"/>
          <w:spacing w:val="-4"/>
          <w:sz w:val="24"/>
          <w:u w:val="single"/>
        </w:rPr>
        <w:t>3</w:t>
      </w:r>
      <w:r>
        <w:rPr>
          <w:rFonts w:ascii="Times New Roman" w:hAnsi="Times New Roman"/>
          <w:spacing w:val="-4"/>
          <w:sz w:val="24"/>
        </w:rPr>
        <w:t>人。</w:t>
      </w:r>
    </w:p>
    <w:p>
      <w:pPr>
        <w:spacing w:line="340" w:lineRule="exact"/>
        <w:ind w:left="62" w:firstLine="482"/>
        <w:jc w:val="left"/>
        <w:rPr>
          <w:rFonts w:ascii="Times New Roman" w:hAnsi="Times New Roman"/>
          <w:sz w:val="24"/>
          <w:szCs w:val="24"/>
        </w:rPr>
      </w:pPr>
      <w:r>
        <w:rPr>
          <w:rFonts w:ascii="Times New Roman" w:hAnsi="Times New Roman"/>
          <w:spacing w:val="-3"/>
          <w:sz w:val="24"/>
        </w:rPr>
        <w:t>3.1.2</w:t>
      </w:r>
      <w:r>
        <w:rPr>
          <w:rFonts w:ascii="Times New Roman" w:hAnsi="Times New Roman"/>
          <w:spacing w:val="-4"/>
          <w:sz w:val="24"/>
        </w:rPr>
        <w:t>项目负责人为履行本合同的权</w:t>
      </w:r>
      <w:r>
        <w:rPr>
          <w:rFonts w:ascii="Times New Roman" w:hAnsi="Times New Roman"/>
          <w:spacing w:val="-3"/>
          <w:sz w:val="24"/>
        </w:rPr>
        <w:t>限为：</w:t>
      </w:r>
      <w:r>
        <w:rPr>
          <w:rFonts w:ascii="Times New Roman" w:hAnsi="Times New Roman"/>
          <w:spacing w:val="-3"/>
          <w:sz w:val="24"/>
          <w:szCs w:val="24"/>
          <w:u w:val="single"/>
        </w:rPr>
        <w:t>负责本项目咨询的实施</w:t>
      </w:r>
      <w:r>
        <w:rPr>
          <w:rFonts w:ascii="Times New Roman" w:hAnsi="Times New Roman"/>
          <w:spacing w:val="-3"/>
          <w:sz w:val="24"/>
          <w:szCs w:val="24"/>
        </w:rPr>
        <w:t>。</w:t>
      </w:r>
    </w:p>
    <w:p>
      <w:pPr>
        <w:spacing w:line="340" w:lineRule="exact"/>
        <w:ind w:left="60" w:firstLine="468"/>
        <w:jc w:val="left"/>
        <w:rPr>
          <w:rFonts w:ascii="Times New Roman" w:hAnsi="Times New Roman"/>
          <w:spacing w:val="-3"/>
          <w:sz w:val="24"/>
        </w:rPr>
      </w:pPr>
      <w:r>
        <w:rPr>
          <w:rFonts w:ascii="Times New Roman" w:hAnsi="Times New Roman"/>
          <w:spacing w:val="-3"/>
          <w:sz w:val="24"/>
        </w:rPr>
        <w:t>3.1.3咨询人更换项目咨询团队其他咨询人员的约定</w:t>
      </w:r>
      <w:r>
        <w:rPr>
          <w:rFonts w:ascii="Times New Roman" w:hAnsi="Times New Roman"/>
          <w:spacing w:val="-3"/>
          <w:sz w:val="24"/>
          <w:u w:val="single"/>
        </w:rPr>
        <w:t>/</w:t>
      </w:r>
      <w:r>
        <w:rPr>
          <w:rFonts w:ascii="Times New Roman" w:hAnsi="Times New Roman"/>
          <w:spacing w:val="-3"/>
          <w:sz w:val="24"/>
        </w:rPr>
        <w:t>。</w:t>
      </w:r>
    </w:p>
    <w:p>
      <w:pPr>
        <w:spacing w:line="340" w:lineRule="exact"/>
        <w:ind w:left="62" w:firstLine="482"/>
        <w:jc w:val="left"/>
        <w:rPr>
          <w:rFonts w:ascii="Times New Roman" w:hAnsi="Times New Roman"/>
          <w:spacing w:val="-3"/>
          <w:sz w:val="24"/>
        </w:rPr>
      </w:pPr>
      <w:r>
        <w:rPr>
          <w:rFonts w:ascii="Times New Roman" w:hAnsi="Times New Roman"/>
          <w:spacing w:val="-3"/>
          <w:sz w:val="24"/>
        </w:rPr>
        <w:t>3.1.4委托人要求更换咨询人员的情形还包括：</w:t>
      </w:r>
      <w:r>
        <w:rPr>
          <w:rFonts w:ascii="Times New Roman" w:hAnsi="Times New Roman"/>
          <w:spacing w:val="-3"/>
          <w:sz w:val="24"/>
          <w:u w:val="single"/>
        </w:rPr>
        <w:t>/</w:t>
      </w:r>
      <w:r>
        <w:rPr>
          <w:rFonts w:ascii="Times New Roman" w:hAnsi="Times New Roman"/>
          <w:spacing w:val="-3"/>
          <w:sz w:val="24"/>
        </w:rPr>
        <w:t>。</w:t>
      </w:r>
    </w:p>
    <w:p>
      <w:pPr>
        <w:pStyle w:val="5"/>
        <w:spacing w:line="340" w:lineRule="exact"/>
        <w:jc w:val="left"/>
        <w:rPr>
          <w:rFonts w:ascii="Times New Roman" w:hAnsi="Times New Roman"/>
          <w:spacing w:val="-3"/>
          <w:sz w:val="24"/>
        </w:rPr>
      </w:pPr>
      <w:bookmarkStart w:id="330" w:name="_Toc138673261"/>
      <w:bookmarkStart w:id="331" w:name="_Toc435691793"/>
      <w:r>
        <w:rPr>
          <w:rFonts w:ascii="Times New Roman" w:hAnsi="Times New Roman"/>
          <w:spacing w:val="-3"/>
          <w:sz w:val="24"/>
        </w:rPr>
        <w:t>3.2咨询人的工作要求</w:t>
      </w:r>
      <w:bookmarkEnd w:id="330"/>
      <w:bookmarkEnd w:id="331"/>
    </w:p>
    <w:p>
      <w:pPr>
        <w:spacing w:line="340" w:lineRule="exact"/>
        <w:ind w:left="60" w:firstLine="480"/>
        <w:jc w:val="left"/>
        <w:rPr>
          <w:rFonts w:ascii="Times New Roman" w:hAnsi="Times New Roman"/>
          <w:sz w:val="24"/>
          <w:szCs w:val="24"/>
        </w:rPr>
      </w:pPr>
      <w:r>
        <w:rPr>
          <w:rFonts w:ascii="Times New Roman" w:hAnsi="Times New Roman"/>
          <w:spacing w:val="-3"/>
          <w:sz w:val="24"/>
          <w:szCs w:val="24"/>
        </w:rPr>
        <w:t>3.2.1</w:t>
      </w:r>
      <w:r>
        <w:rPr>
          <w:rFonts w:ascii="Times New Roman" w:hAnsi="Times New Roman"/>
          <w:spacing w:val="-4"/>
          <w:sz w:val="24"/>
          <w:szCs w:val="24"/>
        </w:rPr>
        <w:t>咨询人向委托人提供有关资料的时间：</w:t>
      </w:r>
      <w:r>
        <w:rPr>
          <w:rFonts w:ascii="Times New Roman" w:hAnsi="Times New Roman"/>
          <w:spacing w:val="-4"/>
          <w:sz w:val="24"/>
          <w:szCs w:val="24"/>
          <w:u w:val="single"/>
        </w:rPr>
        <w:t>合同签订后7日</w:t>
      </w:r>
      <w:r>
        <w:rPr>
          <w:rFonts w:ascii="Times New Roman" w:hAnsi="Times New Roman"/>
          <w:spacing w:val="-4"/>
          <w:sz w:val="24"/>
          <w:szCs w:val="24"/>
        </w:rPr>
        <w:t>。</w:t>
      </w:r>
      <w:r>
        <w:rPr>
          <w:rFonts w:ascii="Times New Roman" w:hAnsi="Times New Roman"/>
          <w:spacing w:val="-4"/>
          <w:sz w:val="24"/>
        </w:rPr>
        <w:t>咨询人向委托人提供的资料还包括：</w:t>
      </w:r>
      <w:r>
        <w:rPr>
          <w:rFonts w:ascii="Times New Roman" w:hAnsi="Times New Roman"/>
          <w:spacing w:val="-4"/>
          <w:sz w:val="24"/>
          <w:u w:val="single"/>
        </w:rPr>
        <w:t>与本项目相关的其他资料</w:t>
      </w:r>
      <w:r>
        <w:rPr>
          <w:rFonts w:ascii="Times New Roman" w:hAnsi="Times New Roman"/>
          <w:spacing w:val="-4"/>
          <w:sz w:val="24"/>
        </w:rPr>
        <w:t>。</w:t>
      </w:r>
    </w:p>
    <w:p>
      <w:pPr>
        <w:spacing w:line="340" w:lineRule="exact"/>
        <w:ind w:left="60" w:firstLine="480"/>
        <w:jc w:val="left"/>
        <w:rPr>
          <w:rFonts w:ascii="Times New Roman" w:hAnsi="Times New Roman"/>
        </w:rPr>
      </w:pPr>
      <w:r>
        <w:rPr>
          <w:rFonts w:ascii="Times New Roman" w:hAnsi="Times New Roman"/>
          <w:spacing w:val="-3"/>
          <w:sz w:val="24"/>
        </w:rPr>
        <w:t>3.2.2</w:t>
      </w:r>
      <w:r>
        <w:rPr>
          <w:rFonts w:ascii="Times New Roman" w:hAnsi="Times New Roman"/>
          <w:spacing w:val="-6"/>
          <w:sz w:val="24"/>
        </w:rPr>
        <w:t>咨询人向委托人提供咨询成果文件的名称、组成、时间、份数及质</w:t>
      </w:r>
      <w:r>
        <w:rPr>
          <w:rFonts w:ascii="Times New Roman" w:hAnsi="Times New Roman"/>
          <w:spacing w:val="-3"/>
          <w:sz w:val="24"/>
        </w:rPr>
        <w:t>量标准：</w:t>
      </w:r>
      <w:r>
        <w:rPr>
          <w:rFonts w:ascii="Times New Roman" w:hAnsi="Times New Roman"/>
          <w:spacing w:val="-3"/>
          <w:sz w:val="24"/>
          <w:u w:val="single"/>
        </w:rPr>
        <w:t>符合行业规定</w:t>
      </w:r>
      <w:r>
        <w:rPr>
          <w:rFonts w:ascii="Times New Roman" w:hAnsi="Times New Roman"/>
          <w:spacing w:val="-3"/>
          <w:sz w:val="24"/>
        </w:rPr>
        <w:t>详见附录</w:t>
      </w:r>
      <w:r>
        <w:rPr>
          <w:rFonts w:ascii="Times New Roman" w:hAnsi="Times New Roman"/>
          <w:spacing w:val="-4"/>
          <w:sz w:val="24"/>
        </w:rPr>
        <w:t>B</w:t>
      </w:r>
      <w:r>
        <w:rPr>
          <w:rFonts w:ascii="Times New Roman" w:hAnsi="Times New Roman"/>
          <w:spacing w:val="-3"/>
          <w:sz w:val="24"/>
        </w:rPr>
        <w:t>。</w:t>
      </w:r>
    </w:p>
    <w:p>
      <w:pPr>
        <w:spacing w:line="340" w:lineRule="exact"/>
        <w:ind w:left="60" w:firstLine="480"/>
        <w:jc w:val="left"/>
        <w:rPr>
          <w:rFonts w:ascii="Times New Roman" w:hAnsi="Times New Roman"/>
        </w:rPr>
      </w:pPr>
      <w:r>
        <w:rPr>
          <w:rFonts w:ascii="Times New Roman" w:hAnsi="Times New Roman"/>
          <w:spacing w:val="-3"/>
          <w:sz w:val="24"/>
        </w:rPr>
        <w:t>3.2.4</w:t>
      </w:r>
      <w:r>
        <w:rPr>
          <w:rFonts w:ascii="Times New Roman" w:hAnsi="Times New Roman"/>
          <w:spacing w:val="-5"/>
          <w:sz w:val="24"/>
        </w:rPr>
        <w:t>咨询人应在收到委托人以书面形式提出的建议或者异议后</w:t>
      </w:r>
      <w:r>
        <w:rPr>
          <w:rFonts w:ascii="Times New Roman" w:hAnsi="Times New Roman"/>
          <w:spacing w:val="-5"/>
          <w:sz w:val="24"/>
          <w:u w:val="single"/>
        </w:rPr>
        <w:t>7</w:t>
      </w:r>
      <w:r>
        <w:rPr>
          <w:rFonts w:ascii="Times New Roman" w:hAnsi="Times New Roman"/>
          <w:spacing w:val="-6"/>
          <w:sz w:val="24"/>
        </w:rPr>
        <w:t>日内给予书面答复。</w:t>
      </w:r>
    </w:p>
    <w:p>
      <w:pPr>
        <w:pStyle w:val="5"/>
        <w:spacing w:line="340" w:lineRule="exact"/>
        <w:jc w:val="left"/>
        <w:rPr>
          <w:rFonts w:ascii="Times New Roman" w:hAnsi="Times New Roman"/>
          <w:spacing w:val="-3"/>
          <w:sz w:val="24"/>
        </w:rPr>
      </w:pPr>
      <w:bookmarkStart w:id="332" w:name="_Toc138673262"/>
      <w:bookmarkStart w:id="333" w:name="_Toc435691794"/>
      <w:r>
        <w:rPr>
          <w:rFonts w:ascii="Times New Roman" w:hAnsi="Times New Roman"/>
          <w:spacing w:val="-3"/>
          <w:sz w:val="24"/>
        </w:rPr>
        <w:t>3.3咨询人的工作依据</w:t>
      </w:r>
      <w:bookmarkEnd w:id="332"/>
      <w:bookmarkEnd w:id="333"/>
    </w:p>
    <w:p>
      <w:pPr>
        <w:spacing w:line="340" w:lineRule="exact"/>
        <w:ind w:left="60" w:firstLine="480"/>
        <w:jc w:val="left"/>
        <w:rPr>
          <w:rFonts w:ascii="Times New Roman" w:hAnsi="Times New Roman"/>
          <w:sz w:val="24"/>
          <w:szCs w:val="24"/>
        </w:rPr>
      </w:pPr>
      <w:r>
        <w:rPr>
          <w:rFonts w:ascii="Times New Roman" w:hAnsi="Times New Roman"/>
          <w:spacing w:val="-6"/>
          <w:sz w:val="24"/>
        </w:rPr>
        <w:t>经双方协商，本合同约定的造价咨询服务适用的技术标准、规范、定额等</w:t>
      </w:r>
      <w:r>
        <w:rPr>
          <w:rFonts w:ascii="Times New Roman" w:hAnsi="Times New Roman"/>
          <w:spacing w:val="-3"/>
          <w:sz w:val="24"/>
        </w:rPr>
        <w:t>工作依</w:t>
      </w:r>
      <w:r>
        <w:rPr>
          <w:rFonts w:ascii="Times New Roman" w:hAnsi="Times New Roman"/>
          <w:spacing w:val="-3"/>
          <w:sz w:val="24"/>
          <w:szCs w:val="24"/>
        </w:rPr>
        <w:t>据为：</w:t>
      </w:r>
      <w:r>
        <w:rPr>
          <w:rFonts w:ascii="Times New Roman" w:hAnsi="Times New Roman"/>
          <w:sz w:val="24"/>
          <w:szCs w:val="24"/>
          <w:u w:val="single"/>
        </w:rPr>
        <w:t>执行国家、省、市相关技术标准、规范、定额及政策性文件</w:t>
      </w:r>
      <w:r>
        <w:rPr>
          <w:rFonts w:ascii="Times New Roman" w:hAnsi="Times New Roman"/>
          <w:spacing w:val="-3"/>
          <w:sz w:val="24"/>
          <w:szCs w:val="24"/>
        </w:rPr>
        <w:t>。</w:t>
      </w:r>
    </w:p>
    <w:p>
      <w:pPr>
        <w:pStyle w:val="5"/>
        <w:spacing w:line="340" w:lineRule="exact"/>
        <w:jc w:val="left"/>
        <w:rPr>
          <w:rFonts w:ascii="Times New Roman" w:hAnsi="Times New Roman"/>
          <w:spacing w:val="-3"/>
          <w:sz w:val="24"/>
        </w:rPr>
      </w:pPr>
      <w:bookmarkStart w:id="334" w:name="_Toc435691795"/>
      <w:bookmarkStart w:id="335" w:name="_Toc138673263"/>
      <w:r>
        <w:rPr>
          <w:rFonts w:ascii="Times New Roman" w:hAnsi="Times New Roman"/>
          <w:spacing w:val="-3"/>
          <w:sz w:val="24"/>
        </w:rPr>
        <w:t>3.4使用委托人房屋及设备的返还</w:t>
      </w:r>
      <w:bookmarkEnd w:id="334"/>
      <w:bookmarkEnd w:id="335"/>
    </w:p>
    <w:p>
      <w:pPr>
        <w:spacing w:line="340" w:lineRule="exact"/>
        <w:ind w:left="60" w:firstLine="480"/>
        <w:jc w:val="left"/>
        <w:rPr>
          <w:rFonts w:ascii="Times New Roman" w:hAnsi="Times New Roman"/>
        </w:rPr>
      </w:pPr>
      <w:r>
        <w:rPr>
          <w:rFonts w:ascii="Times New Roman" w:hAnsi="Times New Roman"/>
          <w:spacing w:val="-5"/>
          <w:sz w:val="24"/>
        </w:rPr>
        <w:t>咨询人应在本合同终止后</w:t>
      </w:r>
      <w:r>
        <w:rPr>
          <w:rFonts w:ascii="Times New Roman" w:hAnsi="Times New Roman"/>
          <w:spacing w:val="-5"/>
          <w:sz w:val="24"/>
          <w:u w:val="single"/>
        </w:rPr>
        <w:t>/</w:t>
      </w:r>
      <w:r>
        <w:rPr>
          <w:rFonts w:ascii="Times New Roman" w:hAnsi="Times New Roman"/>
          <w:spacing w:val="-5"/>
          <w:sz w:val="24"/>
        </w:rPr>
        <w:t>日内移交委托人提供的房屋及设备，移交</w:t>
      </w:r>
      <w:r>
        <w:rPr>
          <w:rFonts w:ascii="Times New Roman" w:hAnsi="Times New Roman"/>
          <w:spacing w:val="-3"/>
          <w:sz w:val="24"/>
        </w:rPr>
        <w:t>的方式为</w:t>
      </w:r>
      <w:r>
        <w:rPr>
          <w:rFonts w:ascii="Times New Roman" w:hAnsi="Times New Roman"/>
          <w:spacing w:val="-4"/>
          <w:sz w:val="24"/>
          <w:u w:val="single"/>
        </w:rPr>
        <w:t>/</w:t>
      </w:r>
      <w:r>
        <w:rPr>
          <w:rFonts w:ascii="Times New Roman" w:hAnsi="Times New Roman"/>
          <w:spacing w:val="-3"/>
          <w:sz w:val="24"/>
        </w:rPr>
        <w:t>。</w:t>
      </w:r>
    </w:p>
    <w:p>
      <w:pPr>
        <w:pStyle w:val="4"/>
        <w:spacing w:line="340" w:lineRule="exact"/>
        <w:jc w:val="left"/>
        <w:rPr>
          <w:rFonts w:ascii="Times New Roman" w:hAnsi="Times New Roman"/>
        </w:rPr>
      </w:pPr>
      <w:bookmarkStart w:id="336" w:name="_Toc138673264"/>
      <w:bookmarkStart w:id="337" w:name="_Toc146588398"/>
      <w:bookmarkStart w:id="338" w:name="_Toc435691796"/>
      <w:r>
        <w:rPr>
          <w:rFonts w:ascii="Times New Roman" w:hAnsi="Times New Roman"/>
          <w:spacing w:val="-5"/>
          <w:sz w:val="24"/>
        </w:rPr>
        <w:t>4.违约责任</w:t>
      </w:r>
      <w:bookmarkEnd w:id="336"/>
      <w:bookmarkEnd w:id="337"/>
      <w:bookmarkEnd w:id="338"/>
    </w:p>
    <w:p>
      <w:pPr>
        <w:pStyle w:val="5"/>
        <w:spacing w:line="340" w:lineRule="exact"/>
        <w:jc w:val="left"/>
        <w:rPr>
          <w:rFonts w:ascii="Times New Roman" w:hAnsi="Times New Roman"/>
          <w:spacing w:val="-3"/>
          <w:sz w:val="24"/>
        </w:rPr>
      </w:pPr>
      <w:bookmarkStart w:id="339" w:name="_Toc138673265"/>
      <w:bookmarkStart w:id="340" w:name="_Toc435691797"/>
      <w:r>
        <w:rPr>
          <w:rFonts w:ascii="Times New Roman" w:hAnsi="Times New Roman"/>
          <w:spacing w:val="-3"/>
          <w:sz w:val="24"/>
        </w:rPr>
        <w:t>4.1委托人的违约责任</w:t>
      </w:r>
      <w:bookmarkEnd w:id="339"/>
      <w:bookmarkEnd w:id="340"/>
    </w:p>
    <w:p>
      <w:pPr>
        <w:tabs>
          <w:tab w:val="left" w:pos="5646"/>
          <w:tab w:val="left" w:pos="8040"/>
        </w:tabs>
        <w:spacing w:line="340" w:lineRule="exact"/>
        <w:ind w:left="60" w:firstLine="480"/>
        <w:jc w:val="left"/>
        <w:rPr>
          <w:rFonts w:ascii="Times New Roman" w:hAnsi="Times New Roman"/>
        </w:rPr>
      </w:pPr>
      <w:r>
        <w:rPr>
          <w:rFonts w:ascii="Times New Roman" w:hAnsi="Times New Roman"/>
          <w:spacing w:val="-3"/>
          <w:sz w:val="24"/>
        </w:rPr>
        <w:t>4.1.1</w:t>
      </w:r>
      <w:r>
        <w:rPr>
          <w:rFonts w:ascii="Times New Roman" w:hAnsi="Times New Roman"/>
          <w:spacing w:val="-6"/>
          <w:sz w:val="24"/>
        </w:rPr>
        <w:t>委托人违约金的计算及支付方法：</w:t>
      </w:r>
      <w:r>
        <w:rPr>
          <w:rFonts w:ascii="Times New Roman" w:hAnsi="Times New Roman"/>
          <w:sz w:val="24"/>
          <w:szCs w:val="24"/>
          <w:u w:val="single"/>
        </w:rPr>
        <w:t>另行协商</w:t>
      </w:r>
      <w:r>
        <w:rPr>
          <w:rFonts w:ascii="Times New Roman" w:hAnsi="Times New Roman"/>
          <w:u w:val="single"/>
        </w:rPr>
        <w:tab/>
      </w:r>
      <w:r>
        <w:rPr>
          <w:rFonts w:ascii="Times New Roman" w:hAnsi="Times New Roman"/>
          <w:spacing w:val="-6"/>
          <w:sz w:val="24"/>
        </w:rPr>
        <w:t>。</w:t>
      </w:r>
    </w:p>
    <w:p>
      <w:pPr>
        <w:spacing w:line="340" w:lineRule="exact"/>
        <w:ind w:left="60" w:firstLine="480"/>
        <w:jc w:val="left"/>
        <w:rPr>
          <w:rFonts w:ascii="Times New Roman" w:hAnsi="Times New Roman"/>
        </w:rPr>
      </w:pPr>
      <w:r>
        <w:rPr>
          <w:rFonts w:ascii="Times New Roman" w:hAnsi="Times New Roman"/>
          <w:spacing w:val="-3"/>
          <w:sz w:val="24"/>
        </w:rPr>
        <w:t>4.1.2</w:t>
      </w:r>
      <w:r>
        <w:rPr>
          <w:rFonts w:ascii="Times New Roman" w:hAnsi="Times New Roman"/>
          <w:spacing w:val="-4"/>
          <w:sz w:val="24"/>
        </w:rPr>
        <w:t>委托人赔偿金额按下列方法确定并支付：</w:t>
      </w:r>
      <w:r>
        <w:rPr>
          <w:rFonts w:ascii="Times New Roman" w:hAnsi="Times New Roman"/>
          <w:spacing w:val="-4"/>
          <w:sz w:val="24"/>
          <w:szCs w:val="24"/>
          <w:u w:val="single"/>
        </w:rPr>
        <w:t>另行协商</w:t>
      </w:r>
      <w:r>
        <w:rPr>
          <w:rFonts w:ascii="Times New Roman" w:hAnsi="Times New Roman"/>
          <w:spacing w:val="-4"/>
          <w:sz w:val="24"/>
        </w:rPr>
        <w:t>。</w:t>
      </w:r>
    </w:p>
    <w:p>
      <w:pPr>
        <w:spacing w:line="340" w:lineRule="exact"/>
        <w:ind w:left="60" w:firstLine="480"/>
        <w:jc w:val="left"/>
        <w:rPr>
          <w:rFonts w:ascii="Times New Roman" w:hAnsi="Times New Roman"/>
        </w:rPr>
      </w:pPr>
      <w:r>
        <w:rPr>
          <w:rFonts w:ascii="Times New Roman" w:hAnsi="Times New Roman"/>
          <w:spacing w:val="-3"/>
          <w:sz w:val="24"/>
        </w:rPr>
        <w:t>4.1.3</w:t>
      </w:r>
      <w:r>
        <w:rPr>
          <w:rFonts w:ascii="Times New Roman" w:hAnsi="Times New Roman"/>
          <w:spacing w:val="-4"/>
          <w:sz w:val="24"/>
        </w:rPr>
        <w:t>委托人逾期付款利息按下列方法计算并支付：</w:t>
      </w:r>
      <w:r>
        <w:rPr>
          <w:rFonts w:ascii="Times New Roman" w:hAnsi="Times New Roman"/>
          <w:spacing w:val="-4"/>
          <w:sz w:val="24"/>
          <w:szCs w:val="24"/>
          <w:u w:val="single"/>
        </w:rPr>
        <w:t>另行协商</w:t>
      </w:r>
      <w:r>
        <w:rPr>
          <w:rFonts w:ascii="Times New Roman" w:hAnsi="Times New Roman"/>
          <w:spacing w:val="-4"/>
          <w:sz w:val="24"/>
        </w:rPr>
        <w:t>。</w:t>
      </w:r>
    </w:p>
    <w:p>
      <w:pPr>
        <w:pStyle w:val="5"/>
        <w:spacing w:line="340" w:lineRule="exact"/>
        <w:jc w:val="left"/>
        <w:rPr>
          <w:rFonts w:ascii="Times New Roman" w:hAnsi="Times New Roman"/>
          <w:spacing w:val="-3"/>
          <w:sz w:val="24"/>
        </w:rPr>
      </w:pPr>
      <w:bookmarkStart w:id="341" w:name="_Toc435691798"/>
      <w:bookmarkStart w:id="342" w:name="_Toc138673266"/>
      <w:r>
        <w:rPr>
          <w:rFonts w:ascii="Times New Roman" w:hAnsi="Times New Roman"/>
          <w:spacing w:val="-3"/>
          <w:sz w:val="24"/>
        </w:rPr>
        <w:t>4.2咨询人的违约责任</w:t>
      </w:r>
      <w:bookmarkEnd w:id="341"/>
      <w:bookmarkEnd w:id="342"/>
    </w:p>
    <w:p>
      <w:pPr>
        <w:tabs>
          <w:tab w:val="left" w:pos="6300"/>
          <w:tab w:val="left" w:pos="7920"/>
        </w:tabs>
        <w:spacing w:line="340" w:lineRule="exact"/>
        <w:ind w:left="60" w:firstLine="480"/>
        <w:jc w:val="left"/>
        <w:rPr>
          <w:rFonts w:ascii="Times New Roman" w:hAnsi="Times New Roman"/>
        </w:rPr>
      </w:pPr>
      <w:r>
        <w:rPr>
          <w:rFonts w:ascii="Times New Roman" w:hAnsi="Times New Roman"/>
          <w:spacing w:val="-3"/>
          <w:sz w:val="24"/>
        </w:rPr>
        <w:t>4.2.1</w:t>
      </w:r>
      <w:r>
        <w:rPr>
          <w:rFonts w:ascii="Times New Roman" w:hAnsi="Times New Roman"/>
          <w:spacing w:val="-6"/>
          <w:sz w:val="24"/>
        </w:rPr>
        <w:t>咨询人违约金的计算及支付方法</w:t>
      </w:r>
      <w:r>
        <w:rPr>
          <w:rFonts w:ascii="Times New Roman" w:hAnsi="Times New Roman"/>
          <w:spacing w:val="-6"/>
          <w:sz w:val="24"/>
          <w:u w:val="single"/>
        </w:rPr>
        <w:t>：</w:t>
      </w:r>
      <w:r>
        <w:rPr>
          <w:rFonts w:ascii="Times New Roman" w:hAnsi="Times New Roman"/>
          <w:sz w:val="24"/>
          <w:szCs w:val="24"/>
          <w:u w:val="single"/>
        </w:rPr>
        <w:t>另行协商</w:t>
      </w:r>
      <w:r>
        <w:rPr>
          <w:rFonts w:ascii="Times New Roman" w:hAnsi="Times New Roman"/>
          <w:u w:val="single"/>
        </w:rPr>
        <w:tab/>
      </w:r>
      <w:r>
        <w:rPr>
          <w:rFonts w:ascii="Times New Roman" w:hAnsi="Times New Roman"/>
          <w:spacing w:val="-6"/>
          <w:sz w:val="24"/>
        </w:rPr>
        <w:t>。</w:t>
      </w:r>
    </w:p>
    <w:p>
      <w:pPr>
        <w:spacing w:line="340" w:lineRule="exact"/>
        <w:ind w:left="60" w:firstLine="480"/>
        <w:jc w:val="left"/>
        <w:rPr>
          <w:rFonts w:ascii="Times New Roman" w:hAnsi="Times New Roman"/>
        </w:rPr>
      </w:pPr>
      <w:r>
        <w:rPr>
          <w:rFonts w:ascii="Times New Roman" w:hAnsi="Times New Roman"/>
          <w:spacing w:val="-3"/>
          <w:sz w:val="24"/>
        </w:rPr>
        <w:t>4.2.2</w:t>
      </w:r>
      <w:r>
        <w:rPr>
          <w:rFonts w:ascii="Times New Roman" w:hAnsi="Times New Roman"/>
          <w:spacing w:val="-4"/>
          <w:sz w:val="24"/>
        </w:rPr>
        <w:t>咨询人赔偿金额按下列方法确定并支付：</w:t>
      </w:r>
      <w:r>
        <w:rPr>
          <w:rFonts w:ascii="Times New Roman" w:hAnsi="Times New Roman"/>
          <w:spacing w:val="-4"/>
          <w:sz w:val="24"/>
          <w:szCs w:val="24"/>
          <w:u w:val="single"/>
        </w:rPr>
        <w:t>另行协商</w:t>
      </w:r>
      <w:r>
        <w:rPr>
          <w:rFonts w:ascii="Times New Roman" w:hAnsi="Times New Roman"/>
          <w:spacing w:val="-4"/>
          <w:sz w:val="24"/>
        </w:rPr>
        <w:t>。</w:t>
      </w:r>
    </w:p>
    <w:p>
      <w:pPr>
        <w:pStyle w:val="4"/>
        <w:spacing w:line="340" w:lineRule="exact"/>
        <w:jc w:val="left"/>
        <w:rPr>
          <w:rFonts w:ascii="Times New Roman" w:hAnsi="Times New Roman"/>
          <w:spacing w:val="-5"/>
          <w:sz w:val="24"/>
        </w:rPr>
      </w:pPr>
      <w:bookmarkStart w:id="343" w:name="_Toc146588399"/>
      <w:bookmarkStart w:id="344" w:name="_Toc138673267"/>
      <w:bookmarkStart w:id="345" w:name="_Toc435691799"/>
      <w:r>
        <w:rPr>
          <w:rFonts w:ascii="Times New Roman" w:hAnsi="Times New Roman"/>
          <w:spacing w:val="-5"/>
          <w:sz w:val="24"/>
        </w:rPr>
        <w:t>5.支付</w:t>
      </w:r>
      <w:bookmarkEnd w:id="343"/>
      <w:bookmarkEnd w:id="344"/>
      <w:bookmarkEnd w:id="345"/>
    </w:p>
    <w:p>
      <w:pPr>
        <w:pStyle w:val="5"/>
        <w:spacing w:line="340" w:lineRule="exact"/>
        <w:jc w:val="left"/>
        <w:rPr>
          <w:rFonts w:ascii="Times New Roman" w:hAnsi="Times New Roman"/>
          <w:spacing w:val="-3"/>
          <w:sz w:val="24"/>
        </w:rPr>
      </w:pPr>
      <w:bookmarkStart w:id="346" w:name="_Toc435691800"/>
      <w:bookmarkStart w:id="347" w:name="_Toc138673268"/>
      <w:r>
        <w:rPr>
          <w:rFonts w:ascii="Times New Roman" w:hAnsi="Times New Roman"/>
          <w:spacing w:val="-3"/>
          <w:sz w:val="24"/>
        </w:rPr>
        <w:t>5.1支付货币</w:t>
      </w:r>
      <w:bookmarkEnd w:id="346"/>
      <w:bookmarkEnd w:id="347"/>
    </w:p>
    <w:p>
      <w:pPr>
        <w:spacing w:line="340" w:lineRule="exact"/>
        <w:ind w:left="60" w:firstLine="480"/>
        <w:jc w:val="left"/>
        <w:rPr>
          <w:rFonts w:ascii="Times New Roman" w:hAnsi="Times New Roman"/>
        </w:rPr>
      </w:pPr>
      <w:r>
        <w:rPr>
          <w:rFonts w:ascii="Times New Roman" w:hAnsi="Times New Roman"/>
          <w:spacing w:val="-4"/>
          <w:sz w:val="24"/>
        </w:rPr>
        <w:t>币种为：</w:t>
      </w:r>
      <w:r>
        <w:rPr>
          <w:rFonts w:ascii="Times New Roman" w:hAnsi="Times New Roman"/>
          <w:spacing w:val="-4"/>
          <w:sz w:val="24"/>
          <w:u w:val="single"/>
        </w:rPr>
        <w:t>人民币</w:t>
      </w:r>
      <w:r>
        <w:rPr>
          <w:rFonts w:ascii="Times New Roman" w:hAnsi="Times New Roman"/>
          <w:spacing w:val="-4"/>
          <w:sz w:val="24"/>
        </w:rPr>
        <w:t>，汇率为：</w:t>
      </w:r>
      <w:r>
        <w:rPr>
          <w:rFonts w:ascii="Times New Roman" w:hAnsi="Times New Roman"/>
          <w:spacing w:val="-4"/>
          <w:sz w:val="24"/>
          <w:u w:val="single"/>
        </w:rPr>
        <w:t>/</w:t>
      </w:r>
      <w:r>
        <w:rPr>
          <w:rFonts w:ascii="Times New Roman" w:hAnsi="Times New Roman"/>
          <w:spacing w:val="-4"/>
          <w:sz w:val="24"/>
        </w:rPr>
        <w:t>，其他约定：</w:t>
      </w:r>
      <w:r>
        <w:rPr>
          <w:rFonts w:ascii="Times New Roman" w:hAnsi="Times New Roman"/>
          <w:spacing w:val="-4"/>
          <w:sz w:val="24"/>
          <w:u w:val="single"/>
        </w:rPr>
        <w:t>/</w:t>
      </w:r>
      <w:r>
        <w:rPr>
          <w:rFonts w:ascii="Times New Roman" w:hAnsi="Times New Roman"/>
          <w:spacing w:val="-4"/>
          <w:sz w:val="24"/>
        </w:rPr>
        <w:t>。</w:t>
      </w:r>
    </w:p>
    <w:p>
      <w:pPr>
        <w:pStyle w:val="5"/>
        <w:spacing w:line="340" w:lineRule="exact"/>
        <w:jc w:val="left"/>
        <w:rPr>
          <w:rFonts w:ascii="Times New Roman" w:hAnsi="Times New Roman"/>
          <w:spacing w:val="-3"/>
          <w:sz w:val="24"/>
        </w:rPr>
      </w:pPr>
      <w:bookmarkStart w:id="348" w:name="_Toc435691801"/>
      <w:bookmarkStart w:id="349" w:name="_Toc138673269"/>
      <w:r>
        <w:rPr>
          <w:rFonts w:ascii="Times New Roman" w:hAnsi="Times New Roman"/>
          <w:spacing w:val="-3"/>
          <w:sz w:val="24"/>
        </w:rPr>
        <w:t>5.2支付申请</w:t>
      </w:r>
      <w:bookmarkEnd w:id="348"/>
      <w:bookmarkEnd w:id="349"/>
    </w:p>
    <w:p>
      <w:pPr>
        <w:spacing w:line="340" w:lineRule="exact"/>
        <w:ind w:left="630" w:leftChars="300"/>
        <w:jc w:val="left"/>
        <w:rPr>
          <w:rFonts w:ascii="Times New Roman" w:hAnsi="Times New Roman"/>
          <w:spacing w:val="-6"/>
          <w:sz w:val="24"/>
        </w:rPr>
      </w:pPr>
      <w:r>
        <w:rPr>
          <w:rFonts w:ascii="Times New Roman" w:hAnsi="Times New Roman"/>
          <w:spacing w:val="-5"/>
          <w:sz w:val="24"/>
        </w:rPr>
        <w:t>咨询人应在本合同约定的每次应付款日期</w:t>
      </w:r>
      <w:r>
        <w:rPr>
          <w:rFonts w:ascii="Times New Roman" w:hAnsi="Times New Roman"/>
          <w:spacing w:val="-5"/>
          <w:sz w:val="24"/>
          <w:u w:val="single"/>
        </w:rPr>
        <w:t>3</w:t>
      </w:r>
      <w:r>
        <w:rPr>
          <w:rFonts w:ascii="Times New Roman" w:hAnsi="Times New Roman"/>
          <w:spacing w:val="-5"/>
          <w:sz w:val="24"/>
        </w:rPr>
        <w:t>日前，向委托人提交支付申</w:t>
      </w:r>
      <w:r>
        <w:rPr>
          <w:rFonts w:ascii="Times New Roman" w:hAnsi="Times New Roman"/>
          <w:spacing w:val="-6"/>
          <w:sz w:val="24"/>
        </w:rPr>
        <w:t>请书。</w:t>
      </w:r>
    </w:p>
    <w:p>
      <w:pPr>
        <w:pStyle w:val="5"/>
        <w:spacing w:line="340" w:lineRule="exact"/>
        <w:jc w:val="left"/>
        <w:rPr>
          <w:rFonts w:ascii="Times New Roman" w:hAnsi="Times New Roman"/>
          <w:spacing w:val="-3"/>
          <w:sz w:val="24"/>
        </w:rPr>
      </w:pPr>
      <w:bookmarkStart w:id="350" w:name="_Toc138673270"/>
      <w:bookmarkStart w:id="351" w:name="_Toc435691802"/>
      <w:r>
        <w:rPr>
          <w:rFonts w:ascii="Times New Roman" w:hAnsi="Times New Roman"/>
          <w:spacing w:val="-3"/>
          <w:sz w:val="24"/>
        </w:rPr>
        <w:t>5.3支付酬金</w:t>
      </w:r>
      <w:bookmarkEnd w:id="350"/>
      <w:bookmarkEnd w:id="351"/>
    </w:p>
    <w:p>
      <w:pPr>
        <w:spacing w:line="340" w:lineRule="exact"/>
        <w:ind w:left="60" w:firstLine="480"/>
        <w:jc w:val="left"/>
        <w:rPr>
          <w:rFonts w:ascii="Times New Roman" w:hAnsi="Times New Roman"/>
          <w:spacing w:val="-5"/>
          <w:sz w:val="24"/>
          <w:highlight w:val="none"/>
        </w:rPr>
      </w:pPr>
      <w:bookmarkStart w:id="352" w:name="21"/>
      <w:bookmarkEnd w:id="352"/>
      <w:bookmarkStart w:id="353" w:name="_Toc138673271"/>
      <w:bookmarkStart w:id="354" w:name="_Toc435691803"/>
      <w:r>
        <w:rPr>
          <w:rStyle w:val="97"/>
          <w:rFonts w:hint="eastAsia" w:ascii="宋体" w:hAnsi="宋体" w:eastAsia="宋体" w:cs="宋体"/>
          <w:b w:val="0"/>
          <w:sz w:val="24"/>
          <w:szCs w:val="24"/>
          <w:highlight w:val="none"/>
          <w:lang w:val="en-US" w:eastAsia="zh-CN" w:bidi="ar-SA"/>
        </w:rPr>
        <w:t>签订合同后</w:t>
      </w:r>
      <w:r>
        <w:rPr>
          <w:rStyle w:val="97"/>
          <w:rFonts w:hint="eastAsia" w:cs="宋体"/>
          <w:b w:val="0"/>
          <w:sz w:val="24"/>
          <w:szCs w:val="24"/>
          <w:highlight w:val="none"/>
          <w:lang w:val="en-US" w:eastAsia="zh-CN" w:bidi="ar-SA"/>
        </w:rPr>
        <w:t>支付</w:t>
      </w:r>
      <w:r>
        <w:rPr>
          <w:rStyle w:val="97"/>
          <w:rFonts w:hint="eastAsia" w:ascii="宋体" w:hAnsi="宋体" w:eastAsia="宋体" w:cs="宋体"/>
          <w:b w:val="0"/>
          <w:sz w:val="24"/>
          <w:szCs w:val="24"/>
          <w:highlight w:val="none"/>
          <w:lang w:val="en-US" w:eastAsia="zh-CN" w:bidi="ar-SA"/>
        </w:rPr>
        <w:t>合同价</w:t>
      </w:r>
      <w:r>
        <w:rPr>
          <w:rStyle w:val="97"/>
          <w:rFonts w:hint="eastAsia" w:cs="宋体"/>
          <w:b w:val="0"/>
          <w:sz w:val="24"/>
          <w:szCs w:val="24"/>
          <w:highlight w:val="none"/>
          <w:lang w:val="en-US" w:eastAsia="zh-CN" w:bidi="ar-SA"/>
        </w:rPr>
        <w:t>的</w:t>
      </w:r>
      <w:r>
        <w:rPr>
          <w:rStyle w:val="97"/>
          <w:rFonts w:hint="eastAsia" w:ascii="宋体" w:hAnsi="宋体" w:eastAsia="宋体" w:cs="宋体"/>
          <w:b w:val="0"/>
          <w:sz w:val="24"/>
          <w:szCs w:val="24"/>
          <w:highlight w:val="none"/>
          <w:lang w:val="en-US" w:eastAsia="zh-CN" w:bidi="ar-SA"/>
        </w:rPr>
        <w:t>30%，工程竣工验收合格支付至合同价70%，出具工程审计报告后支付至100%</w:t>
      </w:r>
      <w:r>
        <w:rPr>
          <w:rFonts w:hint="eastAsia" w:ascii="宋体" w:hAnsi="宋体" w:eastAsia="宋体" w:cs="宋体"/>
          <w:sz w:val="24"/>
          <w:szCs w:val="24"/>
          <w:highlight w:val="none"/>
          <w:lang w:eastAsia="zh-CN"/>
        </w:rPr>
        <w:t>。</w:t>
      </w:r>
    </w:p>
    <w:p>
      <w:pPr>
        <w:pStyle w:val="4"/>
        <w:spacing w:line="340" w:lineRule="exact"/>
        <w:jc w:val="left"/>
        <w:rPr>
          <w:rFonts w:ascii="Times New Roman" w:hAnsi="Times New Roman"/>
          <w:b w:val="0"/>
        </w:rPr>
      </w:pPr>
      <w:bookmarkStart w:id="355" w:name="_Toc146588400"/>
      <w:r>
        <w:rPr>
          <w:rFonts w:ascii="Times New Roman" w:hAnsi="Times New Roman"/>
          <w:spacing w:val="-5"/>
          <w:sz w:val="24"/>
        </w:rPr>
        <w:t>6.合同变更、解除与终止</w:t>
      </w:r>
      <w:bookmarkEnd w:id="353"/>
      <w:bookmarkEnd w:id="354"/>
      <w:bookmarkEnd w:id="355"/>
    </w:p>
    <w:p>
      <w:pPr>
        <w:pStyle w:val="5"/>
        <w:spacing w:line="340" w:lineRule="exact"/>
        <w:jc w:val="left"/>
        <w:rPr>
          <w:rFonts w:ascii="Times New Roman" w:hAnsi="Times New Roman"/>
          <w:spacing w:val="-3"/>
          <w:sz w:val="24"/>
        </w:rPr>
      </w:pPr>
      <w:bookmarkStart w:id="356" w:name="1"/>
      <w:bookmarkEnd w:id="356"/>
      <w:bookmarkStart w:id="357" w:name="_Toc138673272"/>
      <w:bookmarkStart w:id="358" w:name="_Toc435691804"/>
      <w:r>
        <w:rPr>
          <w:rFonts w:ascii="Times New Roman" w:hAnsi="Times New Roman"/>
          <w:spacing w:val="-3"/>
          <w:sz w:val="24"/>
        </w:rPr>
        <w:t>6.1合同变更</w:t>
      </w:r>
      <w:bookmarkEnd w:id="357"/>
      <w:bookmarkEnd w:id="358"/>
    </w:p>
    <w:p>
      <w:pPr>
        <w:spacing w:line="340" w:lineRule="exact"/>
        <w:ind w:left="60" w:firstLine="480"/>
        <w:jc w:val="left"/>
        <w:rPr>
          <w:rFonts w:ascii="Times New Roman" w:hAnsi="Times New Roman"/>
        </w:rPr>
      </w:pPr>
      <w:r>
        <w:rPr>
          <w:rFonts w:ascii="Times New Roman" w:hAnsi="Times New Roman"/>
          <w:spacing w:val="-3"/>
          <w:sz w:val="24"/>
        </w:rPr>
        <w:t>6.1.2</w:t>
      </w:r>
      <w:r>
        <w:rPr>
          <w:rFonts w:ascii="Times New Roman" w:hAnsi="Times New Roman"/>
          <w:spacing w:val="-6"/>
          <w:sz w:val="24"/>
        </w:rPr>
        <w:t>除不可抗力外，因非咨询人原因导致本合同履行期限延长、内容增</w:t>
      </w:r>
      <w:r>
        <w:rPr>
          <w:rFonts w:ascii="Times New Roman" w:hAnsi="Times New Roman"/>
          <w:spacing w:val="-4"/>
          <w:sz w:val="24"/>
        </w:rPr>
        <w:t>加时，附加工作酬金按下列方法确定：</w:t>
      </w:r>
      <w:r>
        <w:rPr>
          <w:rFonts w:ascii="Times New Roman" w:hAnsi="Times New Roman"/>
          <w:sz w:val="24"/>
          <w:szCs w:val="24"/>
          <w:u w:val="single"/>
        </w:rPr>
        <w:t>增加的工作量视为额外服务，完成建设工程造价咨询工作的时间应当相应延长，并得到额外的酬金</w:t>
      </w:r>
      <w:r>
        <w:rPr>
          <w:rFonts w:ascii="Times New Roman" w:hAnsi="Times New Roman"/>
          <w:spacing w:val="-4"/>
          <w:sz w:val="24"/>
        </w:rPr>
        <w:t>。</w:t>
      </w:r>
    </w:p>
    <w:p>
      <w:pPr>
        <w:spacing w:line="340" w:lineRule="exact"/>
        <w:ind w:left="60" w:firstLine="480"/>
        <w:jc w:val="left"/>
        <w:rPr>
          <w:rFonts w:ascii="Times New Roman" w:hAnsi="Times New Roman"/>
        </w:rPr>
      </w:pPr>
      <w:r>
        <w:rPr>
          <w:rFonts w:ascii="Times New Roman" w:hAnsi="Times New Roman"/>
          <w:spacing w:val="-3"/>
          <w:sz w:val="24"/>
        </w:rPr>
        <w:t>6.1.4</w:t>
      </w:r>
      <w:r>
        <w:rPr>
          <w:rFonts w:ascii="Times New Roman" w:hAnsi="Times New Roman"/>
          <w:spacing w:val="-6"/>
          <w:sz w:val="24"/>
        </w:rPr>
        <w:t>因工程规模、服务范围及内容的变化等导致咨询人的工作量增减</w:t>
      </w:r>
      <w:r>
        <w:rPr>
          <w:rFonts w:ascii="Times New Roman" w:hAnsi="Times New Roman"/>
          <w:spacing w:val="-4"/>
          <w:sz w:val="24"/>
        </w:rPr>
        <w:t>时，服务酬金的调整方法：</w:t>
      </w:r>
      <w:r>
        <w:rPr>
          <w:rFonts w:ascii="Times New Roman" w:hAnsi="Times New Roman"/>
          <w:sz w:val="24"/>
          <w:szCs w:val="24"/>
          <w:u w:val="single"/>
        </w:rPr>
        <w:t>参照本合同中协议书中约定服务酬金标准</w:t>
      </w:r>
      <w:r>
        <w:rPr>
          <w:rFonts w:ascii="Times New Roman" w:hAnsi="Times New Roman"/>
          <w:spacing w:val="-4"/>
          <w:sz w:val="24"/>
        </w:rPr>
        <w:t>。</w:t>
      </w:r>
    </w:p>
    <w:p>
      <w:pPr>
        <w:pStyle w:val="5"/>
        <w:spacing w:line="340" w:lineRule="exact"/>
        <w:jc w:val="left"/>
        <w:rPr>
          <w:rFonts w:ascii="Times New Roman" w:hAnsi="Times New Roman"/>
          <w:spacing w:val="-3"/>
          <w:sz w:val="24"/>
        </w:rPr>
      </w:pPr>
      <w:bookmarkStart w:id="359" w:name="_Toc138673273"/>
      <w:bookmarkStart w:id="360" w:name="_Toc435691805"/>
      <w:r>
        <w:rPr>
          <w:rFonts w:ascii="Times New Roman" w:hAnsi="Times New Roman"/>
          <w:spacing w:val="-3"/>
          <w:sz w:val="24"/>
        </w:rPr>
        <w:t>6.2合同解除</w:t>
      </w:r>
      <w:bookmarkEnd w:id="359"/>
      <w:bookmarkEnd w:id="360"/>
    </w:p>
    <w:p>
      <w:pPr>
        <w:spacing w:line="340" w:lineRule="exact"/>
        <w:ind w:left="60" w:firstLine="480"/>
        <w:jc w:val="left"/>
        <w:rPr>
          <w:rFonts w:ascii="Times New Roman" w:hAnsi="Times New Roman"/>
        </w:rPr>
      </w:pPr>
      <w:r>
        <w:rPr>
          <w:rFonts w:ascii="Times New Roman" w:hAnsi="Times New Roman"/>
          <w:spacing w:val="-3"/>
          <w:sz w:val="24"/>
        </w:rPr>
        <w:t>6.2.2</w:t>
      </w:r>
      <w:r>
        <w:rPr>
          <w:rFonts w:ascii="Times New Roman" w:hAnsi="Times New Roman"/>
          <w:spacing w:val="-4"/>
          <w:sz w:val="24"/>
        </w:rPr>
        <w:t>双方约定解除合同的条件还包括：</w:t>
      </w:r>
      <w:r>
        <w:rPr>
          <w:rFonts w:ascii="Times New Roman" w:hAnsi="Times New Roman"/>
          <w:spacing w:val="-4"/>
          <w:sz w:val="24"/>
          <w:u w:val="single"/>
        </w:rPr>
        <w:t>不可抗力</w:t>
      </w:r>
      <w:r>
        <w:rPr>
          <w:rFonts w:ascii="Times New Roman" w:hAnsi="Times New Roman"/>
          <w:spacing w:val="-4"/>
          <w:sz w:val="24"/>
        </w:rPr>
        <w:t>。</w:t>
      </w:r>
    </w:p>
    <w:p>
      <w:pPr>
        <w:spacing w:line="340" w:lineRule="exact"/>
        <w:ind w:left="60" w:firstLine="480"/>
        <w:jc w:val="left"/>
        <w:rPr>
          <w:rFonts w:ascii="Times New Roman" w:hAnsi="Times New Roman"/>
        </w:rPr>
      </w:pPr>
      <w:r>
        <w:rPr>
          <w:rFonts w:ascii="Times New Roman" w:hAnsi="Times New Roman"/>
          <w:spacing w:val="-3"/>
          <w:sz w:val="24"/>
        </w:rPr>
        <w:t>6.2.4</w:t>
      </w:r>
      <w:r>
        <w:rPr>
          <w:rFonts w:ascii="Times New Roman" w:hAnsi="Times New Roman"/>
          <w:spacing w:val="-6"/>
          <w:sz w:val="24"/>
        </w:rPr>
        <w:t>因不可抗力导致的合同解除，双方约定损失的分担如下：</w:t>
      </w:r>
      <w:r>
        <w:rPr>
          <w:rFonts w:ascii="Times New Roman" w:hAnsi="Times New Roman"/>
          <w:spacing w:val="-6"/>
          <w:sz w:val="24"/>
          <w:u w:val="single"/>
        </w:rPr>
        <w:t>按咨询人完成的工作量比例计算</w:t>
      </w:r>
      <w:r>
        <w:rPr>
          <w:rFonts w:ascii="Times New Roman" w:hAnsi="Times New Roman"/>
          <w:spacing w:val="-6"/>
          <w:sz w:val="24"/>
        </w:rPr>
        <w:t>。</w:t>
      </w:r>
    </w:p>
    <w:p>
      <w:pPr>
        <w:pStyle w:val="4"/>
        <w:spacing w:line="340" w:lineRule="exact"/>
        <w:jc w:val="left"/>
        <w:rPr>
          <w:rFonts w:ascii="Times New Roman" w:hAnsi="Times New Roman"/>
          <w:b w:val="0"/>
        </w:rPr>
      </w:pPr>
      <w:bookmarkStart w:id="361" w:name="_Toc138673274"/>
      <w:bookmarkStart w:id="362" w:name="_Toc146588401"/>
      <w:bookmarkStart w:id="363" w:name="_Toc435691806"/>
      <w:r>
        <w:rPr>
          <w:rFonts w:ascii="Times New Roman" w:hAnsi="Times New Roman"/>
          <w:spacing w:val="-5"/>
          <w:sz w:val="24"/>
        </w:rPr>
        <w:t>7.争议解决</w:t>
      </w:r>
      <w:bookmarkEnd w:id="361"/>
      <w:bookmarkEnd w:id="362"/>
      <w:bookmarkEnd w:id="363"/>
    </w:p>
    <w:p>
      <w:pPr>
        <w:pStyle w:val="5"/>
        <w:spacing w:line="340" w:lineRule="exact"/>
        <w:jc w:val="left"/>
        <w:rPr>
          <w:rFonts w:ascii="Times New Roman" w:hAnsi="Times New Roman"/>
          <w:spacing w:val="-3"/>
          <w:sz w:val="24"/>
        </w:rPr>
      </w:pPr>
      <w:bookmarkStart w:id="364" w:name="_Toc435691807"/>
      <w:bookmarkStart w:id="365" w:name="_Toc138673275"/>
      <w:r>
        <w:rPr>
          <w:rFonts w:ascii="Times New Roman" w:hAnsi="Times New Roman"/>
          <w:spacing w:val="-3"/>
          <w:sz w:val="24"/>
        </w:rPr>
        <w:t>7.2调解</w:t>
      </w:r>
      <w:bookmarkEnd w:id="364"/>
      <w:bookmarkEnd w:id="365"/>
    </w:p>
    <w:p>
      <w:pPr>
        <w:spacing w:line="340" w:lineRule="exact"/>
        <w:ind w:firstLine="464" w:firstLineChars="200"/>
        <w:jc w:val="left"/>
        <w:rPr>
          <w:rFonts w:ascii="Times New Roman" w:hAnsi="Times New Roman"/>
          <w:spacing w:val="-4"/>
          <w:sz w:val="24"/>
          <w:u w:val="single"/>
        </w:rPr>
      </w:pPr>
      <w:r>
        <w:rPr>
          <w:rFonts w:ascii="Times New Roman" w:hAnsi="Times New Roman"/>
          <w:spacing w:val="-4"/>
          <w:sz w:val="24"/>
        </w:rPr>
        <w:t>如果双方不能在</w:t>
      </w:r>
      <w:r>
        <w:rPr>
          <w:rFonts w:ascii="Times New Roman" w:hAnsi="Times New Roman"/>
          <w:spacing w:val="-4"/>
          <w:sz w:val="24"/>
          <w:u w:val="single"/>
        </w:rPr>
        <w:t>15</w:t>
      </w:r>
      <w:r>
        <w:rPr>
          <w:rFonts w:ascii="Times New Roman" w:hAnsi="Times New Roman"/>
          <w:spacing w:val="-4"/>
          <w:sz w:val="24"/>
        </w:rPr>
        <w:t>日内解决本合同争议，可以将其提交</w:t>
      </w:r>
      <w:r>
        <w:rPr>
          <w:rFonts w:ascii="Times New Roman" w:hAnsi="Times New Roman"/>
          <w:spacing w:val="-4"/>
          <w:sz w:val="24"/>
          <w:u w:val="single"/>
        </w:rPr>
        <w:t>工程所在地业务主管部门</w:t>
      </w:r>
      <w:r>
        <w:rPr>
          <w:rFonts w:ascii="Times New Roman" w:hAnsi="Times New Roman"/>
          <w:spacing w:val="-3"/>
          <w:sz w:val="24"/>
        </w:rPr>
        <w:t>进行调解。</w:t>
      </w:r>
    </w:p>
    <w:p>
      <w:pPr>
        <w:pStyle w:val="5"/>
        <w:spacing w:line="340" w:lineRule="exact"/>
        <w:jc w:val="left"/>
        <w:rPr>
          <w:rFonts w:ascii="Times New Roman" w:hAnsi="Times New Roman"/>
          <w:spacing w:val="-3"/>
          <w:sz w:val="24"/>
        </w:rPr>
      </w:pPr>
      <w:bookmarkStart w:id="366" w:name="_Toc435691808"/>
      <w:bookmarkStart w:id="367" w:name="_Toc138673276"/>
      <w:r>
        <w:rPr>
          <w:rFonts w:ascii="Times New Roman" w:hAnsi="Times New Roman"/>
          <w:spacing w:val="-3"/>
          <w:sz w:val="24"/>
        </w:rPr>
        <w:t>7.3仲裁或诉讼</w:t>
      </w:r>
      <w:bookmarkEnd w:id="366"/>
      <w:bookmarkEnd w:id="367"/>
    </w:p>
    <w:p>
      <w:pPr>
        <w:spacing w:line="340" w:lineRule="exact"/>
        <w:ind w:left="60" w:firstLine="480"/>
        <w:jc w:val="left"/>
        <w:rPr>
          <w:rFonts w:ascii="Times New Roman" w:hAnsi="Times New Roman"/>
        </w:rPr>
      </w:pPr>
      <w:r>
        <w:rPr>
          <w:rFonts w:ascii="Times New Roman" w:hAnsi="Times New Roman"/>
          <w:spacing w:val="-5"/>
          <w:sz w:val="24"/>
        </w:rPr>
        <w:t>合同争议的最终解决方式为下列第</w:t>
      </w:r>
      <w:r>
        <w:rPr>
          <w:rFonts w:ascii="Times New Roman" w:hAnsi="Times New Roman"/>
          <w:spacing w:val="-4"/>
          <w:sz w:val="24"/>
          <w:u w:val="single"/>
        </w:rPr>
        <w:t>（2）</w:t>
      </w:r>
      <w:r>
        <w:rPr>
          <w:rFonts w:ascii="Times New Roman" w:hAnsi="Times New Roman"/>
          <w:spacing w:val="-5"/>
          <w:sz w:val="24"/>
        </w:rPr>
        <w:t>种方式：</w:t>
      </w:r>
    </w:p>
    <w:p>
      <w:pPr>
        <w:spacing w:line="340" w:lineRule="exact"/>
        <w:ind w:left="60" w:firstLine="360"/>
        <w:jc w:val="left"/>
        <w:rPr>
          <w:rFonts w:ascii="Times New Roman" w:hAnsi="Times New Roman"/>
        </w:rPr>
      </w:pPr>
      <w:r>
        <w:rPr>
          <w:rFonts w:ascii="Times New Roman" w:hAnsi="Times New Roman"/>
          <w:spacing w:val="-4"/>
          <w:sz w:val="24"/>
        </w:rPr>
        <w:t>（1）提请</w:t>
      </w:r>
      <w:r>
        <w:rPr>
          <w:rFonts w:ascii="Times New Roman" w:hAnsi="Times New Roman"/>
          <w:spacing w:val="-4"/>
          <w:sz w:val="24"/>
          <w:u w:val="single"/>
        </w:rPr>
        <w:t>工程所在地</w:t>
      </w:r>
      <w:r>
        <w:rPr>
          <w:rFonts w:ascii="Times New Roman" w:hAnsi="Times New Roman"/>
          <w:spacing w:val="-4"/>
          <w:sz w:val="24"/>
        </w:rPr>
        <w:t>仲裁委员会进行仲裁。</w:t>
      </w:r>
    </w:p>
    <w:p>
      <w:pPr>
        <w:spacing w:line="340" w:lineRule="exact"/>
        <w:ind w:left="60" w:firstLine="360"/>
        <w:jc w:val="left"/>
        <w:rPr>
          <w:rFonts w:ascii="Times New Roman" w:hAnsi="Times New Roman"/>
          <w:spacing w:val="-4"/>
          <w:sz w:val="24"/>
        </w:rPr>
      </w:pPr>
      <w:r>
        <w:rPr>
          <w:rFonts w:ascii="Times New Roman" w:hAnsi="Times New Roman"/>
          <w:spacing w:val="-4"/>
          <w:sz w:val="24"/>
        </w:rPr>
        <w:t>（2）向</w:t>
      </w:r>
      <w:r>
        <w:rPr>
          <w:rFonts w:ascii="Times New Roman" w:hAnsi="Times New Roman"/>
          <w:spacing w:val="-4"/>
          <w:sz w:val="24"/>
          <w:u w:val="single"/>
        </w:rPr>
        <w:t>委托人所在地</w:t>
      </w:r>
      <w:r>
        <w:rPr>
          <w:rFonts w:ascii="Times New Roman" w:hAnsi="Times New Roman"/>
          <w:spacing w:val="-4"/>
          <w:sz w:val="24"/>
        </w:rPr>
        <w:t>人民法院提起诉讼。</w:t>
      </w:r>
    </w:p>
    <w:p>
      <w:pPr>
        <w:pStyle w:val="4"/>
        <w:spacing w:line="340" w:lineRule="exact"/>
        <w:rPr>
          <w:rFonts w:ascii="Times New Roman" w:hAnsi="Times New Roman"/>
          <w:spacing w:val="-2"/>
          <w:w w:val="95"/>
          <w:sz w:val="24"/>
        </w:rPr>
      </w:pPr>
      <w:bookmarkStart w:id="368" w:name="_Toc146588402"/>
      <w:r>
        <w:rPr>
          <w:rFonts w:ascii="Times New Roman" w:hAnsi="Times New Roman"/>
          <w:spacing w:val="-5"/>
          <w:sz w:val="24"/>
        </w:rPr>
        <w:t>8.其他</w:t>
      </w:r>
      <w:bookmarkEnd w:id="368"/>
    </w:p>
    <w:p>
      <w:pPr>
        <w:pStyle w:val="5"/>
        <w:spacing w:line="340" w:lineRule="exact"/>
        <w:rPr>
          <w:rFonts w:ascii="Times New Roman" w:hAnsi="Times New Roman"/>
          <w:spacing w:val="-3"/>
          <w:sz w:val="24"/>
        </w:rPr>
      </w:pPr>
      <w:r>
        <w:rPr>
          <w:rFonts w:ascii="Times New Roman" w:hAnsi="Times New Roman"/>
          <w:spacing w:val="-3"/>
          <w:sz w:val="24"/>
        </w:rPr>
        <w:t>8.1考察及相关费用</w:t>
      </w:r>
    </w:p>
    <w:p>
      <w:pPr>
        <w:spacing w:line="340" w:lineRule="exact"/>
        <w:ind w:left="60" w:firstLine="480"/>
        <w:rPr>
          <w:rFonts w:ascii="Times New Roman" w:hAnsi="Times New Roman"/>
          <w:spacing w:val="-5"/>
          <w:sz w:val="24"/>
        </w:rPr>
      </w:pPr>
      <w:r>
        <w:rPr>
          <w:rFonts w:ascii="Times New Roman" w:hAnsi="Times New Roman"/>
          <w:spacing w:val="-5"/>
          <w:sz w:val="24"/>
        </w:rPr>
        <w:t>咨询人经委托人同意进行考察发生的费用由</w:t>
      </w:r>
      <w:r>
        <w:rPr>
          <w:rFonts w:ascii="Times New Roman" w:hAnsi="Times New Roman"/>
          <w:spacing w:val="-5"/>
          <w:sz w:val="24"/>
          <w:u w:val="single"/>
        </w:rPr>
        <w:t>咨询人</w:t>
      </w:r>
      <w:r>
        <w:rPr>
          <w:rFonts w:ascii="Times New Roman" w:hAnsi="Times New Roman"/>
          <w:spacing w:val="-5"/>
          <w:sz w:val="24"/>
        </w:rPr>
        <w:t>支付。</w:t>
      </w:r>
      <w:bookmarkStart w:id="369" w:name="22"/>
      <w:bookmarkEnd w:id="369"/>
    </w:p>
    <w:p>
      <w:pPr>
        <w:spacing w:line="340" w:lineRule="exact"/>
        <w:ind w:left="60" w:firstLine="480"/>
        <w:rPr>
          <w:rFonts w:ascii="Times New Roman" w:hAnsi="Times New Roman"/>
        </w:rPr>
      </w:pPr>
      <w:r>
        <w:rPr>
          <w:rFonts w:ascii="Times New Roman" w:hAnsi="Times New Roman"/>
          <w:spacing w:val="-4"/>
          <w:sz w:val="24"/>
        </w:rPr>
        <w:t>差旅费及相关费用的支付：</w:t>
      </w:r>
      <w:r>
        <w:rPr>
          <w:rFonts w:ascii="Times New Roman" w:hAnsi="Times New Roman"/>
          <w:spacing w:val="-5"/>
          <w:sz w:val="24"/>
          <w:u w:val="single"/>
        </w:rPr>
        <w:t>咨询人</w:t>
      </w:r>
      <w:r>
        <w:rPr>
          <w:rFonts w:ascii="Times New Roman" w:hAnsi="Times New Roman"/>
          <w:spacing w:val="-4"/>
          <w:sz w:val="24"/>
        </w:rPr>
        <w:t>。</w:t>
      </w:r>
    </w:p>
    <w:p>
      <w:pPr>
        <w:pStyle w:val="5"/>
        <w:spacing w:line="340" w:lineRule="exact"/>
        <w:rPr>
          <w:rFonts w:ascii="Times New Roman" w:hAnsi="Times New Roman"/>
          <w:spacing w:val="-3"/>
          <w:sz w:val="24"/>
        </w:rPr>
      </w:pPr>
      <w:bookmarkStart w:id="370" w:name="_Toc435691811"/>
      <w:r>
        <w:rPr>
          <w:rFonts w:ascii="Times New Roman" w:hAnsi="Times New Roman"/>
          <w:spacing w:val="-3"/>
          <w:sz w:val="24"/>
        </w:rPr>
        <w:t>8.2奖励</w:t>
      </w:r>
      <w:bookmarkEnd w:id="370"/>
    </w:p>
    <w:p>
      <w:pPr>
        <w:spacing w:line="340" w:lineRule="exact"/>
        <w:ind w:left="60" w:firstLine="480"/>
        <w:rPr>
          <w:rFonts w:ascii="Times New Roman" w:hAnsi="Times New Roman"/>
        </w:rPr>
      </w:pPr>
      <w:r>
        <w:rPr>
          <w:rFonts w:ascii="Times New Roman" w:hAnsi="Times New Roman"/>
          <w:spacing w:val="-4"/>
          <w:sz w:val="24"/>
        </w:rPr>
        <w:t>合理化建议的奖励金额按下列方法确定：</w:t>
      </w:r>
      <w:r>
        <w:rPr>
          <w:rFonts w:ascii="Times New Roman" w:hAnsi="Times New Roman"/>
          <w:spacing w:val="-4"/>
          <w:sz w:val="24"/>
          <w:u w:val="single"/>
        </w:rPr>
        <w:t>/</w:t>
      </w:r>
      <w:r>
        <w:rPr>
          <w:rFonts w:ascii="Times New Roman" w:hAnsi="Times New Roman"/>
          <w:spacing w:val="-4"/>
          <w:sz w:val="24"/>
        </w:rPr>
        <w:t>。</w:t>
      </w:r>
    </w:p>
    <w:p>
      <w:pPr>
        <w:pStyle w:val="5"/>
        <w:spacing w:line="340" w:lineRule="exact"/>
        <w:rPr>
          <w:rFonts w:ascii="Times New Roman" w:hAnsi="Times New Roman"/>
          <w:spacing w:val="-3"/>
          <w:sz w:val="24"/>
        </w:rPr>
      </w:pPr>
      <w:bookmarkStart w:id="371" w:name="_Toc435691812"/>
      <w:r>
        <w:rPr>
          <w:rFonts w:ascii="Times New Roman" w:hAnsi="Times New Roman"/>
          <w:spacing w:val="-3"/>
          <w:sz w:val="24"/>
        </w:rPr>
        <w:t>8.3保密</w:t>
      </w:r>
      <w:bookmarkEnd w:id="371"/>
    </w:p>
    <w:p>
      <w:pPr>
        <w:spacing w:line="340" w:lineRule="exact"/>
        <w:ind w:left="60" w:firstLine="480"/>
        <w:rPr>
          <w:rFonts w:ascii="Times New Roman" w:hAnsi="Times New Roman"/>
        </w:rPr>
      </w:pPr>
      <w:r>
        <w:rPr>
          <w:rFonts w:ascii="Times New Roman" w:hAnsi="Times New Roman"/>
          <w:spacing w:val="-4"/>
          <w:sz w:val="24"/>
        </w:rPr>
        <w:t>委托人申明的保密事项和期限：</w:t>
      </w:r>
      <w:r>
        <w:rPr>
          <w:rFonts w:ascii="Times New Roman" w:hAnsi="Times New Roman"/>
          <w:spacing w:val="-4"/>
          <w:sz w:val="24"/>
          <w:u w:val="single"/>
        </w:rPr>
        <w:t>/</w:t>
      </w:r>
      <w:r>
        <w:rPr>
          <w:rFonts w:ascii="Times New Roman" w:hAnsi="Times New Roman"/>
          <w:spacing w:val="-4"/>
          <w:sz w:val="24"/>
        </w:rPr>
        <w:t>。</w:t>
      </w:r>
    </w:p>
    <w:p>
      <w:pPr>
        <w:spacing w:line="340" w:lineRule="exact"/>
        <w:ind w:left="60" w:firstLine="480"/>
        <w:rPr>
          <w:rFonts w:ascii="Times New Roman" w:hAnsi="Times New Roman"/>
        </w:rPr>
      </w:pPr>
      <w:r>
        <w:rPr>
          <w:rFonts w:ascii="Times New Roman" w:hAnsi="Times New Roman"/>
          <w:spacing w:val="-4"/>
          <w:sz w:val="24"/>
        </w:rPr>
        <w:t>咨询人申明的保密事项和期限：</w:t>
      </w:r>
      <w:r>
        <w:rPr>
          <w:rFonts w:ascii="Times New Roman" w:hAnsi="Times New Roman"/>
          <w:spacing w:val="-4"/>
          <w:sz w:val="24"/>
          <w:u w:val="single"/>
        </w:rPr>
        <w:t>/</w:t>
      </w:r>
      <w:r>
        <w:rPr>
          <w:rFonts w:ascii="Times New Roman" w:hAnsi="Times New Roman"/>
          <w:spacing w:val="-4"/>
          <w:sz w:val="24"/>
        </w:rPr>
        <w:t>。</w:t>
      </w:r>
    </w:p>
    <w:p>
      <w:pPr>
        <w:spacing w:line="340" w:lineRule="exact"/>
        <w:ind w:left="60" w:firstLine="480"/>
        <w:rPr>
          <w:rFonts w:ascii="Times New Roman" w:hAnsi="Times New Roman"/>
        </w:rPr>
      </w:pPr>
      <w:r>
        <w:rPr>
          <w:rFonts w:ascii="Times New Roman" w:hAnsi="Times New Roman"/>
          <w:spacing w:val="-4"/>
          <w:sz w:val="24"/>
        </w:rPr>
        <w:t>第三人申明的保密事项和期限：</w:t>
      </w:r>
      <w:r>
        <w:rPr>
          <w:rFonts w:ascii="Times New Roman" w:hAnsi="Times New Roman"/>
          <w:spacing w:val="-4"/>
          <w:sz w:val="24"/>
          <w:u w:val="single"/>
        </w:rPr>
        <w:t>/</w:t>
      </w:r>
      <w:r>
        <w:rPr>
          <w:rFonts w:ascii="Times New Roman" w:hAnsi="Times New Roman"/>
          <w:spacing w:val="-4"/>
          <w:sz w:val="24"/>
        </w:rPr>
        <w:t>。</w:t>
      </w:r>
    </w:p>
    <w:p>
      <w:pPr>
        <w:pStyle w:val="5"/>
        <w:spacing w:line="340" w:lineRule="exact"/>
        <w:rPr>
          <w:rFonts w:ascii="Times New Roman" w:hAnsi="Times New Roman"/>
          <w:spacing w:val="-3"/>
          <w:sz w:val="24"/>
        </w:rPr>
      </w:pPr>
      <w:bookmarkStart w:id="372" w:name="_Toc435691813"/>
      <w:r>
        <w:rPr>
          <w:rFonts w:ascii="Times New Roman" w:hAnsi="Times New Roman"/>
          <w:spacing w:val="-3"/>
          <w:sz w:val="24"/>
        </w:rPr>
        <w:t>8.4联络</w:t>
      </w:r>
      <w:bookmarkEnd w:id="372"/>
    </w:p>
    <w:p>
      <w:pPr>
        <w:spacing w:line="340" w:lineRule="exact"/>
        <w:ind w:left="60" w:firstLine="480"/>
        <w:rPr>
          <w:rFonts w:ascii="Times New Roman" w:hAnsi="Times New Roman"/>
        </w:rPr>
      </w:pPr>
      <w:r>
        <w:rPr>
          <w:rFonts w:ascii="Times New Roman" w:hAnsi="Times New Roman"/>
          <w:spacing w:val="-3"/>
          <w:sz w:val="24"/>
        </w:rPr>
        <w:t>8.4.1</w:t>
      </w:r>
      <w:r>
        <w:rPr>
          <w:rFonts w:ascii="Times New Roman" w:hAnsi="Times New Roman"/>
          <w:spacing w:val="-6"/>
          <w:sz w:val="24"/>
        </w:rPr>
        <w:t>任何一方与合同有关的通知、指示、要求、决定等，均应在</w:t>
      </w:r>
      <w:r>
        <w:rPr>
          <w:rFonts w:ascii="Times New Roman" w:hAnsi="Times New Roman"/>
          <w:spacing w:val="-6"/>
          <w:sz w:val="24"/>
          <w:u w:val="single"/>
        </w:rPr>
        <w:t>3</w:t>
      </w:r>
      <w:r>
        <w:rPr>
          <w:rFonts w:ascii="Times New Roman" w:hAnsi="Times New Roman"/>
          <w:spacing w:val="-6"/>
          <w:sz w:val="24"/>
        </w:rPr>
        <w:t>日内送达对方指定的接收人和送达地点。</w:t>
      </w:r>
    </w:p>
    <w:p>
      <w:pPr>
        <w:spacing w:line="340" w:lineRule="exact"/>
        <w:ind w:left="60" w:firstLine="480"/>
        <w:rPr>
          <w:rFonts w:ascii="Times New Roman" w:hAnsi="Times New Roman"/>
        </w:rPr>
      </w:pPr>
      <w:r>
        <w:rPr>
          <w:rFonts w:ascii="Times New Roman" w:hAnsi="Times New Roman"/>
          <w:spacing w:val="-3"/>
          <w:sz w:val="24"/>
        </w:rPr>
        <w:t>8.4.2</w:t>
      </w:r>
      <w:r>
        <w:rPr>
          <w:rFonts w:ascii="Times New Roman" w:hAnsi="Times New Roman"/>
          <w:spacing w:val="-4"/>
          <w:sz w:val="24"/>
        </w:rPr>
        <w:t>委托人指定的送达接收人：__________，送达地点：__________，电子邮箱：__________。</w:t>
      </w:r>
    </w:p>
    <w:p>
      <w:pPr>
        <w:spacing w:line="340" w:lineRule="exact"/>
        <w:ind w:left="60" w:firstLine="480"/>
        <w:rPr>
          <w:rFonts w:ascii="Times New Roman" w:hAnsi="Times New Roman"/>
        </w:rPr>
      </w:pPr>
      <w:r>
        <w:rPr>
          <w:rFonts w:ascii="Times New Roman" w:hAnsi="Times New Roman"/>
          <w:spacing w:val="-4"/>
          <w:sz w:val="24"/>
        </w:rPr>
        <w:t>咨询人指定的送达接收人：__________，送达地点：__________，电子邮箱：__________。</w:t>
      </w:r>
    </w:p>
    <w:p>
      <w:pPr>
        <w:pStyle w:val="5"/>
        <w:spacing w:line="340" w:lineRule="exact"/>
        <w:rPr>
          <w:rFonts w:ascii="Times New Roman" w:hAnsi="Times New Roman"/>
        </w:rPr>
      </w:pPr>
      <w:bookmarkStart w:id="373" w:name="_Toc435691814"/>
      <w:r>
        <w:rPr>
          <w:rFonts w:ascii="Times New Roman" w:hAnsi="Times New Roman"/>
          <w:spacing w:val="-3"/>
          <w:sz w:val="24"/>
        </w:rPr>
        <w:t>8.5</w:t>
      </w:r>
      <w:r>
        <w:rPr>
          <w:rFonts w:ascii="Times New Roman" w:hAnsi="Times New Roman"/>
          <w:spacing w:val="-6"/>
          <w:sz w:val="24"/>
        </w:rPr>
        <w:t>知识产权</w:t>
      </w:r>
      <w:bookmarkEnd w:id="373"/>
    </w:p>
    <w:p>
      <w:pPr>
        <w:spacing w:line="340" w:lineRule="exact"/>
        <w:ind w:left="60" w:firstLine="480"/>
        <w:rPr>
          <w:rFonts w:ascii="Times New Roman" w:hAnsi="Times New Roman"/>
        </w:rPr>
      </w:pPr>
      <w:r>
        <w:rPr>
          <w:rFonts w:ascii="Times New Roman" w:hAnsi="Times New Roman"/>
          <w:spacing w:val="-6"/>
          <w:sz w:val="24"/>
        </w:rPr>
        <w:t>委托人提供给咨询人的图纸、委托人为实施工程自行编制或委托编制的技</w:t>
      </w:r>
      <w:r>
        <w:rPr>
          <w:rFonts w:ascii="Times New Roman" w:hAnsi="Times New Roman"/>
          <w:spacing w:val="-5"/>
          <w:sz w:val="24"/>
        </w:rPr>
        <w:t>术规范以及反映委托人要求的或其他类似性质文件的著作权属于</w:t>
      </w:r>
      <w:r>
        <w:rPr>
          <w:rFonts w:ascii="Times New Roman" w:hAnsi="Times New Roman"/>
          <w:spacing w:val="-5"/>
          <w:sz w:val="24"/>
          <w:u w:val="single"/>
        </w:rPr>
        <w:t>委托人</w:t>
      </w:r>
      <w:r>
        <w:rPr>
          <w:rFonts w:ascii="Times New Roman" w:hAnsi="Times New Roman"/>
          <w:spacing w:val="-5"/>
          <w:sz w:val="24"/>
        </w:rPr>
        <w:t>。</w:t>
      </w:r>
    </w:p>
    <w:p>
      <w:pPr>
        <w:spacing w:line="340" w:lineRule="exact"/>
        <w:ind w:left="60" w:firstLine="480"/>
        <w:rPr>
          <w:rFonts w:ascii="Times New Roman" w:hAnsi="Times New Roman"/>
        </w:rPr>
      </w:pPr>
      <w:r>
        <w:rPr>
          <w:rFonts w:ascii="Times New Roman" w:hAnsi="Times New Roman"/>
          <w:spacing w:val="-5"/>
          <w:sz w:val="24"/>
        </w:rPr>
        <w:t>咨询人为履行本合同约定而编制的成果文件，其著作权属于</w:t>
      </w:r>
      <w:r>
        <w:rPr>
          <w:rFonts w:ascii="Times New Roman" w:hAnsi="Times New Roman"/>
          <w:spacing w:val="-5"/>
          <w:sz w:val="24"/>
          <w:u w:val="single"/>
        </w:rPr>
        <w:t>咨询人</w:t>
      </w:r>
      <w:r>
        <w:rPr>
          <w:rFonts w:ascii="Times New Roman" w:hAnsi="Times New Roman"/>
          <w:spacing w:val="-5"/>
          <w:sz w:val="24"/>
        </w:rPr>
        <w:t>。</w:t>
      </w:r>
    </w:p>
    <w:p>
      <w:pPr>
        <w:spacing w:line="340" w:lineRule="exact"/>
        <w:ind w:left="60" w:firstLine="480"/>
        <w:rPr>
          <w:rFonts w:ascii="Times New Roman" w:hAnsi="Times New Roman"/>
        </w:rPr>
      </w:pPr>
      <w:r>
        <w:rPr>
          <w:rFonts w:ascii="Times New Roman" w:hAnsi="Times New Roman"/>
          <w:spacing w:val="-6"/>
          <w:sz w:val="24"/>
        </w:rPr>
        <w:t>双方将履行本合同形成的有关成果文件用于企业宣传、申报奖项以及接受上级主管部门的检查须遵守以下约定：</w:t>
      </w:r>
      <w:r>
        <w:rPr>
          <w:rFonts w:ascii="Times New Roman" w:hAnsi="Times New Roman"/>
          <w:spacing w:val="-4"/>
          <w:sz w:val="24"/>
          <w:u w:val="single"/>
        </w:rPr>
        <w:t>/</w:t>
      </w:r>
      <w:r>
        <w:rPr>
          <w:rFonts w:ascii="Times New Roman" w:hAnsi="Times New Roman"/>
          <w:spacing w:val="-3"/>
          <w:sz w:val="24"/>
        </w:rPr>
        <w:t>。</w:t>
      </w:r>
    </w:p>
    <w:p>
      <w:pPr>
        <w:pStyle w:val="4"/>
        <w:spacing w:line="340" w:lineRule="exact"/>
        <w:rPr>
          <w:rFonts w:ascii="Times New Roman" w:hAnsi="Times New Roman"/>
          <w:spacing w:val="-3"/>
          <w:sz w:val="24"/>
        </w:rPr>
      </w:pPr>
      <w:bookmarkStart w:id="374" w:name="_Toc435691815"/>
      <w:bookmarkStart w:id="375" w:name="_Toc146588403"/>
      <w:r>
        <w:rPr>
          <w:rFonts w:ascii="Times New Roman" w:hAnsi="Times New Roman"/>
          <w:spacing w:val="-5"/>
          <w:sz w:val="24"/>
        </w:rPr>
        <w:t>9.补充条款</w:t>
      </w:r>
      <w:bookmarkEnd w:id="374"/>
      <w:bookmarkEnd w:id="375"/>
    </w:p>
    <w:p>
      <w:pPr>
        <w:spacing w:line="340" w:lineRule="exact"/>
        <w:jc w:val="left"/>
        <w:rPr>
          <w:rFonts w:ascii="Times New Roman" w:hAnsi="Times New Roman"/>
        </w:rPr>
      </w:pPr>
      <w:r>
        <w:rPr>
          <w:rFonts w:ascii="Times New Roman" w:hAnsi="Times New Roman"/>
          <w:spacing w:val="-4"/>
          <w:sz w:val="24"/>
          <w:u w:val="single"/>
        </w:rPr>
        <w:t>/</w:t>
      </w:r>
    </w:p>
    <w:p>
      <w:pPr>
        <w:widowControl/>
        <w:spacing w:line="340" w:lineRule="exact"/>
        <w:rPr>
          <w:rFonts w:ascii="Times New Roman" w:hAnsi="Times New Roman"/>
        </w:rPr>
      </w:pPr>
    </w:p>
    <w:p>
      <w:pPr>
        <w:widowControl/>
        <w:spacing w:line="340" w:lineRule="exact"/>
        <w:rPr>
          <w:rFonts w:ascii="Times New Roman" w:hAnsi="Times New Roman"/>
        </w:rPr>
        <w:sectPr>
          <w:pgSz w:w="11906" w:h="16838"/>
          <w:pgMar w:top="957" w:right="1380" w:bottom="717" w:left="1740" w:header="0" w:footer="567" w:gutter="0"/>
          <w:cols w:space="720" w:num="1"/>
          <w:docGrid w:type="linesAndChars" w:linePitch="312" w:charSpace="0"/>
        </w:sectPr>
      </w:pPr>
    </w:p>
    <w:p>
      <w:pPr>
        <w:pStyle w:val="11"/>
        <w:spacing w:line="340" w:lineRule="exact"/>
        <w:ind w:right="305" w:firstLine="703" w:firstLineChars="250"/>
        <w:outlineLvl w:val="0"/>
        <w:rPr>
          <w:rFonts w:ascii="Times New Roman" w:hAnsi="Times New Roman"/>
          <w:b/>
          <w:sz w:val="28"/>
          <w:szCs w:val="28"/>
        </w:rPr>
      </w:pPr>
      <w:bookmarkStart w:id="376" w:name="_Toc146588404"/>
      <w:bookmarkStart w:id="377" w:name="_Toc435691816"/>
      <w:r>
        <w:rPr>
          <w:rFonts w:ascii="Times New Roman" w:hAnsi="Times New Roman"/>
          <w:b/>
          <w:sz w:val="28"/>
          <w:szCs w:val="28"/>
        </w:rPr>
        <w:t>附录A服</w:t>
      </w:r>
      <w:r>
        <w:rPr>
          <w:rFonts w:ascii="Times New Roman" w:hAnsi="Times New Roman"/>
          <w:b/>
          <w:spacing w:val="2"/>
          <w:sz w:val="28"/>
          <w:szCs w:val="28"/>
        </w:rPr>
        <w:t>务</w:t>
      </w:r>
      <w:r>
        <w:rPr>
          <w:rFonts w:ascii="Times New Roman" w:hAnsi="Times New Roman"/>
          <w:b/>
          <w:sz w:val="28"/>
          <w:szCs w:val="28"/>
        </w:rPr>
        <w:t>范</w:t>
      </w:r>
      <w:r>
        <w:rPr>
          <w:rFonts w:ascii="Times New Roman" w:hAnsi="Times New Roman"/>
          <w:b/>
          <w:spacing w:val="2"/>
          <w:sz w:val="28"/>
          <w:szCs w:val="28"/>
        </w:rPr>
        <w:t>围</w:t>
      </w:r>
      <w:r>
        <w:rPr>
          <w:rFonts w:ascii="Times New Roman" w:hAnsi="Times New Roman"/>
          <w:b/>
          <w:sz w:val="28"/>
          <w:szCs w:val="28"/>
        </w:rPr>
        <w:t>及工</w:t>
      </w:r>
      <w:r>
        <w:rPr>
          <w:rFonts w:ascii="Times New Roman" w:hAnsi="Times New Roman"/>
          <w:b/>
          <w:spacing w:val="2"/>
          <w:sz w:val="28"/>
          <w:szCs w:val="28"/>
        </w:rPr>
        <w:t>作</w:t>
      </w:r>
      <w:r>
        <w:rPr>
          <w:rFonts w:ascii="Times New Roman" w:hAnsi="Times New Roman"/>
          <w:b/>
          <w:sz w:val="28"/>
          <w:szCs w:val="28"/>
        </w:rPr>
        <w:t>内</w:t>
      </w:r>
      <w:r>
        <w:rPr>
          <w:rFonts w:ascii="Times New Roman" w:hAnsi="Times New Roman"/>
          <w:b/>
          <w:spacing w:val="2"/>
          <w:sz w:val="28"/>
          <w:szCs w:val="28"/>
        </w:rPr>
        <w:t>容</w:t>
      </w:r>
      <w:r>
        <w:rPr>
          <w:rFonts w:ascii="Times New Roman" w:hAnsi="Times New Roman"/>
          <w:b/>
          <w:sz w:val="28"/>
          <w:szCs w:val="28"/>
        </w:rPr>
        <w:t>、酬</w:t>
      </w:r>
      <w:r>
        <w:rPr>
          <w:rFonts w:ascii="Times New Roman" w:hAnsi="Times New Roman"/>
          <w:b/>
          <w:spacing w:val="2"/>
          <w:sz w:val="28"/>
          <w:szCs w:val="28"/>
        </w:rPr>
        <w:t>金</w:t>
      </w:r>
      <w:r>
        <w:rPr>
          <w:rFonts w:ascii="Times New Roman" w:hAnsi="Times New Roman"/>
          <w:b/>
          <w:sz w:val="28"/>
          <w:szCs w:val="28"/>
        </w:rPr>
        <w:t>一览表</w:t>
      </w:r>
      <w:bookmarkEnd w:id="376"/>
      <w:bookmarkEnd w:id="377"/>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410"/>
        <w:gridCol w:w="2551"/>
        <w:gridCol w:w="1276"/>
        <w:gridCol w:w="4253"/>
        <w:gridCol w:w="212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exact"/>
        </w:trPr>
        <w:tc>
          <w:tcPr>
            <w:tcW w:w="1281" w:type="dxa"/>
            <w:vMerge w:val="restart"/>
            <w:noWrap w:val="0"/>
            <w:vAlign w:val="center"/>
          </w:tcPr>
          <w:p>
            <w:pPr>
              <w:pStyle w:val="52"/>
              <w:jc w:val="center"/>
              <w:rPr>
                <w:rFonts w:ascii="Times New Roman" w:hAnsi="Times New Roman" w:eastAsia="等线"/>
                <w:sz w:val="18"/>
                <w:szCs w:val="18"/>
              </w:rPr>
            </w:pPr>
            <w:r>
              <w:rPr>
                <w:rFonts w:ascii="Times New Roman" w:hAnsi="Times New Roman" w:eastAsia="等线"/>
                <w:sz w:val="18"/>
                <w:szCs w:val="18"/>
              </w:rPr>
              <w:t>服务阶段</w:t>
            </w:r>
          </w:p>
        </w:tc>
        <w:tc>
          <w:tcPr>
            <w:tcW w:w="4961" w:type="dxa"/>
            <w:gridSpan w:val="2"/>
            <w:noWrap w:val="0"/>
            <w:vAlign w:val="center"/>
          </w:tcPr>
          <w:p>
            <w:pPr>
              <w:pStyle w:val="52"/>
              <w:spacing w:line="275" w:lineRule="exact"/>
              <w:ind w:left="420"/>
              <w:jc w:val="center"/>
              <w:rPr>
                <w:rFonts w:ascii="Times New Roman" w:hAnsi="Times New Roman" w:eastAsia="等线"/>
                <w:sz w:val="18"/>
                <w:szCs w:val="18"/>
              </w:rPr>
            </w:pPr>
            <w:r>
              <w:rPr>
                <w:rFonts w:ascii="Times New Roman" w:hAnsi="Times New Roman" w:eastAsia="等线"/>
                <w:sz w:val="18"/>
                <w:szCs w:val="18"/>
              </w:rPr>
              <w:t>服务范围及工作内容</w:t>
            </w:r>
          </w:p>
        </w:tc>
        <w:tc>
          <w:tcPr>
            <w:tcW w:w="7655" w:type="dxa"/>
            <w:gridSpan w:val="3"/>
            <w:noWrap w:val="0"/>
            <w:vAlign w:val="center"/>
          </w:tcPr>
          <w:p>
            <w:pPr>
              <w:pStyle w:val="52"/>
              <w:spacing w:line="275" w:lineRule="exact"/>
              <w:jc w:val="center"/>
              <w:rPr>
                <w:rFonts w:ascii="Times New Roman" w:hAnsi="Times New Roman" w:eastAsia="等线"/>
                <w:sz w:val="18"/>
                <w:szCs w:val="18"/>
              </w:rPr>
            </w:pPr>
            <w:r>
              <w:rPr>
                <w:rFonts w:ascii="Times New Roman" w:hAnsi="Times New Roman" w:eastAsia="等线"/>
                <w:sz w:val="18"/>
                <w:szCs w:val="18"/>
              </w:rPr>
              <w:t>酬金</w:t>
            </w:r>
          </w:p>
        </w:tc>
        <w:tc>
          <w:tcPr>
            <w:tcW w:w="709" w:type="dxa"/>
            <w:noWrap w:val="0"/>
            <w:vAlign w:val="center"/>
          </w:tcPr>
          <w:p>
            <w:pPr>
              <w:pStyle w:val="52"/>
              <w:spacing w:line="275" w:lineRule="exact"/>
              <w:ind w:firstLine="180" w:firstLineChars="100"/>
              <w:rPr>
                <w:rFonts w:ascii="Times New Roman" w:hAnsi="Times New Roman" w:eastAsia="等线"/>
                <w:sz w:val="18"/>
                <w:szCs w:val="18"/>
              </w:rPr>
            </w:pPr>
            <w:r>
              <w:rPr>
                <w:rFonts w:ascii="Times New Roman" w:hAnsi="Times New Roman" w:eastAsia="等线"/>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spacing w:line="277" w:lineRule="exact"/>
              <w:ind w:left="420"/>
              <w:rPr>
                <w:rFonts w:ascii="Times New Roman" w:hAnsi="Times New Roman" w:eastAsia="等线"/>
                <w:sz w:val="18"/>
                <w:szCs w:val="18"/>
              </w:rPr>
            </w:pPr>
            <w:r>
              <w:rPr>
                <w:rFonts w:ascii="Times New Roman" w:hAnsi="Times New Roman" w:eastAsia="等线"/>
                <w:sz w:val="18"/>
                <w:szCs w:val="18"/>
              </w:rPr>
              <w:t>服务范围</w:t>
            </w:r>
          </w:p>
        </w:tc>
        <w:tc>
          <w:tcPr>
            <w:tcW w:w="2551" w:type="dxa"/>
            <w:noWrap w:val="0"/>
            <w:vAlign w:val="center"/>
          </w:tcPr>
          <w:p>
            <w:pPr>
              <w:pStyle w:val="52"/>
              <w:spacing w:line="277" w:lineRule="exact"/>
              <w:ind w:left="420"/>
              <w:rPr>
                <w:rFonts w:ascii="Times New Roman" w:hAnsi="Times New Roman" w:eastAsia="等线"/>
                <w:sz w:val="18"/>
                <w:szCs w:val="18"/>
              </w:rPr>
            </w:pPr>
            <w:r>
              <w:rPr>
                <w:rFonts w:ascii="Times New Roman" w:hAnsi="Times New Roman" w:eastAsia="等线"/>
                <w:sz w:val="18"/>
                <w:szCs w:val="18"/>
              </w:rPr>
              <w:t>工作内容</w:t>
            </w:r>
          </w:p>
        </w:tc>
        <w:tc>
          <w:tcPr>
            <w:tcW w:w="1276" w:type="dxa"/>
            <w:noWrap w:val="0"/>
            <w:vAlign w:val="center"/>
          </w:tcPr>
          <w:p>
            <w:pPr>
              <w:pStyle w:val="52"/>
              <w:spacing w:line="277" w:lineRule="exact"/>
              <w:ind w:left="420"/>
              <w:jc w:val="center"/>
              <w:rPr>
                <w:rFonts w:ascii="Times New Roman" w:hAnsi="Times New Roman" w:eastAsia="等线"/>
                <w:sz w:val="18"/>
                <w:szCs w:val="18"/>
              </w:rPr>
            </w:pPr>
            <w:r>
              <w:rPr>
                <w:rFonts w:ascii="Times New Roman" w:hAnsi="Times New Roman" w:eastAsia="等线"/>
                <w:sz w:val="18"/>
                <w:szCs w:val="18"/>
              </w:rPr>
              <w:t>收费基数</w:t>
            </w:r>
          </w:p>
        </w:tc>
        <w:tc>
          <w:tcPr>
            <w:tcW w:w="4253" w:type="dxa"/>
            <w:noWrap w:val="0"/>
            <w:vAlign w:val="center"/>
          </w:tcPr>
          <w:p>
            <w:pPr>
              <w:pStyle w:val="52"/>
              <w:spacing w:line="277" w:lineRule="exact"/>
              <w:ind w:left="420"/>
              <w:jc w:val="center"/>
              <w:rPr>
                <w:rFonts w:ascii="Times New Roman" w:hAnsi="Times New Roman" w:eastAsia="等线"/>
                <w:sz w:val="18"/>
                <w:szCs w:val="18"/>
              </w:rPr>
            </w:pPr>
            <w:r>
              <w:rPr>
                <w:rFonts w:ascii="Times New Roman" w:hAnsi="Times New Roman" w:eastAsia="等线"/>
                <w:sz w:val="18"/>
                <w:szCs w:val="18"/>
              </w:rPr>
              <w:t>收费标准（比例）</w:t>
            </w:r>
          </w:p>
        </w:tc>
        <w:tc>
          <w:tcPr>
            <w:tcW w:w="2126" w:type="dxa"/>
            <w:noWrap w:val="0"/>
            <w:vAlign w:val="center"/>
          </w:tcPr>
          <w:p>
            <w:pPr>
              <w:pStyle w:val="52"/>
              <w:spacing w:line="277" w:lineRule="exact"/>
              <w:ind w:left="420"/>
              <w:jc w:val="center"/>
              <w:rPr>
                <w:rFonts w:ascii="Times New Roman" w:hAnsi="Times New Roman" w:eastAsia="等线"/>
                <w:sz w:val="18"/>
                <w:szCs w:val="18"/>
                <w:lang w:eastAsia="zh-CN"/>
              </w:rPr>
            </w:pPr>
            <w:r>
              <w:rPr>
                <w:rFonts w:ascii="Times New Roman" w:hAnsi="Times New Roman" w:eastAsia="等线"/>
                <w:sz w:val="18"/>
                <w:szCs w:val="18"/>
                <w:lang w:eastAsia="zh-CN"/>
              </w:rPr>
              <w:t>酬金数额（单位：万元）</w:t>
            </w:r>
          </w:p>
        </w:tc>
        <w:tc>
          <w:tcPr>
            <w:tcW w:w="709" w:type="dxa"/>
            <w:noWrap w:val="0"/>
            <w:vAlign w:val="center"/>
          </w:tcPr>
          <w:p>
            <w:pPr>
              <w:jc w:val="center"/>
              <w:rPr>
                <w:rFonts w:ascii="Times New Roman" w:hAnsi="Times New Roman" w:eastAsia="等线"/>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exact"/>
        </w:trPr>
        <w:tc>
          <w:tcPr>
            <w:tcW w:w="1281" w:type="dxa"/>
            <w:vMerge w:val="restart"/>
            <w:noWrap w:val="0"/>
            <w:vAlign w:val="center"/>
          </w:tcPr>
          <w:p>
            <w:pPr>
              <w:pStyle w:val="52"/>
              <w:jc w:val="center"/>
              <w:rPr>
                <w:rFonts w:ascii="Times New Roman" w:hAnsi="Times New Roman" w:eastAsia="等线"/>
                <w:sz w:val="18"/>
                <w:szCs w:val="18"/>
              </w:rPr>
            </w:pPr>
            <w:r>
              <w:rPr>
                <w:rFonts w:ascii="Times New Roman" w:hAnsi="Times New Roman" w:eastAsia="等线"/>
                <w:sz w:val="18"/>
                <w:szCs w:val="18"/>
              </w:rPr>
              <w:t>决策阶段</w:t>
            </w:r>
          </w:p>
        </w:tc>
        <w:tc>
          <w:tcPr>
            <w:tcW w:w="2410" w:type="dxa"/>
            <w:noWrap w:val="0"/>
            <w:vAlign w:val="center"/>
          </w:tcPr>
          <w:p>
            <w:pPr>
              <w:pStyle w:val="52"/>
              <w:spacing w:line="275" w:lineRule="exact"/>
              <w:ind w:left="420"/>
              <w:rPr>
                <w:rFonts w:ascii="Times New Roman" w:hAnsi="Times New Roman" w:eastAsia="等线"/>
                <w:sz w:val="18"/>
                <w:szCs w:val="18"/>
              </w:rPr>
            </w:pPr>
            <w:r>
              <w:rPr>
                <w:rFonts w:ascii="Times New Roman" w:hAnsi="Times New Roman" w:eastAsia="等线"/>
                <w:sz w:val="18"/>
                <w:szCs w:val="18"/>
              </w:rPr>
              <w:t>投资估算</w:t>
            </w:r>
          </w:p>
        </w:tc>
        <w:tc>
          <w:tcPr>
            <w:tcW w:w="2551" w:type="dxa"/>
            <w:noWrap w:val="0"/>
            <w:vAlign w:val="center"/>
          </w:tcPr>
          <w:p>
            <w:pPr>
              <w:pStyle w:val="52"/>
              <w:spacing w:line="275" w:lineRule="exact"/>
              <w:ind w:left="420"/>
              <w:jc w:val="center"/>
              <w:rPr>
                <w:rFonts w:ascii="Times New Roman" w:hAnsi="Times New Roman" w:eastAsia="等线"/>
                <w:sz w:val="18"/>
                <w:szCs w:val="18"/>
              </w:rPr>
            </w:pPr>
            <w:r>
              <w:rPr>
                <w:rFonts w:ascii="Times New Roman" w:hAnsi="Times New Roman" w:eastAsia="等线"/>
                <w:sz w:val="18"/>
                <w:szCs w:val="18"/>
              </w:rPr>
              <w:t>□编制□审核□调整</w:t>
            </w:r>
          </w:p>
        </w:tc>
        <w:tc>
          <w:tcPr>
            <w:tcW w:w="1276" w:type="dxa"/>
            <w:noWrap w:val="0"/>
            <w:vAlign w:val="center"/>
          </w:tcPr>
          <w:p>
            <w:pPr>
              <w:jc w:val="center"/>
              <w:rPr>
                <w:rFonts w:ascii="Times New Roman" w:hAnsi="Times New Roman" w:eastAsia="等线"/>
                <w:kern w:val="0"/>
                <w:sz w:val="18"/>
                <w:szCs w:val="18"/>
                <w:lang w:eastAsia="en-US"/>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spacing w:line="276" w:lineRule="exact"/>
              <w:ind w:left="420"/>
              <w:rPr>
                <w:rFonts w:ascii="Times New Roman" w:hAnsi="Times New Roman" w:eastAsia="等线"/>
                <w:sz w:val="18"/>
                <w:szCs w:val="18"/>
              </w:rPr>
            </w:pPr>
            <w:r>
              <w:rPr>
                <w:rFonts w:ascii="Times New Roman" w:hAnsi="Times New Roman" w:eastAsia="等线"/>
                <w:sz w:val="18"/>
                <w:szCs w:val="18"/>
              </w:rPr>
              <w:t>经济评价</w:t>
            </w:r>
          </w:p>
        </w:tc>
        <w:tc>
          <w:tcPr>
            <w:tcW w:w="2551" w:type="dxa"/>
            <w:noWrap w:val="0"/>
            <w:vAlign w:val="center"/>
          </w:tcPr>
          <w:p>
            <w:pPr>
              <w:pStyle w:val="52"/>
              <w:spacing w:line="276" w:lineRule="exact"/>
              <w:ind w:left="420"/>
              <w:jc w:val="center"/>
              <w:rPr>
                <w:rFonts w:ascii="Times New Roman" w:hAnsi="Times New Roman" w:eastAsia="等线"/>
                <w:sz w:val="18"/>
                <w:szCs w:val="18"/>
              </w:rPr>
            </w:pPr>
            <w:r>
              <w:rPr>
                <w:rFonts w:ascii="Times New Roman" w:hAnsi="Times New Roman" w:eastAsia="等线"/>
                <w:sz w:val="18"/>
                <w:szCs w:val="18"/>
              </w:rPr>
              <w:t>□编制□审核□调整</w:t>
            </w:r>
          </w:p>
        </w:tc>
        <w:tc>
          <w:tcPr>
            <w:tcW w:w="1276" w:type="dxa"/>
            <w:noWrap w:val="0"/>
            <w:vAlign w:val="center"/>
          </w:tcPr>
          <w:p>
            <w:pPr>
              <w:jc w:val="center"/>
              <w:rPr>
                <w:rFonts w:ascii="Times New Roman" w:hAnsi="Times New Roman" w:eastAsia="等线"/>
                <w:kern w:val="0"/>
                <w:sz w:val="18"/>
                <w:szCs w:val="18"/>
                <w:lang w:eastAsia="en-US"/>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spacing w:line="276" w:lineRule="exact"/>
              <w:ind w:right="3"/>
              <w:jc w:val="center"/>
              <w:rPr>
                <w:rFonts w:ascii="Times New Roman" w:hAnsi="Times New Roman" w:eastAsia="等线"/>
                <w:sz w:val="18"/>
                <w:szCs w:val="18"/>
              </w:rPr>
            </w:pPr>
            <w:r>
              <w:rPr>
                <w:rFonts w:ascii="Times New Roman" w:hAnsi="Times New Roman" w:eastAsia="等线"/>
                <w:sz w:val="18"/>
                <w:szCs w:val="18"/>
              </w:rPr>
              <w:t>其他：</w:t>
            </w:r>
          </w:p>
        </w:tc>
        <w:tc>
          <w:tcPr>
            <w:tcW w:w="2551" w:type="dxa"/>
            <w:noWrap w:val="0"/>
            <w:vAlign w:val="center"/>
          </w:tcPr>
          <w:p>
            <w:pPr>
              <w:jc w:val="center"/>
              <w:rPr>
                <w:rFonts w:ascii="Times New Roman" w:hAnsi="Times New Roman" w:eastAsia="等线"/>
                <w:kern w:val="0"/>
                <w:sz w:val="18"/>
                <w:szCs w:val="18"/>
                <w:lang w:eastAsia="en-US"/>
              </w:rPr>
            </w:pPr>
          </w:p>
        </w:tc>
        <w:tc>
          <w:tcPr>
            <w:tcW w:w="1276" w:type="dxa"/>
            <w:noWrap w:val="0"/>
            <w:vAlign w:val="center"/>
          </w:tcPr>
          <w:p>
            <w:pPr>
              <w:jc w:val="center"/>
              <w:rPr>
                <w:rFonts w:ascii="Times New Roman" w:hAnsi="Times New Roman" w:eastAsia="等线"/>
                <w:kern w:val="0"/>
                <w:sz w:val="18"/>
                <w:szCs w:val="18"/>
                <w:lang w:eastAsia="en-US"/>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exact"/>
        </w:trPr>
        <w:tc>
          <w:tcPr>
            <w:tcW w:w="1281" w:type="dxa"/>
            <w:vMerge w:val="restart"/>
            <w:noWrap w:val="0"/>
            <w:vAlign w:val="center"/>
          </w:tcPr>
          <w:p>
            <w:pPr>
              <w:pStyle w:val="52"/>
              <w:jc w:val="center"/>
              <w:rPr>
                <w:rFonts w:ascii="Times New Roman" w:hAnsi="Times New Roman" w:eastAsia="等线"/>
                <w:sz w:val="18"/>
                <w:szCs w:val="18"/>
              </w:rPr>
            </w:pPr>
            <w:r>
              <w:rPr>
                <w:rFonts w:ascii="Times New Roman" w:hAnsi="Times New Roman" w:eastAsia="等线"/>
                <w:sz w:val="18"/>
                <w:szCs w:val="18"/>
              </w:rPr>
              <w:t>设计阶段</w:t>
            </w:r>
          </w:p>
        </w:tc>
        <w:tc>
          <w:tcPr>
            <w:tcW w:w="2410" w:type="dxa"/>
            <w:noWrap w:val="0"/>
            <w:vAlign w:val="center"/>
          </w:tcPr>
          <w:p>
            <w:pPr>
              <w:pStyle w:val="52"/>
              <w:spacing w:line="275" w:lineRule="exact"/>
              <w:ind w:left="420"/>
              <w:jc w:val="center"/>
              <w:rPr>
                <w:rFonts w:ascii="Times New Roman" w:hAnsi="Times New Roman" w:eastAsia="等线"/>
                <w:sz w:val="18"/>
                <w:szCs w:val="18"/>
              </w:rPr>
            </w:pPr>
            <w:r>
              <w:rPr>
                <w:rFonts w:ascii="Times New Roman" w:hAnsi="Times New Roman" w:eastAsia="等线"/>
                <w:sz w:val="18"/>
                <w:szCs w:val="18"/>
              </w:rPr>
              <w:t>设计概算</w:t>
            </w:r>
          </w:p>
        </w:tc>
        <w:tc>
          <w:tcPr>
            <w:tcW w:w="2551" w:type="dxa"/>
            <w:noWrap w:val="0"/>
            <w:vAlign w:val="center"/>
          </w:tcPr>
          <w:p>
            <w:pPr>
              <w:pStyle w:val="52"/>
              <w:spacing w:line="275" w:lineRule="exact"/>
              <w:ind w:left="420"/>
              <w:jc w:val="center"/>
              <w:rPr>
                <w:rFonts w:ascii="Times New Roman" w:hAnsi="Times New Roman" w:eastAsia="等线"/>
                <w:sz w:val="18"/>
                <w:szCs w:val="18"/>
              </w:rPr>
            </w:pPr>
            <w:r>
              <w:rPr>
                <w:rFonts w:ascii="Times New Roman" w:hAnsi="Times New Roman" w:eastAsia="等线"/>
                <w:sz w:val="18"/>
                <w:szCs w:val="18"/>
              </w:rPr>
              <w:t>□编制□审核□调整</w:t>
            </w:r>
          </w:p>
        </w:tc>
        <w:tc>
          <w:tcPr>
            <w:tcW w:w="1276" w:type="dxa"/>
            <w:noWrap w:val="0"/>
            <w:vAlign w:val="center"/>
          </w:tcPr>
          <w:p>
            <w:pPr>
              <w:jc w:val="center"/>
              <w:rPr>
                <w:rFonts w:ascii="Times New Roman" w:hAnsi="Times New Roman" w:eastAsia="等线"/>
                <w:kern w:val="0"/>
                <w:sz w:val="18"/>
                <w:szCs w:val="18"/>
                <w:lang w:eastAsia="en-US"/>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spacing w:line="275" w:lineRule="exact"/>
              <w:ind w:left="420"/>
              <w:jc w:val="center"/>
              <w:rPr>
                <w:rFonts w:ascii="Times New Roman" w:hAnsi="Times New Roman" w:eastAsia="等线"/>
                <w:sz w:val="18"/>
                <w:szCs w:val="18"/>
              </w:rPr>
            </w:pPr>
            <w:r>
              <w:rPr>
                <w:rFonts w:ascii="Times New Roman" w:hAnsi="Times New Roman" w:eastAsia="等线"/>
                <w:sz w:val="18"/>
                <w:szCs w:val="18"/>
              </w:rPr>
              <w:t>施工图预算</w:t>
            </w:r>
          </w:p>
        </w:tc>
        <w:tc>
          <w:tcPr>
            <w:tcW w:w="2551" w:type="dxa"/>
            <w:noWrap w:val="0"/>
            <w:vAlign w:val="center"/>
          </w:tcPr>
          <w:p>
            <w:pPr>
              <w:pStyle w:val="52"/>
              <w:spacing w:line="275" w:lineRule="exact"/>
              <w:ind w:left="420"/>
              <w:jc w:val="center"/>
              <w:rPr>
                <w:rFonts w:ascii="Times New Roman" w:hAnsi="Times New Roman" w:eastAsia="等线"/>
                <w:sz w:val="18"/>
                <w:szCs w:val="18"/>
              </w:rPr>
            </w:pPr>
            <w:r>
              <w:rPr>
                <w:rFonts w:ascii="Times New Roman" w:hAnsi="Times New Roman" w:eastAsia="等线"/>
                <w:sz w:val="18"/>
                <w:szCs w:val="18"/>
              </w:rPr>
              <w:t>□编制□审核□调整</w:t>
            </w:r>
          </w:p>
        </w:tc>
        <w:tc>
          <w:tcPr>
            <w:tcW w:w="1276" w:type="dxa"/>
            <w:noWrap w:val="0"/>
            <w:vAlign w:val="center"/>
          </w:tcPr>
          <w:p>
            <w:pPr>
              <w:jc w:val="center"/>
              <w:rPr>
                <w:rFonts w:ascii="Times New Roman" w:hAnsi="Times New Roman" w:eastAsia="等线"/>
                <w:kern w:val="0"/>
                <w:sz w:val="18"/>
                <w:szCs w:val="18"/>
                <w:lang w:eastAsia="en-US"/>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spacing w:line="276" w:lineRule="exact"/>
              <w:ind w:left="420"/>
              <w:jc w:val="center"/>
              <w:rPr>
                <w:rFonts w:ascii="Times New Roman" w:hAnsi="Times New Roman" w:eastAsia="等线"/>
                <w:sz w:val="18"/>
                <w:szCs w:val="18"/>
              </w:rPr>
            </w:pPr>
            <w:r>
              <w:rPr>
                <w:rFonts w:ascii="Times New Roman" w:hAnsi="Times New Roman" w:eastAsia="等线"/>
                <w:sz w:val="18"/>
                <w:szCs w:val="18"/>
              </w:rPr>
              <w:t>其他：</w:t>
            </w:r>
          </w:p>
        </w:tc>
        <w:tc>
          <w:tcPr>
            <w:tcW w:w="2551" w:type="dxa"/>
            <w:noWrap w:val="0"/>
            <w:vAlign w:val="center"/>
          </w:tcPr>
          <w:p>
            <w:pPr>
              <w:jc w:val="center"/>
              <w:rPr>
                <w:rFonts w:ascii="Times New Roman" w:hAnsi="Times New Roman" w:eastAsia="等线"/>
                <w:kern w:val="0"/>
                <w:sz w:val="18"/>
                <w:szCs w:val="18"/>
                <w:lang w:eastAsia="en-US"/>
              </w:rPr>
            </w:pPr>
          </w:p>
        </w:tc>
        <w:tc>
          <w:tcPr>
            <w:tcW w:w="1276" w:type="dxa"/>
            <w:noWrap w:val="0"/>
            <w:vAlign w:val="center"/>
          </w:tcPr>
          <w:p>
            <w:pPr>
              <w:jc w:val="center"/>
              <w:rPr>
                <w:rFonts w:ascii="Times New Roman" w:hAnsi="Times New Roman" w:eastAsia="等线"/>
                <w:kern w:val="0"/>
                <w:sz w:val="18"/>
                <w:szCs w:val="18"/>
                <w:lang w:eastAsia="en-US"/>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exact"/>
        </w:trPr>
        <w:tc>
          <w:tcPr>
            <w:tcW w:w="1281" w:type="dxa"/>
            <w:vMerge w:val="restart"/>
            <w:noWrap w:val="0"/>
            <w:vAlign w:val="center"/>
          </w:tcPr>
          <w:p>
            <w:pPr>
              <w:pStyle w:val="52"/>
              <w:jc w:val="center"/>
              <w:rPr>
                <w:rFonts w:ascii="Times New Roman" w:hAnsi="Times New Roman" w:eastAsia="等线"/>
                <w:sz w:val="18"/>
                <w:szCs w:val="18"/>
                <w:lang w:eastAsia="zh-CN"/>
              </w:rPr>
            </w:pPr>
          </w:p>
          <w:p>
            <w:pPr>
              <w:pStyle w:val="52"/>
              <w:jc w:val="center"/>
              <w:rPr>
                <w:rFonts w:ascii="Times New Roman" w:hAnsi="Times New Roman" w:eastAsia="等线"/>
                <w:sz w:val="18"/>
                <w:szCs w:val="18"/>
                <w:lang w:eastAsia="zh-CN"/>
              </w:rPr>
            </w:pPr>
          </w:p>
          <w:p>
            <w:pPr>
              <w:pStyle w:val="52"/>
              <w:jc w:val="center"/>
              <w:rPr>
                <w:rFonts w:ascii="Times New Roman" w:hAnsi="Times New Roman" w:eastAsia="等线"/>
                <w:sz w:val="18"/>
                <w:szCs w:val="18"/>
                <w:lang w:eastAsia="zh-CN"/>
              </w:rPr>
            </w:pPr>
          </w:p>
          <w:p>
            <w:pPr>
              <w:pStyle w:val="52"/>
              <w:jc w:val="center"/>
              <w:rPr>
                <w:rFonts w:ascii="Times New Roman" w:hAnsi="Times New Roman" w:eastAsia="等线"/>
                <w:sz w:val="18"/>
                <w:szCs w:val="18"/>
              </w:rPr>
            </w:pPr>
            <w:r>
              <w:rPr>
                <w:rFonts w:ascii="Times New Roman" w:hAnsi="Times New Roman" w:eastAsia="等线"/>
                <w:sz w:val="18"/>
                <w:szCs w:val="18"/>
              </w:rPr>
              <w:t>发承包阶段</w:t>
            </w:r>
          </w:p>
          <w:p>
            <w:pPr>
              <w:jc w:val="center"/>
              <w:rPr>
                <w:rFonts w:ascii="Times New Roman" w:hAnsi="Times New Roman" w:eastAsia="等线"/>
                <w:kern w:val="0"/>
                <w:sz w:val="18"/>
                <w:szCs w:val="18"/>
              </w:rPr>
            </w:pPr>
          </w:p>
          <w:p>
            <w:pPr>
              <w:jc w:val="center"/>
              <w:rPr>
                <w:rFonts w:ascii="Times New Roman" w:hAnsi="Times New Roman" w:eastAsia="等线"/>
                <w:kern w:val="0"/>
                <w:sz w:val="18"/>
                <w:szCs w:val="18"/>
              </w:rPr>
            </w:pPr>
          </w:p>
          <w:p>
            <w:pPr>
              <w:jc w:val="center"/>
              <w:rPr>
                <w:rFonts w:ascii="Times New Roman" w:hAnsi="Times New Roman" w:eastAsia="等线"/>
                <w:kern w:val="0"/>
                <w:sz w:val="18"/>
                <w:szCs w:val="18"/>
              </w:rPr>
            </w:pPr>
          </w:p>
          <w:p>
            <w:pPr>
              <w:jc w:val="center"/>
              <w:rPr>
                <w:rFonts w:ascii="Times New Roman" w:hAnsi="Times New Roman" w:eastAsia="等线"/>
                <w:kern w:val="0"/>
                <w:sz w:val="18"/>
                <w:szCs w:val="18"/>
              </w:rPr>
            </w:pPr>
          </w:p>
          <w:p>
            <w:pPr>
              <w:jc w:val="center"/>
              <w:rPr>
                <w:rFonts w:ascii="Times New Roman" w:hAnsi="Times New Roman" w:eastAsia="等线"/>
                <w:kern w:val="0"/>
                <w:sz w:val="18"/>
                <w:szCs w:val="18"/>
              </w:rPr>
            </w:pPr>
          </w:p>
          <w:p>
            <w:pPr>
              <w:jc w:val="center"/>
              <w:rPr>
                <w:rFonts w:ascii="Times New Roman" w:hAnsi="Times New Roman" w:eastAsia="等线"/>
                <w:kern w:val="0"/>
                <w:sz w:val="18"/>
                <w:szCs w:val="18"/>
              </w:rPr>
            </w:pPr>
          </w:p>
          <w:p>
            <w:pPr>
              <w:jc w:val="center"/>
              <w:rPr>
                <w:rFonts w:ascii="Times New Roman" w:hAnsi="Times New Roman" w:eastAsia="等线"/>
                <w:sz w:val="18"/>
                <w:szCs w:val="18"/>
              </w:rPr>
            </w:pPr>
          </w:p>
        </w:tc>
        <w:tc>
          <w:tcPr>
            <w:tcW w:w="2410" w:type="dxa"/>
            <w:noWrap w:val="0"/>
            <w:vAlign w:val="center"/>
          </w:tcPr>
          <w:p>
            <w:pPr>
              <w:pStyle w:val="52"/>
              <w:spacing w:line="274" w:lineRule="exact"/>
              <w:ind w:left="420"/>
              <w:jc w:val="center"/>
              <w:rPr>
                <w:rFonts w:ascii="Times New Roman" w:hAnsi="Times New Roman" w:eastAsia="等线"/>
                <w:sz w:val="18"/>
                <w:szCs w:val="18"/>
              </w:rPr>
            </w:pPr>
            <w:r>
              <w:rPr>
                <w:rFonts w:ascii="Times New Roman" w:hAnsi="Times New Roman" w:eastAsia="等线"/>
                <w:sz w:val="18"/>
                <w:szCs w:val="18"/>
              </w:rPr>
              <w:t>工程量清单</w:t>
            </w:r>
          </w:p>
        </w:tc>
        <w:tc>
          <w:tcPr>
            <w:tcW w:w="2551" w:type="dxa"/>
            <w:noWrap w:val="0"/>
            <w:vAlign w:val="center"/>
          </w:tcPr>
          <w:p>
            <w:pPr>
              <w:pStyle w:val="52"/>
              <w:spacing w:line="274" w:lineRule="exact"/>
              <w:ind w:left="420"/>
              <w:jc w:val="center"/>
              <w:rPr>
                <w:rFonts w:ascii="Times New Roman" w:hAnsi="Times New Roman" w:eastAsia="等线"/>
                <w:sz w:val="18"/>
                <w:szCs w:val="18"/>
              </w:rPr>
            </w:pPr>
            <w:r>
              <w:rPr>
                <w:rFonts w:ascii="Times New Roman" w:hAnsi="Times New Roman" w:eastAsia="等线"/>
                <w:sz w:val="18"/>
                <w:szCs w:val="18"/>
              </w:rPr>
              <w:t>□编制□审核□调整</w:t>
            </w:r>
          </w:p>
        </w:tc>
        <w:tc>
          <w:tcPr>
            <w:tcW w:w="1276" w:type="dxa"/>
            <w:noWrap w:val="0"/>
            <w:vAlign w:val="center"/>
          </w:tcPr>
          <w:p>
            <w:pPr>
              <w:jc w:val="center"/>
              <w:rPr>
                <w:rFonts w:ascii="Times New Roman" w:hAnsi="Times New Roman" w:eastAsia="等线"/>
                <w:kern w:val="0"/>
                <w:sz w:val="18"/>
                <w:szCs w:val="18"/>
                <w:lang w:eastAsia="en-US"/>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spacing w:line="276" w:lineRule="exact"/>
              <w:ind w:left="420"/>
              <w:jc w:val="center"/>
              <w:rPr>
                <w:rFonts w:ascii="Times New Roman" w:hAnsi="Times New Roman" w:eastAsia="等线"/>
                <w:sz w:val="18"/>
                <w:szCs w:val="18"/>
              </w:rPr>
            </w:pPr>
            <w:r>
              <w:rPr>
                <w:rFonts w:ascii="Times New Roman" w:hAnsi="Times New Roman" w:eastAsia="等线"/>
                <w:sz w:val="18"/>
                <w:szCs w:val="18"/>
              </w:rPr>
              <w:t>最高投标限价</w:t>
            </w:r>
          </w:p>
        </w:tc>
        <w:tc>
          <w:tcPr>
            <w:tcW w:w="2551" w:type="dxa"/>
            <w:noWrap w:val="0"/>
            <w:vAlign w:val="center"/>
          </w:tcPr>
          <w:p>
            <w:pPr>
              <w:pStyle w:val="52"/>
              <w:spacing w:line="276" w:lineRule="exact"/>
              <w:ind w:left="420"/>
              <w:jc w:val="center"/>
              <w:rPr>
                <w:rFonts w:ascii="Times New Roman" w:hAnsi="Times New Roman" w:eastAsia="等线"/>
                <w:sz w:val="18"/>
                <w:szCs w:val="18"/>
              </w:rPr>
            </w:pPr>
            <w:r>
              <w:rPr>
                <w:rFonts w:ascii="Times New Roman" w:hAnsi="Times New Roman" w:eastAsia="等线"/>
                <w:sz w:val="18"/>
                <w:szCs w:val="18"/>
              </w:rPr>
              <w:t>□编制□审核□调整</w:t>
            </w:r>
          </w:p>
        </w:tc>
        <w:tc>
          <w:tcPr>
            <w:tcW w:w="1276" w:type="dxa"/>
            <w:noWrap w:val="0"/>
            <w:vAlign w:val="center"/>
          </w:tcPr>
          <w:p>
            <w:pPr>
              <w:jc w:val="center"/>
              <w:rPr>
                <w:rFonts w:ascii="Times New Roman" w:hAnsi="Times New Roman" w:eastAsia="等线"/>
                <w:kern w:val="0"/>
                <w:sz w:val="18"/>
                <w:szCs w:val="18"/>
                <w:lang w:eastAsia="en-US"/>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spacing w:line="276" w:lineRule="exact"/>
              <w:ind w:left="420"/>
              <w:jc w:val="center"/>
              <w:rPr>
                <w:rFonts w:ascii="Times New Roman" w:hAnsi="Times New Roman" w:eastAsia="等线"/>
                <w:sz w:val="18"/>
                <w:szCs w:val="18"/>
              </w:rPr>
            </w:pPr>
            <w:r>
              <w:rPr>
                <w:rFonts w:ascii="Times New Roman" w:hAnsi="Times New Roman" w:eastAsia="等线"/>
                <w:sz w:val="18"/>
                <w:szCs w:val="18"/>
              </w:rPr>
              <w:t>投标报价分析</w:t>
            </w:r>
          </w:p>
        </w:tc>
        <w:tc>
          <w:tcPr>
            <w:tcW w:w="2551" w:type="dxa"/>
            <w:noWrap w:val="0"/>
            <w:vAlign w:val="center"/>
          </w:tcPr>
          <w:p>
            <w:pPr>
              <w:pStyle w:val="52"/>
              <w:spacing w:line="276" w:lineRule="exact"/>
              <w:ind w:left="420"/>
              <w:jc w:val="center"/>
              <w:rPr>
                <w:rFonts w:ascii="Times New Roman" w:hAnsi="Times New Roman" w:eastAsia="等线"/>
                <w:sz w:val="18"/>
                <w:szCs w:val="18"/>
              </w:rPr>
            </w:pPr>
            <w:r>
              <w:rPr>
                <w:rFonts w:ascii="Times New Roman" w:hAnsi="Times New Roman" w:eastAsia="等线"/>
                <w:sz w:val="18"/>
                <w:szCs w:val="18"/>
              </w:rPr>
              <w:t>□编制□审核□调整</w:t>
            </w:r>
          </w:p>
        </w:tc>
        <w:tc>
          <w:tcPr>
            <w:tcW w:w="1276" w:type="dxa"/>
            <w:noWrap w:val="0"/>
            <w:vAlign w:val="center"/>
          </w:tcPr>
          <w:p>
            <w:pPr>
              <w:jc w:val="center"/>
              <w:rPr>
                <w:rFonts w:ascii="Times New Roman" w:hAnsi="Times New Roman" w:eastAsia="等线"/>
                <w:kern w:val="0"/>
                <w:sz w:val="18"/>
                <w:szCs w:val="18"/>
                <w:lang w:eastAsia="en-US"/>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spacing w:line="277" w:lineRule="exact"/>
              <w:ind w:left="420"/>
              <w:jc w:val="center"/>
              <w:rPr>
                <w:rFonts w:ascii="Times New Roman" w:hAnsi="Times New Roman" w:eastAsia="等线"/>
                <w:sz w:val="18"/>
                <w:szCs w:val="18"/>
              </w:rPr>
            </w:pPr>
            <w:r>
              <w:rPr>
                <w:rFonts w:ascii="Times New Roman" w:hAnsi="Times New Roman" w:eastAsia="等线"/>
                <w:sz w:val="18"/>
                <w:szCs w:val="18"/>
              </w:rPr>
              <w:t>清标报告</w:t>
            </w:r>
          </w:p>
        </w:tc>
        <w:tc>
          <w:tcPr>
            <w:tcW w:w="2551" w:type="dxa"/>
            <w:noWrap w:val="0"/>
            <w:vAlign w:val="center"/>
          </w:tcPr>
          <w:p>
            <w:pPr>
              <w:pStyle w:val="52"/>
              <w:spacing w:line="277" w:lineRule="exact"/>
              <w:ind w:left="420"/>
              <w:jc w:val="center"/>
              <w:rPr>
                <w:rFonts w:ascii="Times New Roman" w:hAnsi="Times New Roman" w:eastAsia="等线"/>
                <w:sz w:val="18"/>
                <w:szCs w:val="18"/>
              </w:rPr>
            </w:pPr>
            <w:r>
              <w:rPr>
                <w:rFonts w:ascii="Times New Roman" w:hAnsi="Times New Roman" w:eastAsia="等线"/>
                <w:sz w:val="18"/>
                <w:szCs w:val="18"/>
              </w:rPr>
              <w:t>□编制□审核□调整</w:t>
            </w:r>
          </w:p>
        </w:tc>
        <w:tc>
          <w:tcPr>
            <w:tcW w:w="1276" w:type="dxa"/>
            <w:noWrap w:val="0"/>
            <w:vAlign w:val="center"/>
          </w:tcPr>
          <w:p>
            <w:pPr>
              <w:jc w:val="center"/>
              <w:rPr>
                <w:rFonts w:ascii="Times New Roman" w:hAnsi="Times New Roman" w:eastAsia="等线"/>
                <w:kern w:val="0"/>
                <w:sz w:val="18"/>
                <w:szCs w:val="18"/>
                <w:lang w:eastAsia="en-US"/>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spacing w:line="276" w:lineRule="exact"/>
              <w:ind w:left="420"/>
              <w:jc w:val="center"/>
              <w:rPr>
                <w:rFonts w:ascii="Times New Roman" w:hAnsi="Times New Roman" w:eastAsia="等线"/>
                <w:sz w:val="18"/>
                <w:szCs w:val="18"/>
              </w:rPr>
            </w:pPr>
            <w:r>
              <w:rPr>
                <w:rFonts w:ascii="Times New Roman" w:hAnsi="Times New Roman" w:eastAsia="等线"/>
                <w:sz w:val="18"/>
                <w:szCs w:val="18"/>
              </w:rPr>
              <w:t>其他：</w:t>
            </w:r>
          </w:p>
        </w:tc>
        <w:tc>
          <w:tcPr>
            <w:tcW w:w="2551" w:type="dxa"/>
            <w:noWrap w:val="0"/>
            <w:vAlign w:val="center"/>
          </w:tcPr>
          <w:p>
            <w:pPr>
              <w:jc w:val="center"/>
              <w:rPr>
                <w:rFonts w:ascii="Times New Roman" w:hAnsi="Times New Roman" w:eastAsia="等线"/>
                <w:kern w:val="0"/>
                <w:sz w:val="18"/>
                <w:szCs w:val="18"/>
                <w:lang w:eastAsia="en-US"/>
              </w:rPr>
            </w:pPr>
          </w:p>
        </w:tc>
        <w:tc>
          <w:tcPr>
            <w:tcW w:w="1276" w:type="dxa"/>
            <w:noWrap w:val="0"/>
            <w:vAlign w:val="center"/>
          </w:tcPr>
          <w:p>
            <w:pPr>
              <w:jc w:val="center"/>
              <w:rPr>
                <w:rFonts w:ascii="Times New Roman" w:hAnsi="Times New Roman" w:eastAsia="等线"/>
                <w:kern w:val="0"/>
                <w:sz w:val="18"/>
                <w:szCs w:val="18"/>
                <w:lang w:eastAsia="en-US"/>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exact"/>
        </w:trPr>
        <w:tc>
          <w:tcPr>
            <w:tcW w:w="1281" w:type="dxa"/>
            <w:vMerge w:val="restart"/>
            <w:noWrap w:val="0"/>
            <w:vAlign w:val="center"/>
          </w:tcPr>
          <w:p>
            <w:pPr>
              <w:pStyle w:val="52"/>
              <w:jc w:val="center"/>
              <w:rPr>
                <w:rFonts w:ascii="Times New Roman" w:hAnsi="Times New Roman" w:eastAsia="等线"/>
                <w:sz w:val="18"/>
                <w:szCs w:val="18"/>
              </w:rPr>
            </w:pPr>
            <w:r>
              <w:rPr>
                <w:rFonts w:ascii="Times New Roman" w:hAnsi="Times New Roman" w:eastAsia="等线"/>
                <w:sz w:val="18"/>
                <w:szCs w:val="18"/>
              </w:rPr>
              <w:t>实施阶段</w:t>
            </w:r>
          </w:p>
        </w:tc>
        <w:tc>
          <w:tcPr>
            <w:tcW w:w="2410" w:type="dxa"/>
            <w:noWrap w:val="0"/>
            <w:vAlign w:val="center"/>
          </w:tcPr>
          <w:p>
            <w:pPr>
              <w:pStyle w:val="52"/>
              <w:jc w:val="center"/>
              <w:rPr>
                <w:rFonts w:ascii="Times New Roman" w:hAnsi="Times New Roman" w:eastAsia="等线"/>
                <w:sz w:val="18"/>
                <w:szCs w:val="18"/>
              </w:rPr>
            </w:pPr>
            <w:r>
              <w:rPr>
                <w:rFonts w:ascii="Times New Roman" w:hAnsi="Times New Roman" w:eastAsia="等线"/>
                <w:sz w:val="18"/>
                <w:szCs w:val="18"/>
              </w:rPr>
              <w:t>资金使用计划</w:t>
            </w:r>
          </w:p>
        </w:tc>
        <w:tc>
          <w:tcPr>
            <w:tcW w:w="2551" w:type="dxa"/>
            <w:noWrap w:val="0"/>
            <w:vAlign w:val="center"/>
          </w:tcPr>
          <w:p>
            <w:pPr>
              <w:pStyle w:val="52"/>
              <w:spacing w:line="274" w:lineRule="exact"/>
              <w:ind w:left="420"/>
              <w:jc w:val="center"/>
              <w:rPr>
                <w:rFonts w:ascii="Times New Roman" w:hAnsi="Times New Roman" w:eastAsia="等线"/>
                <w:sz w:val="18"/>
                <w:szCs w:val="18"/>
              </w:rPr>
            </w:pPr>
            <w:r>
              <w:rPr>
                <w:rFonts w:ascii="Times New Roman" w:hAnsi="Times New Roman" w:eastAsia="等线"/>
                <w:sz w:val="18"/>
                <w:szCs w:val="18"/>
              </w:rPr>
              <w:t>□编制</w:t>
            </w:r>
          </w:p>
        </w:tc>
        <w:tc>
          <w:tcPr>
            <w:tcW w:w="1276" w:type="dxa"/>
            <w:noWrap w:val="0"/>
            <w:vAlign w:val="center"/>
          </w:tcPr>
          <w:p>
            <w:pPr>
              <w:pStyle w:val="52"/>
              <w:spacing w:line="274" w:lineRule="exact"/>
              <w:ind w:left="420"/>
              <w:jc w:val="center"/>
              <w:rPr>
                <w:rFonts w:ascii="Times New Roman" w:hAnsi="Times New Roman" w:eastAsia="等线"/>
                <w:sz w:val="18"/>
                <w:szCs w:val="18"/>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jc w:val="center"/>
              <w:rPr>
                <w:rFonts w:ascii="Times New Roman" w:hAnsi="Times New Roman" w:eastAsia="等线"/>
                <w:sz w:val="18"/>
                <w:szCs w:val="18"/>
                <w:lang w:eastAsia="zh-CN"/>
              </w:rPr>
            </w:pPr>
            <w:r>
              <w:rPr>
                <w:rFonts w:ascii="Times New Roman" w:hAnsi="Times New Roman" w:eastAsia="等线"/>
                <w:sz w:val="18"/>
                <w:szCs w:val="18"/>
                <w:lang w:eastAsia="zh-CN"/>
              </w:rPr>
              <w:t>工程计量与工程款审核</w:t>
            </w:r>
          </w:p>
        </w:tc>
        <w:tc>
          <w:tcPr>
            <w:tcW w:w="2551" w:type="dxa"/>
            <w:noWrap w:val="0"/>
            <w:vAlign w:val="center"/>
          </w:tcPr>
          <w:p>
            <w:pPr>
              <w:pStyle w:val="52"/>
              <w:spacing w:line="274" w:lineRule="exact"/>
              <w:ind w:left="420"/>
              <w:jc w:val="center"/>
              <w:rPr>
                <w:rFonts w:ascii="Times New Roman" w:hAnsi="Times New Roman" w:eastAsia="等线"/>
                <w:sz w:val="18"/>
                <w:szCs w:val="18"/>
              </w:rPr>
            </w:pPr>
            <w:r>
              <w:rPr>
                <w:rFonts w:ascii="Times New Roman" w:hAnsi="Times New Roman" w:eastAsia="等线"/>
                <w:sz w:val="18"/>
                <w:szCs w:val="18"/>
              </w:rPr>
              <w:t>□编制□审核□调整</w:t>
            </w:r>
          </w:p>
        </w:tc>
        <w:tc>
          <w:tcPr>
            <w:tcW w:w="1276" w:type="dxa"/>
            <w:noWrap w:val="0"/>
            <w:vAlign w:val="center"/>
          </w:tcPr>
          <w:p>
            <w:pPr>
              <w:pStyle w:val="52"/>
              <w:spacing w:line="274" w:lineRule="exact"/>
              <w:ind w:left="420"/>
              <w:jc w:val="center"/>
              <w:rPr>
                <w:rFonts w:ascii="Times New Roman" w:hAnsi="Times New Roman" w:eastAsia="等线"/>
                <w:sz w:val="18"/>
                <w:szCs w:val="18"/>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jc w:val="center"/>
              <w:rPr>
                <w:rFonts w:ascii="Times New Roman" w:hAnsi="Times New Roman" w:eastAsia="等线"/>
                <w:sz w:val="18"/>
                <w:szCs w:val="18"/>
              </w:rPr>
            </w:pPr>
            <w:r>
              <w:rPr>
                <w:rFonts w:ascii="Times New Roman" w:hAnsi="Times New Roman" w:eastAsia="等线"/>
                <w:sz w:val="18"/>
                <w:szCs w:val="18"/>
              </w:rPr>
              <w:t>合同价款调整</w:t>
            </w:r>
          </w:p>
        </w:tc>
        <w:tc>
          <w:tcPr>
            <w:tcW w:w="2551" w:type="dxa"/>
            <w:noWrap w:val="0"/>
            <w:vAlign w:val="center"/>
          </w:tcPr>
          <w:p>
            <w:pPr>
              <w:pStyle w:val="52"/>
              <w:spacing w:line="274" w:lineRule="exact"/>
              <w:ind w:left="420"/>
              <w:jc w:val="center"/>
              <w:rPr>
                <w:rFonts w:ascii="Times New Roman" w:hAnsi="Times New Roman" w:eastAsia="等线"/>
                <w:sz w:val="18"/>
                <w:szCs w:val="18"/>
              </w:rPr>
            </w:pPr>
            <w:r>
              <w:rPr>
                <w:rFonts w:ascii="Times New Roman" w:hAnsi="Times New Roman" w:eastAsia="等线"/>
                <w:sz w:val="18"/>
                <w:szCs w:val="18"/>
              </w:rPr>
              <w:t>□编制□审核□调整</w:t>
            </w:r>
          </w:p>
        </w:tc>
        <w:tc>
          <w:tcPr>
            <w:tcW w:w="1276" w:type="dxa"/>
            <w:noWrap w:val="0"/>
            <w:vAlign w:val="center"/>
          </w:tcPr>
          <w:p>
            <w:pPr>
              <w:pStyle w:val="52"/>
              <w:spacing w:line="274" w:lineRule="exact"/>
              <w:ind w:left="420"/>
              <w:jc w:val="center"/>
              <w:rPr>
                <w:rFonts w:ascii="Times New Roman" w:hAnsi="Times New Roman" w:eastAsia="等线"/>
                <w:sz w:val="18"/>
                <w:szCs w:val="18"/>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jc w:val="center"/>
              <w:rPr>
                <w:rFonts w:ascii="Times New Roman" w:hAnsi="Times New Roman" w:eastAsia="等线"/>
                <w:sz w:val="18"/>
                <w:szCs w:val="18"/>
                <w:lang w:eastAsia="zh-CN"/>
              </w:rPr>
            </w:pPr>
            <w:r>
              <w:rPr>
                <w:rFonts w:ascii="Times New Roman" w:hAnsi="Times New Roman" w:eastAsia="等线"/>
                <w:sz w:val="18"/>
                <w:szCs w:val="18"/>
                <w:lang w:eastAsia="zh-CN"/>
              </w:rPr>
              <w:t>工程变更、索赔、签证</w:t>
            </w:r>
          </w:p>
        </w:tc>
        <w:tc>
          <w:tcPr>
            <w:tcW w:w="2551" w:type="dxa"/>
            <w:noWrap w:val="0"/>
            <w:vAlign w:val="center"/>
          </w:tcPr>
          <w:p>
            <w:pPr>
              <w:pStyle w:val="52"/>
              <w:spacing w:line="274" w:lineRule="exact"/>
              <w:ind w:left="420"/>
              <w:jc w:val="center"/>
              <w:rPr>
                <w:rFonts w:ascii="Times New Roman" w:hAnsi="Times New Roman" w:eastAsia="等线"/>
                <w:sz w:val="18"/>
                <w:szCs w:val="18"/>
              </w:rPr>
            </w:pPr>
            <w:r>
              <w:rPr>
                <w:rFonts w:ascii="Times New Roman" w:hAnsi="Times New Roman" w:eastAsia="等线"/>
                <w:sz w:val="18"/>
                <w:szCs w:val="18"/>
              </w:rPr>
              <w:t>□审核</w:t>
            </w:r>
          </w:p>
        </w:tc>
        <w:tc>
          <w:tcPr>
            <w:tcW w:w="1276" w:type="dxa"/>
            <w:noWrap w:val="0"/>
            <w:vAlign w:val="center"/>
          </w:tcPr>
          <w:p>
            <w:pPr>
              <w:pStyle w:val="52"/>
              <w:spacing w:line="274" w:lineRule="exact"/>
              <w:ind w:left="420"/>
              <w:jc w:val="center"/>
              <w:rPr>
                <w:rFonts w:ascii="Times New Roman" w:hAnsi="Times New Roman" w:eastAsia="等线"/>
                <w:sz w:val="18"/>
                <w:szCs w:val="18"/>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jc w:val="center"/>
              <w:rPr>
                <w:rFonts w:ascii="Times New Roman" w:hAnsi="Times New Roman" w:eastAsia="等线"/>
                <w:sz w:val="18"/>
                <w:szCs w:val="18"/>
                <w:lang w:eastAsia="zh-CN"/>
              </w:rPr>
            </w:pPr>
            <w:r>
              <w:rPr>
                <w:rFonts w:ascii="Times New Roman" w:hAnsi="Times New Roman" w:eastAsia="等线"/>
                <w:sz w:val="18"/>
                <w:szCs w:val="18"/>
                <w:lang w:eastAsia="zh-CN"/>
              </w:rPr>
              <w:t>工程实施阶段造价控制</w:t>
            </w:r>
          </w:p>
        </w:tc>
        <w:tc>
          <w:tcPr>
            <w:tcW w:w="2551" w:type="dxa"/>
            <w:noWrap w:val="0"/>
            <w:vAlign w:val="center"/>
          </w:tcPr>
          <w:p>
            <w:pPr>
              <w:pStyle w:val="52"/>
              <w:spacing w:line="274" w:lineRule="exact"/>
              <w:ind w:left="420"/>
              <w:jc w:val="center"/>
              <w:rPr>
                <w:rFonts w:ascii="Times New Roman" w:hAnsi="Times New Roman" w:eastAsia="等线"/>
                <w:sz w:val="18"/>
                <w:szCs w:val="18"/>
                <w:lang w:eastAsia="zh-CN"/>
              </w:rPr>
            </w:pPr>
          </w:p>
        </w:tc>
        <w:tc>
          <w:tcPr>
            <w:tcW w:w="1276" w:type="dxa"/>
            <w:noWrap w:val="0"/>
            <w:vAlign w:val="center"/>
          </w:tcPr>
          <w:p>
            <w:pPr>
              <w:pStyle w:val="52"/>
              <w:spacing w:line="274" w:lineRule="exact"/>
              <w:ind w:left="420"/>
              <w:jc w:val="center"/>
              <w:rPr>
                <w:rFonts w:ascii="Times New Roman" w:hAnsi="Times New Roman" w:eastAsia="等线"/>
                <w:sz w:val="18"/>
                <w:szCs w:val="18"/>
                <w:lang w:eastAsia="zh-CN"/>
              </w:rPr>
            </w:pPr>
          </w:p>
        </w:tc>
        <w:tc>
          <w:tcPr>
            <w:tcW w:w="4253" w:type="dxa"/>
            <w:noWrap w:val="0"/>
            <w:vAlign w:val="center"/>
          </w:tcPr>
          <w:p>
            <w:pPr>
              <w:jc w:val="center"/>
              <w:rPr>
                <w:rFonts w:ascii="Times New Roman" w:hAnsi="Times New Roman" w:eastAsia="等线"/>
                <w:kern w:val="0"/>
                <w:sz w:val="18"/>
                <w:szCs w:val="18"/>
              </w:rPr>
            </w:pPr>
          </w:p>
        </w:tc>
        <w:tc>
          <w:tcPr>
            <w:tcW w:w="2126" w:type="dxa"/>
            <w:noWrap w:val="0"/>
            <w:vAlign w:val="center"/>
          </w:tcPr>
          <w:p>
            <w:pPr>
              <w:jc w:val="center"/>
              <w:rPr>
                <w:rFonts w:ascii="Times New Roman" w:hAnsi="Times New Roman" w:eastAsia="等线"/>
                <w:kern w:val="0"/>
                <w:sz w:val="18"/>
                <w:szCs w:val="18"/>
              </w:rPr>
            </w:pPr>
          </w:p>
        </w:tc>
        <w:tc>
          <w:tcPr>
            <w:tcW w:w="709" w:type="dxa"/>
            <w:noWrap w:val="0"/>
            <w:vAlign w:val="center"/>
          </w:tcPr>
          <w:p>
            <w:pPr>
              <w:jc w:val="center"/>
              <w:rPr>
                <w:rFonts w:ascii="Times New Roman" w:hAnsi="Times New Roman" w:eastAsia="等线"/>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exact"/>
        </w:trPr>
        <w:tc>
          <w:tcPr>
            <w:tcW w:w="1281" w:type="dxa"/>
            <w:vMerge w:val="continue"/>
            <w:noWrap w:val="0"/>
            <w:vAlign w:val="center"/>
          </w:tcPr>
          <w:p>
            <w:pPr>
              <w:jc w:val="center"/>
              <w:rPr>
                <w:rFonts w:ascii="Times New Roman" w:hAnsi="Times New Roman" w:eastAsia="等线"/>
                <w:kern w:val="0"/>
                <w:sz w:val="18"/>
                <w:szCs w:val="18"/>
              </w:rPr>
            </w:pPr>
          </w:p>
        </w:tc>
        <w:tc>
          <w:tcPr>
            <w:tcW w:w="2410" w:type="dxa"/>
            <w:noWrap w:val="0"/>
            <w:vAlign w:val="center"/>
          </w:tcPr>
          <w:p>
            <w:pPr>
              <w:pStyle w:val="52"/>
              <w:jc w:val="center"/>
              <w:rPr>
                <w:rFonts w:ascii="Times New Roman" w:hAnsi="Times New Roman" w:eastAsia="等线"/>
                <w:sz w:val="18"/>
                <w:szCs w:val="18"/>
              </w:rPr>
            </w:pPr>
            <w:r>
              <w:rPr>
                <w:rFonts w:ascii="Times New Roman" w:hAnsi="Times New Roman" w:eastAsia="等线"/>
                <w:sz w:val="18"/>
                <w:szCs w:val="18"/>
              </w:rPr>
              <w:t>其他：</w:t>
            </w:r>
          </w:p>
        </w:tc>
        <w:tc>
          <w:tcPr>
            <w:tcW w:w="2551" w:type="dxa"/>
            <w:noWrap w:val="0"/>
            <w:vAlign w:val="center"/>
          </w:tcPr>
          <w:p>
            <w:pPr>
              <w:pStyle w:val="52"/>
              <w:spacing w:line="274" w:lineRule="exact"/>
              <w:ind w:left="420"/>
              <w:jc w:val="center"/>
              <w:rPr>
                <w:rFonts w:ascii="Times New Roman" w:hAnsi="Times New Roman" w:eastAsia="等线"/>
                <w:sz w:val="18"/>
                <w:szCs w:val="18"/>
              </w:rPr>
            </w:pPr>
          </w:p>
        </w:tc>
        <w:tc>
          <w:tcPr>
            <w:tcW w:w="1276" w:type="dxa"/>
            <w:noWrap w:val="0"/>
            <w:vAlign w:val="center"/>
          </w:tcPr>
          <w:p>
            <w:pPr>
              <w:pStyle w:val="52"/>
              <w:spacing w:line="274" w:lineRule="exact"/>
              <w:ind w:left="420"/>
              <w:jc w:val="center"/>
              <w:rPr>
                <w:rFonts w:ascii="Times New Roman" w:hAnsi="Times New Roman" w:eastAsia="等线"/>
                <w:sz w:val="18"/>
                <w:szCs w:val="18"/>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exact"/>
        </w:trPr>
        <w:tc>
          <w:tcPr>
            <w:tcW w:w="1281" w:type="dxa"/>
            <w:vMerge w:val="restart"/>
            <w:noWrap w:val="0"/>
            <w:vAlign w:val="center"/>
          </w:tcPr>
          <w:p>
            <w:pPr>
              <w:pStyle w:val="52"/>
              <w:jc w:val="center"/>
              <w:rPr>
                <w:rFonts w:ascii="Times New Roman" w:hAnsi="Times New Roman" w:eastAsia="等线"/>
                <w:sz w:val="18"/>
                <w:szCs w:val="18"/>
              </w:rPr>
            </w:pPr>
            <w:r>
              <w:rPr>
                <w:rFonts w:ascii="Times New Roman" w:hAnsi="Times New Roman" w:eastAsia="等线"/>
                <w:sz w:val="18"/>
                <w:szCs w:val="18"/>
              </w:rPr>
              <w:t>竣工阶段</w:t>
            </w:r>
          </w:p>
        </w:tc>
        <w:tc>
          <w:tcPr>
            <w:tcW w:w="2410" w:type="dxa"/>
            <w:noWrap w:val="0"/>
            <w:vAlign w:val="center"/>
          </w:tcPr>
          <w:p>
            <w:pPr>
              <w:pStyle w:val="52"/>
              <w:jc w:val="center"/>
              <w:rPr>
                <w:rFonts w:ascii="Times New Roman" w:hAnsi="Times New Roman" w:eastAsia="等线"/>
                <w:sz w:val="18"/>
                <w:szCs w:val="18"/>
              </w:rPr>
            </w:pPr>
            <w:r>
              <w:rPr>
                <w:rFonts w:ascii="Times New Roman" w:hAnsi="Times New Roman" w:eastAsia="等线"/>
                <w:sz w:val="18"/>
                <w:szCs w:val="18"/>
              </w:rPr>
              <w:t>竣工结算</w:t>
            </w:r>
          </w:p>
        </w:tc>
        <w:tc>
          <w:tcPr>
            <w:tcW w:w="2551" w:type="dxa"/>
            <w:noWrap w:val="0"/>
            <w:vAlign w:val="center"/>
          </w:tcPr>
          <w:p>
            <w:pPr>
              <w:pStyle w:val="52"/>
              <w:spacing w:line="274" w:lineRule="exact"/>
              <w:ind w:left="420"/>
              <w:jc w:val="center"/>
              <w:rPr>
                <w:rFonts w:ascii="Times New Roman" w:hAnsi="Times New Roman" w:eastAsia="等线"/>
                <w:sz w:val="18"/>
                <w:szCs w:val="18"/>
              </w:rPr>
            </w:pPr>
            <w:r>
              <w:rPr>
                <w:rFonts w:ascii="Times New Roman" w:hAnsi="Times New Roman" w:eastAsia="等线"/>
                <w:sz w:val="18"/>
                <w:szCs w:val="18"/>
              </w:rPr>
              <w:t>□编制□审核□调整</w:t>
            </w:r>
          </w:p>
        </w:tc>
        <w:tc>
          <w:tcPr>
            <w:tcW w:w="1276" w:type="dxa"/>
            <w:noWrap w:val="0"/>
            <w:vAlign w:val="center"/>
          </w:tcPr>
          <w:p>
            <w:pPr>
              <w:pStyle w:val="52"/>
              <w:spacing w:line="274" w:lineRule="exact"/>
              <w:ind w:left="420"/>
              <w:jc w:val="center"/>
              <w:rPr>
                <w:rFonts w:ascii="Times New Roman" w:hAnsi="Times New Roman" w:eastAsia="等线"/>
                <w:sz w:val="18"/>
                <w:szCs w:val="18"/>
                <w:lang w:eastAsia="zh-CN"/>
              </w:rPr>
            </w:pPr>
          </w:p>
        </w:tc>
        <w:tc>
          <w:tcPr>
            <w:tcW w:w="4253" w:type="dxa"/>
            <w:noWrap w:val="0"/>
            <w:vAlign w:val="center"/>
          </w:tcPr>
          <w:p>
            <w:pPr>
              <w:rPr>
                <w:rFonts w:ascii="Times New Roman" w:hAnsi="Times New Roman" w:eastAsia="等线"/>
                <w:kern w:val="0"/>
                <w:sz w:val="18"/>
                <w:szCs w:val="18"/>
              </w:rPr>
            </w:pPr>
          </w:p>
        </w:tc>
        <w:tc>
          <w:tcPr>
            <w:tcW w:w="2126" w:type="dxa"/>
            <w:noWrap w:val="0"/>
            <w:vAlign w:val="center"/>
          </w:tcPr>
          <w:p>
            <w:pPr>
              <w:jc w:val="center"/>
              <w:rPr>
                <w:rFonts w:ascii="Times New Roman" w:hAnsi="Times New Roman" w:eastAsia="等线"/>
                <w:kern w:val="0"/>
                <w:sz w:val="18"/>
                <w:szCs w:val="18"/>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jc w:val="center"/>
              <w:rPr>
                <w:rFonts w:ascii="Times New Roman" w:hAnsi="Times New Roman" w:eastAsia="等线"/>
                <w:sz w:val="18"/>
                <w:szCs w:val="18"/>
              </w:rPr>
            </w:pPr>
            <w:r>
              <w:rPr>
                <w:rFonts w:ascii="Times New Roman" w:hAnsi="Times New Roman" w:eastAsia="等线"/>
                <w:sz w:val="18"/>
                <w:szCs w:val="18"/>
              </w:rPr>
              <w:t>竣工决算</w:t>
            </w:r>
          </w:p>
        </w:tc>
        <w:tc>
          <w:tcPr>
            <w:tcW w:w="2551" w:type="dxa"/>
            <w:noWrap w:val="0"/>
            <w:vAlign w:val="center"/>
          </w:tcPr>
          <w:p>
            <w:pPr>
              <w:pStyle w:val="52"/>
              <w:spacing w:line="274" w:lineRule="exact"/>
              <w:ind w:left="420"/>
              <w:jc w:val="center"/>
              <w:rPr>
                <w:rFonts w:ascii="Times New Roman" w:hAnsi="Times New Roman" w:eastAsia="等线"/>
                <w:sz w:val="18"/>
                <w:szCs w:val="18"/>
              </w:rPr>
            </w:pPr>
            <w:r>
              <w:rPr>
                <w:rFonts w:ascii="Times New Roman" w:hAnsi="Times New Roman" w:eastAsia="等线"/>
                <w:sz w:val="18"/>
                <w:szCs w:val="18"/>
              </w:rPr>
              <w:t>□编制□审核□调整</w:t>
            </w:r>
          </w:p>
        </w:tc>
        <w:tc>
          <w:tcPr>
            <w:tcW w:w="1276" w:type="dxa"/>
            <w:noWrap w:val="0"/>
            <w:vAlign w:val="center"/>
          </w:tcPr>
          <w:p>
            <w:pPr>
              <w:pStyle w:val="52"/>
              <w:spacing w:line="274" w:lineRule="exact"/>
              <w:ind w:left="420"/>
              <w:jc w:val="center"/>
              <w:rPr>
                <w:rFonts w:ascii="Times New Roman" w:hAnsi="Times New Roman" w:eastAsia="等线"/>
                <w:sz w:val="18"/>
                <w:szCs w:val="18"/>
                <w:lang w:eastAsia="zh-CN"/>
              </w:rPr>
            </w:pPr>
          </w:p>
        </w:tc>
        <w:tc>
          <w:tcPr>
            <w:tcW w:w="4253" w:type="dxa"/>
            <w:noWrap w:val="0"/>
            <w:vAlign w:val="center"/>
          </w:tcPr>
          <w:p>
            <w:pPr>
              <w:jc w:val="center"/>
              <w:rPr>
                <w:rFonts w:ascii="Times New Roman" w:hAnsi="Times New Roman" w:eastAsia="等线"/>
                <w:kern w:val="0"/>
                <w:sz w:val="18"/>
                <w:szCs w:val="18"/>
              </w:rPr>
            </w:pPr>
          </w:p>
        </w:tc>
        <w:tc>
          <w:tcPr>
            <w:tcW w:w="2126" w:type="dxa"/>
            <w:noWrap w:val="0"/>
            <w:vAlign w:val="center"/>
          </w:tcPr>
          <w:p>
            <w:pPr>
              <w:jc w:val="center"/>
              <w:rPr>
                <w:rFonts w:ascii="Times New Roman" w:hAnsi="Times New Roman" w:eastAsia="等线"/>
                <w:kern w:val="0"/>
                <w:sz w:val="18"/>
                <w:szCs w:val="18"/>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exact"/>
        </w:trPr>
        <w:tc>
          <w:tcPr>
            <w:tcW w:w="1281" w:type="dxa"/>
            <w:vMerge w:val="continue"/>
            <w:noWrap w:val="0"/>
            <w:vAlign w:val="center"/>
          </w:tcPr>
          <w:p>
            <w:pPr>
              <w:jc w:val="center"/>
              <w:rPr>
                <w:rFonts w:ascii="Times New Roman" w:hAnsi="Times New Roman" w:eastAsia="等线"/>
                <w:kern w:val="0"/>
                <w:sz w:val="18"/>
                <w:szCs w:val="18"/>
                <w:lang w:eastAsia="en-US"/>
              </w:rPr>
            </w:pPr>
          </w:p>
        </w:tc>
        <w:tc>
          <w:tcPr>
            <w:tcW w:w="2410" w:type="dxa"/>
            <w:noWrap w:val="0"/>
            <w:vAlign w:val="center"/>
          </w:tcPr>
          <w:p>
            <w:pPr>
              <w:pStyle w:val="52"/>
              <w:jc w:val="center"/>
              <w:rPr>
                <w:rFonts w:ascii="Times New Roman" w:hAnsi="Times New Roman" w:eastAsia="等线"/>
                <w:sz w:val="18"/>
                <w:szCs w:val="18"/>
              </w:rPr>
            </w:pPr>
            <w:r>
              <w:rPr>
                <w:rFonts w:ascii="Times New Roman" w:hAnsi="Times New Roman" w:eastAsia="等线"/>
                <w:sz w:val="18"/>
                <w:szCs w:val="18"/>
              </w:rPr>
              <w:t>其他：</w:t>
            </w:r>
          </w:p>
        </w:tc>
        <w:tc>
          <w:tcPr>
            <w:tcW w:w="2551" w:type="dxa"/>
            <w:noWrap w:val="0"/>
            <w:vAlign w:val="center"/>
          </w:tcPr>
          <w:p>
            <w:pPr>
              <w:pStyle w:val="52"/>
              <w:spacing w:line="274" w:lineRule="exact"/>
              <w:ind w:left="420"/>
              <w:jc w:val="center"/>
              <w:rPr>
                <w:rFonts w:ascii="Times New Roman" w:hAnsi="Times New Roman" w:eastAsia="等线"/>
                <w:sz w:val="18"/>
                <w:szCs w:val="18"/>
              </w:rPr>
            </w:pPr>
          </w:p>
        </w:tc>
        <w:tc>
          <w:tcPr>
            <w:tcW w:w="1276" w:type="dxa"/>
            <w:noWrap w:val="0"/>
            <w:vAlign w:val="center"/>
          </w:tcPr>
          <w:p>
            <w:pPr>
              <w:pStyle w:val="52"/>
              <w:spacing w:line="274" w:lineRule="exact"/>
              <w:ind w:left="420"/>
              <w:jc w:val="center"/>
              <w:rPr>
                <w:rFonts w:ascii="Times New Roman" w:hAnsi="Times New Roman" w:eastAsia="等线"/>
                <w:sz w:val="18"/>
                <w:szCs w:val="18"/>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exact"/>
        </w:trPr>
        <w:tc>
          <w:tcPr>
            <w:tcW w:w="1281" w:type="dxa"/>
            <w:vMerge w:val="restart"/>
            <w:noWrap w:val="0"/>
            <w:vAlign w:val="center"/>
          </w:tcPr>
          <w:p>
            <w:pPr>
              <w:pStyle w:val="52"/>
              <w:spacing w:line="276" w:lineRule="exact"/>
              <w:jc w:val="center"/>
              <w:rPr>
                <w:rFonts w:ascii="Times New Roman" w:hAnsi="Times New Roman" w:eastAsia="等线"/>
                <w:sz w:val="18"/>
                <w:szCs w:val="18"/>
                <w:lang w:eastAsia="zh-CN"/>
              </w:rPr>
            </w:pPr>
            <w:r>
              <w:rPr>
                <w:rFonts w:ascii="Times New Roman" w:hAnsi="Times New Roman" w:eastAsia="等线"/>
                <w:sz w:val="18"/>
                <w:szCs w:val="18"/>
                <w:lang w:eastAsia="zh-CN"/>
              </w:rPr>
              <w:t>全过程跟踪控制</w:t>
            </w:r>
          </w:p>
        </w:tc>
        <w:tc>
          <w:tcPr>
            <w:tcW w:w="2410" w:type="dxa"/>
            <w:noWrap w:val="0"/>
            <w:vAlign w:val="center"/>
          </w:tcPr>
          <w:p>
            <w:pPr>
              <w:pStyle w:val="52"/>
              <w:jc w:val="center"/>
              <w:rPr>
                <w:rFonts w:ascii="Times New Roman" w:hAnsi="Times New Roman" w:eastAsia="等线"/>
                <w:sz w:val="18"/>
                <w:szCs w:val="18"/>
                <w:lang w:eastAsia="zh-CN"/>
              </w:rPr>
            </w:pPr>
            <w:r>
              <w:rPr>
                <w:rFonts w:hint="eastAsia" w:ascii="Times New Roman" w:hAnsi="Times New Roman" w:eastAsia="等线"/>
                <w:sz w:val="18"/>
                <w:szCs w:val="18"/>
                <w:lang w:eastAsia="zh-CN"/>
              </w:rPr>
              <w:t>概算</w:t>
            </w:r>
          </w:p>
        </w:tc>
        <w:tc>
          <w:tcPr>
            <w:tcW w:w="2551" w:type="dxa"/>
            <w:noWrap w:val="0"/>
            <w:vAlign w:val="center"/>
          </w:tcPr>
          <w:p>
            <w:pPr>
              <w:pStyle w:val="52"/>
              <w:spacing w:line="274" w:lineRule="exact"/>
              <w:ind w:left="420"/>
              <w:jc w:val="center"/>
              <w:rPr>
                <w:rFonts w:ascii="Times New Roman" w:hAnsi="Times New Roman" w:eastAsia="等线"/>
                <w:sz w:val="18"/>
                <w:szCs w:val="18"/>
              </w:rPr>
            </w:pPr>
            <w:r>
              <w:rPr>
                <w:rFonts w:ascii="Times New Roman" w:hAnsi="Times New Roman" w:eastAsia="等线"/>
                <w:sz w:val="18"/>
                <w:szCs w:val="18"/>
              </w:rPr>
              <w:t>□编制</w:t>
            </w:r>
            <w:r>
              <w:rPr>
                <w:rFonts w:ascii="Segoe UI Symbol" w:hAnsi="Segoe UI Symbol" w:eastAsia="等线" w:cs="Segoe UI Symbol"/>
                <w:sz w:val="18"/>
                <w:szCs w:val="18"/>
              </w:rPr>
              <w:t>☑</w:t>
            </w:r>
            <w:r>
              <w:rPr>
                <w:rFonts w:ascii="Times New Roman" w:hAnsi="Times New Roman" w:eastAsia="等线"/>
                <w:sz w:val="18"/>
                <w:szCs w:val="18"/>
              </w:rPr>
              <w:t>审核□调整</w:t>
            </w:r>
          </w:p>
        </w:tc>
        <w:tc>
          <w:tcPr>
            <w:tcW w:w="1276" w:type="dxa"/>
            <w:noWrap w:val="0"/>
            <w:vAlign w:val="center"/>
          </w:tcPr>
          <w:p>
            <w:pPr>
              <w:pStyle w:val="52"/>
              <w:spacing w:line="274" w:lineRule="exact"/>
              <w:ind w:left="420"/>
              <w:jc w:val="center"/>
              <w:rPr>
                <w:rFonts w:ascii="Times New Roman" w:hAnsi="Times New Roman" w:eastAsia="等线"/>
                <w:sz w:val="18"/>
                <w:szCs w:val="18"/>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exact"/>
        </w:trPr>
        <w:tc>
          <w:tcPr>
            <w:tcW w:w="1281" w:type="dxa"/>
            <w:vMerge w:val="continue"/>
            <w:noWrap w:val="0"/>
            <w:vAlign w:val="center"/>
          </w:tcPr>
          <w:p>
            <w:pPr>
              <w:pStyle w:val="52"/>
              <w:spacing w:line="276" w:lineRule="exact"/>
              <w:ind w:left="420"/>
              <w:jc w:val="center"/>
              <w:rPr>
                <w:rFonts w:ascii="Times New Roman" w:hAnsi="Times New Roman" w:eastAsia="等线"/>
                <w:sz w:val="18"/>
                <w:szCs w:val="18"/>
              </w:rPr>
            </w:pPr>
          </w:p>
        </w:tc>
        <w:tc>
          <w:tcPr>
            <w:tcW w:w="2410" w:type="dxa"/>
            <w:noWrap w:val="0"/>
            <w:vAlign w:val="center"/>
          </w:tcPr>
          <w:p>
            <w:pPr>
              <w:pStyle w:val="52"/>
              <w:jc w:val="center"/>
              <w:rPr>
                <w:rFonts w:ascii="Times New Roman" w:hAnsi="Times New Roman" w:eastAsia="等线"/>
                <w:sz w:val="18"/>
                <w:szCs w:val="18"/>
                <w:lang w:eastAsia="zh-CN"/>
              </w:rPr>
            </w:pPr>
            <w:r>
              <w:rPr>
                <w:rFonts w:ascii="Times New Roman" w:hAnsi="Times New Roman" w:eastAsia="等线"/>
                <w:sz w:val="18"/>
                <w:szCs w:val="18"/>
              </w:rPr>
              <w:t>合同价款调整</w:t>
            </w:r>
          </w:p>
        </w:tc>
        <w:tc>
          <w:tcPr>
            <w:tcW w:w="2551" w:type="dxa"/>
            <w:noWrap w:val="0"/>
            <w:vAlign w:val="center"/>
          </w:tcPr>
          <w:p>
            <w:pPr>
              <w:pStyle w:val="52"/>
              <w:spacing w:line="274" w:lineRule="exact"/>
              <w:ind w:left="420"/>
              <w:jc w:val="center"/>
              <w:rPr>
                <w:rFonts w:ascii="Times New Roman" w:hAnsi="Times New Roman" w:eastAsia="等线"/>
                <w:sz w:val="18"/>
                <w:szCs w:val="18"/>
                <w:lang w:eastAsia="zh-CN"/>
              </w:rPr>
            </w:pPr>
            <w:r>
              <w:rPr>
                <w:rFonts w:ascii="Times New Roman" w:hAnsi="Times New Roman" w:eastAsia="等线"/>
                <w:sz w:val="18"/>
                <w:szCs w:val="18"/>
              </w:rPr>
              <w:t>□编制</w:t>
            </w:r>
            <w:r>
              <w:rPr>
                <w:rFonts w:ascii="Segoe UI Symbol" w:hAnsi="Segoe UI Symbol" w:eastAsia="等线" w:cs="Segoe UI Symbol"/>
                <w:sz w:val="18"/>
                <w:szCs w:val="18"/>
              </w:rPr>
              <w:t>☑</w:t>
            </w:r>
            <w:r>
              <w:rPr>
                <w:rFonts w:ascii="Times New Roman" w:hAnsi="Times New Roman" w:eastAsia="等线"/>
                <w:sz w:val="18"/>
                <w:szCs w:val="18"/>
              </w:rPr>
              <w:t>审核□调整</w:t>
            </w:r>
          </w:p>
        </w:tc>
        <w:tc>
          <w:tcPr>
            <w:tcW w:w="1276" w:type="dxa"/>
            <w:noWrap w:val="0"/>
            <w:vAlign w:val="center"/>
          </w:tcPr>
          <w:p>
            <w:pPr>
              <w:pStyle w:val="52"/>
              <w:spacing w:line="274" w:lineRule="exact"/>
              <w:ind w:left="420"/>
              <w:jc w:val="center"/>
              <w:rPr>
                <w:rFonts w:ascii="Times New Roman" w:hAnsi="Times New Roman" w:eastAsia="等线"/>
                <w:sz w:val="18"/>
                <w:szCs w:val="18"/>
                <w:lang w:eastAsia="zh-CN"/>
              </w:rPr>
            </w:pPr>
          </w:p>
        </w:tc>
        <w:tc>
          <w:tcPr>
            <w:tcW w:w="4253" w:type="dxa"/>
            <w:noWrap w:val="0"/>
            <w:vAlign w:val="center"/>
          </w:tcPr>
          <w:p>
            <w:pPr>
              <w:jc w:val="center"/>
              <w:rPr>
                <w:rFonts w:ascii="Times New Roman" w:hAnsi="Times New Roman" w:eastAsia="等线"/>
                <w:kern w:val="0"/>
                <w:sz w:val="18"/>
                <w:szCs w:val="18"/>
              </w:rPr>
            </w:pPr>
          </w:p>
        </w:tc>
        <w:tc>
          <w:tcPr>
            <w:tcW w:w="2126" w:type="dxa"/>
            <w:noWrap w:val="0"/>
            <w:vAlign w:val="center"/>
          </w:tcPr>
          <w:p>
            <w:pPr>
              <w:jc w:val="center"/>
              <w:rPr>
                <w:rFonts w:ascii="Times New Roman" w:hAnsi="Times New Roman" w:eastAsia="等线"/>
                <w:kern w:val="0"/>
                <w:sz w:val="18"/>
                <w:szCs w:val="18"/>
              </w:rPr>
            </w:pPr>
          </w:p>
        </w:tc>
        <w:tc>
          <w:tcPr>
            <w:tcW w:w="709" w:type="dxa"/>
            <w:noWrap w:val="0"/>
            <w:vAlign w:val="center"/>
          </w:tcPr>
          <w:p>
            <w:pPr>
              <w:jc w:val="center"/>
              <w:rPr>
                <w:rFonts w:ascii="Times New Roman" w:hAnsi="Times New Roman" w:eastAsia="等线"/>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exact"/>
        </w:trPr>
        <w:tc>
          <w:tcPr>
            <w:tcW w:w="1281" w:type="dxa"/>
            <w:vMerge w:val="continue"/>
            <w:noWrap w:val="0"/>
            <w:vAlign w:val="center"/>
          </w:tcPr>
          <w:p>
            <w:pPr>
              <w:pStyle w:val="52"/>
              <w:spacing w:line="276" w:lineRule="exact"/>
              <w:ind w:left="420"/>
              <w:jc w:val="center"/>
              <w:rPr>
                <w:rFonts w:ascii="Times New Roman" w:hAnsi="Times New Roman" w:eastAsia="等线"/>
                <w:sz w:val="18"/>
                <w:szCs w:val="18"/>
              </w:rPr>
            </w:pPr>
          </w:p>
        </w:tc>
        <w:tc>
          <w:tcPr>
            <w:tcW w:w="2410" w:type="dxa"/>
            <w:noWrap w:val="0"/>
            <w:vAlign w:val="center"/>
          </w:tcPr>
          <w:p>
            <w:pPr>
              <w:pStyle w:val="52"/>
              <w:jc w:val="center"/>
              <w:rPr>
                <w:rFonts w:ascii="Times New Roman" w:hAnsi="Times New Roman" w:eastAsia="等线"/>
                <w:sz w:val="18"/>
                <w:szCs w:val="18"/>
                <w:lang w:eastAsia="zh-CN"/>
              </w:rPr>
            </w:pPr>
            <w:r>
              <w:rPr>
                <w:rFonts w:ascii="Times New Roman" w:hAnsi="Times New Roman" w:eastAsia="等线"/>
                <w:sz w:val="18"/>
                <w:szCs w:val="18"/>
                <w:lang w:eastAsia="zh-CN"/>
              </w:rPr>
              <w:t>工程变更、索赔、签证</w:t>
            </w:r>
          </w:p>
        </w:tc>
        <w:tc>
          <w:tcPr>
            <w:tcW w:w="2551" w:type="dxa"/>
            <w:noWrap w:val="0"/>
            <w:vAlign w:val="center"/>
          </w:tcPr>
          <w:p>
            <w:pPr>
              <w:pStyle w:val="52"/>
              <w:spacing w:line="274" w:lineRule="exact"/>
              <w:ind w:left="420"/>
              <w:jc w:val="center"/>
              <w:rPr>
                <w:rFonts w:ascii="Times New Roman" w:hAnsi="Times New Roman" w:eastAsia="等线"/>
                <w:sz w:val="18"/>
                <w:szCs w:val="18"/>
                <w:lang w:eastAsia="zh-CN"/>
              </w:rPr>
            </w:pPr>
            <w:r>
              <w:rPr>
                <w:rFonts w:ascii="Times New Roman" w:hAnsi="Times New Roman" w:eastAsia="等线"/>
                <w:sz w:val="18"/>
                <w:szCs w:val="18"/>
              </w:rPr>
              <w:t>□编制</w:t>
            </w:r>
            <w:r>
              <w:rPr>
                <w:rFonts w:ascii="Segoe UI Symbol" w:hAnsi="Segoe UI Symbol" w:eastAsia="等线" w:cs="Segoe UI Symbol"/>
                <w:sz w:val="18"/>
                <w:szCs w:val="18"/>
              </w:rPr>
              <w:t>☑</w:t>
            </w:r>
            <w:r>
              <w:rPr>
                <w:rFonts w:ascii="Times New Roman" w:hAnsi="Times New Roman" w:eastAsia="等线"/>
                <w:sz w:val="18"/>
                <w:szCs w:val="18"/>
              </w:rPr>
              <w:t>审核□调整</w:t>
            </w:r>
          </w:p>
        </w:tc>
        <w:tc>
          <w:tcPr>
            <w:tcW w:w="1276" w:type="dxa"/>
            <w:noWrap w:val="0"/>
            <w:vAlign w:val="center"/>
          </w:tcPr>
          <w:p>
            <w:pPr>
              <w:pStyle w:val="52"/>
              <w:spacing w:line="274" w:lineRule="exact"/>
              <w:ind w:left="420"/>
              <w:jc w:val="center"/>
              <w:rPr>
                <w:rFonts w:ascii="Times New Roman" w:hAnsi="Times New Roman" w:eastAsia="等线"/>
                <w:sz w:val="18"/>
                <w:szCs w:val="18"/>
                <w:lang w:eastAsia="zh-CN"/>
              </w:rPr>
            </w:pPr>
          </w:p>
        </w:tc>
        <w:tc>
          <w:tcPr>
            <w:tcW w:w="4253" w:type="dxa"/>
            <w:noWrap w:val="0"/>
            <w:vAlign w:val="center"/>
          </w:tcPr>
          <w:p>
            <w:pPr>
              <w:jc w:val="center"/>
              <w:rPr>
                <w:rFonts w:ascii="Times New Roman" w:hAnsi="Times New Roman" w:eastAsia="等线"/>
                <w:kern w:val="0"/>
                <w:sz w:val="18"/>
                <w:szCs w:val="18"/>
              </w:rPr>
            </w:pPr>
          </w:p>
        </w:tc>
        <w:tc>
          <w:tcPr>
            <w:tcW w:w="2126" w:type="dxa"/>
            <w:noWrap w:val="0"/>
            <w:vAlign w:val="center"/>
          </w:tcPr>
          <w:p>
            <w:pPr>
              <w:jc w:val="center"/>
              <w:rPr>
                <w:rFonts w:ascii="Times New Roman" w:hAnsi="Times New Roman" w:eastAsia="等线"/>
                <w:kern w:val="0"/>
                <w:sz w:val="18"/>
                <w:szCs w:val="18"/>
              </w:rPr>
            </w:pPr>
          </w:p>
        </w:tc>
        <w:tc>
          <w:tcPr>
            <w:tcW w:w="709" w:type="dxa"/>
            <w:noWrap w:val="0"/>
            <w:vAlign w:val="center"/>
          </w:tcPr>
          <w:p>
            <w:pPr>
              <w:jc w:val="center"/>
              <w:rPr>
                <w:rFonts w:ascii="Times New Roman" w:hAnsi="Times New Roman" w:eastAsia="等线"/>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exact"/>
        </w:trPr>
        <w:tc>
          <w:tcPr>
            <w:tcW w:w="1281" w:type="dxa"/>
            <w:vMerge w:val="continue"/>
            <w:noWrap w:val="0"/>
            <w:vAlign w:val="center"/>
          </w:tcPr>
          <w:p>
            <w:pPr>
              <w:pStyle w:val="52"/>
              <w:spacing w:line="276" w:lineRule="exact"/>
              <w:ind w:left="420"/>
              <w:jc w:val="center"/>
              <w:rPr>
                <w:rFonts w:ascii="Times New Roman" w:hAnsi="Times New Roman" w:eastAsia="等线"/>
                <w:sz w:val="18"/>
                <w:szCs w:val="18"/>
                <w:lang w:eastAsia="zh-CN"/>
              </w:rPr>
            </w:pPr>
          </w:p>
        </w:tc>
        <w:tc>
          <w:tcPr>
            <w:tcW w:w="2410" w:type="dxa"/>
            <w:noWrap w:val="0"/>
            <w:vAlign w:val="center"/>
          </w:tcPr>
          <w:p>
            <w:pPr>
              <w:pStyle w:val="52"/>
              <w:jc w:val="center"/>
              <w:rPr>
                <w:rFonts w:ascii="Times New Roman" w:hAnsi="Times New Roman" w:eastAsia="等线"/>
                <w:sz w:val="18"/>
                <w:szCs w:val="18"/>
                <w:lang w:eastAsia="zh-CN"/>
              </w:rPr>
            </w:pPr>
            <w:r>
              <w:rPr>
                <w:rFonts w:ascii="Times New Roman" w:hAnsi="Times New Roman" w:eastAsia="等线"/>
                <w:sz w:val="18"/>
                <w:szCs w:val="18"/>
                <w:lang w:eastAsia="zh-CN"/>
              </w:rPr>
              <w:t>竣工结算</w:t>
            </w:r>
          </w:p>
        </w:tc>
        <w:tc>
          <w:tcPr>
            <w:tcW w:w="2551" w:type="dxa"/>
            <w:noWrap w:val="0"/>
            <w:vAlign w:val="center"/>
          </w:tcPr>
          <w:p>
            <w:pPr>
              <w:pStyle w:val="52"/>
              <w:spacing w:line="274" w:lineRule="exact"/>
              <w:ind w:left="420"/>
              <w:jc w:val="center"/>
              <w:rPr>
                <w:rFonts w:ascii="Times New Roman" w:hAnsi="Times New Roman" w:eastAsia="等线"/>
                <w:sz w:val="18"/>
                <w:szCs w:val="18"/>
                <w:lang w:eastAsia="zh-CN"/>
              </w:rPr>
            </w:pPr>
            <w:r>
              <w:rPr>
                <w:rFonts w:ascii="Times New Roman" w:hAnsi="Times New Roman" w:eastAsia="等线"/>
                <w:sz w:val="18"/>
                <w:szCs w:val="18"/>
              </w:rPr>
              <w:t>□编制</w:t>
            </w:r>
            <w:r>
              <w:rPr>
                <w:rFonts w:ascii="Segoe UI Symbol" w:hAnsi="Segoe UI Symbol" w:eastAsia="等线" w:cs="Segoe UI Symbol"/>
                <w:sz w:val="18"/>
                <w:szCs w:val="18"/>
              </w:rPr>
              <w:t>☑</w:t>
            </w:r>
            <w:r>
              <w:rPr>
                <w:rFonts w:ascii="Times New Roman" w:hAnsi="Times New Roman" w:eastAsia="等线"/>
                <w:sz w:val="18"/>
                <w:szCs w:val="18"/>
              </w:rPr>
              <w:t>审核□调整</w:t>
            </w:r>
          </w:p>
        </w:tc>
        <w:tc>
          <w:tcPr>
            <w:tcW w:w="1276" w:type="dxa"/>
            <w:noWrap w:val="0"/>
            <w:vAlign w:val="center"/>
          </w:tcPr>
          <w:p>
            <w:pPr>
              <w:pStyle w:val="52"/>
              <w:spacing w:line="274" w:lineRule="exact"/>
              <w:ind w:left="420"/>
              <w:jc w:val="center"/>
              <w:rPr>
                <w:rFonts w:ascii="Times New Roman" w:hAnsi="Times New Roman" w:eastAsia="等线"/>
                <w:sz w:val="18"/>
                <w:szCs w:val="18"/>
                <w:lang w:eastAsia="zh-CN"/>
              </w:rPr>
            </w:pPr>
          </w:p>
        </w:tc>
        <w:tc>
          <w:tcPr>
            <w:tcW w:w="4253" w:type="dxa"/>
            <w:noWrap w:val="0"/>
            <w:vAlign w:val="center"/>
          </w:tcPr>
          <w:p>
            <w:pPr>
              <w:jc w:val="center"/>
              <w:rPr>
                <w:rFonts w:ascii="Times New Roman" w:hAnsi="Times New Roman" w:eastAsia="等线"/>
                <w:kern w:val="0"/>
                <w:sz w:val="18"/>
                <w:szCs w:val="18"/>
              </w:rPr>
            </w:pPr>
          </w:p>
        </w:tc>
        <w:tc>
          <w:tcPr>
            <w:tcW w:w="2126" w:type="dxa"/>
            <w:noWrap w:val="0"/>
            <w:vAlign w:val="center"/>
          </w:tcPr>
          <w:p>
            <w:pPr>
              <w:jc w:val="center"/>
              <w:rPr>
                <w:rFonts w:ascii="Times New Roman" w:hAnsi="Times New Roman" w:eastAsia="等线"/>
                <w:kern w:val="0"/>
                <w:sz w:val="18"/>
                <w:szCs w:val="18"/>
              </w:rPr>
            </w:pPr>
          </w:p>
        </w:tc>
        <w:tc>
          <w:tcPr>
            <w:tcW w:w="709" w:type="dxa"/>
            <w:noWrap w:val="0"/>
            <w:vAlign w:val="center"/>
          </w:tcPr>
          <w:p>
            <w:pPr>
              <w:jc w:val="center"/>
              <w:rPr>
                <w:rFonts w:ascii="Times New Roman" w:hAnsi="Times New Roman" w:eastAsia="等线"/>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exact"/>
        </w:trPr>
        <w:tc>
          <w:tcPr>
            <w:tcW w:w="1281" w:type="dxa"/>
            <w:noWrap w:val="0"/>
            <w:vAlign w:val="center"/>
          </w:tcPr>
          <w:p>
            <w:pPr>
              <w:pStyle w:val="52"/>
              <w:spacing w:line="276" w:lineRule="exact"/>
              <w:ind w:firstLine="360" w:firstLineChars="200"/>
              <w:rPr>
                <w:rFonts w:ascii="Times New Roman" w:hAnsi="Times New Roman" w:eastAsia="等线"/>
                <w:sz w:val="18"/>
                <w:szCs w:val="18"/>
                <w:lang w:eastAsia="zh-CN"/>
              </w:rPr>
            </w:pPr>
            <w:r>
              <w:rPr>
                <w:rFonts w:ascii="Times New Roman" w:hAnsi="Times New Roman" w:eastAsia="等线"/>
                <w:sz w:val="18"/>
                <w:szCs w:val="18"/>
                <w:lang w:eastAsia="zh-CN"/>
              </w:rPr>
              <w:t>竣工决算</w:t>
            </w:r>
          </w:p>
        </w:tc>
        <w:tc>
          <w:tcPr>
            <w:tcW w:w="2410" w:type="dxa"/>
            <w:noWrap w:val="0"/>
            <w:vAlign w:val="center"/>
          </w:tcPr>
          <w:p>
            <w:pPr>
              <w:pStyle w:val="52"/>
              <w:jc w:val="center"/>
              <w:rPr>
                <w:rFonts w:ascii="Times New Roman" w:hAnsi="Times New Roman" w:eastAsia="等线"/>
                <w:sz w:val="18"/>
                <w:szCs w:val="18"/>
                <w:lang w:eastAsia="zh-CN"/>
              </w:rPr>
            </w:pPr>
            <w:r>
              <w:rPr>
                <w:rFonts w:ascii="Times New Roman" w:hAnsi="Times New Roman" w:eastAsia="等线"/>
                <w:sz w:val="18"/>
                <w:szCs w:val="18"/>
                <w:lang w:eastAsia="zh-CN"/>
              </w:rPr>
              <w:t>竣工决算</w:t>
            </w:r>
          </w:p>
        </w:tc>
        <w:tc>
          <w:tcPr>
            <w:tcW w:w="2551" w:type="dxa"/>
            <w:noWrap w:val="0"/>
            <w:vAlign w:val="center"/>
          </w:tcPr>
          <w:p>
            <w:pPr>
              <w:pStyle w:val="52"/>
              <w:spacing w:line="274" w:lineRule="exact"/>
              <w:ind w:left="420"/>
              <w:jc w:val="center"/>
              <w:rPr>
                <w:rFonts w:ascii="Times New Roman" w:hAnsi="Times New Roman" w:eastAsia="等线"/>
                <w:sz w:val="18"/>
                <w:szCs w:val="18"/>
                <w:lang w:eastAsia="zh-CN"/>
              </w:rPr>
            </w:pPr>
          </w:p>
        </w:tc>
        <w:tc>
          <w:tcPr>
            <w:tcW w:w="1276" w:type="dxa"/>
            <w:noWrap w:val="0"/>
            <w:vAlign w:val="center"/>
          </w:tcPr>
          <w:p>
            <w:pPr>
              <w:pStyle w:val="52"/>
              <w:spacing w:line="274" w:lineRule="exact"/>
              <w:ind w:left="420"/>
              <w:jc w:val="center"/>
              <w:rPr>
                <w:rFonts w:ascii="Times New Roman" w:hAnsi="Times New Roman" w:eastAsia="等线"/>
                <w:sz w:val="18"/>
                <w:szCs w:val="18"/>
                <w:lang w:eastAsia="zh-CN"/>
              </w:rPr>
            </w:pPr>
          </w:p>
        </w:tc>
        <w:tc>
          <w:tcPr>
            <w:tcW w:w="4253" w:type="dxa"/>
            <w:noWrap w:val="0"/>
            <w:vAlign w:val="center"/>
          </w:tcPr>
          <w:p>
            <w:pPr>
              <w:jc w:val="center"/>
              <w:rPr>
                <w:rFonts w:ascii="Times New Roman" w:hAnsi="Times New Roman" w:eastAsia="等线"/>
                <w:kern w:val="0"/>
                <w:sz w:val="18"/>
                <w:szCs w:val="18"/>
              </w:rPr>
            </w:pPr>
          </w:p>
        </w:tc>
        <w:tc>
          <w:tcPr>
            <w:tcW w:w="2126" w:type="dxa"/>
            <w:noWrap w:val="0"/>
            <w:vAlign w:val="center"/>
          </w:tcPr>
          <w:p>
            <w:pPr>
              <w:jc w:val="center"/>
              <w:rPr>
                <w:rFonts w:ascii="Times New Roman" w:hAnsi="Times New Roman" w:eastAsia="等线"/>
                <w:kern w:val="0"/>
                <w:sz w:val="18"/>
                <w:szCs w:val="18"/>
              </w:rPr>
            </w:pPr>
          </w:p>
        </w:tc>
        <w:tc>
          <w:tcPr>
            <w:tcW w:w="709" w:type="dxa"/>
            <w:noWrap w:val="0"/>
            <w:vAlign w:val="center"/>
          </w:tcPr>
          <w:p>
            <w:pPr>
              <w:jc w:val="center"/>
              <w:rPr>
                <w:rFonts w:ascii="Times New Roman" w:hAnsi="Times New Roman" w:eastAsia="等线"/>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exact"/>
        </w:trPr>
        <w:tc>
          <w:tcPr>
            <w:tcW w:w="1281" w:type="dxa"/>
            <w:noWrap w:val="0"/>
            <w:vAlign w:val="center"/>
          </w:tcPr>
          <w:p>
            <w:pPr>
              <w:pStyle w:val="52"/>
              <w:spacing w:line="276" w:lineRule="exact"/>
              <w:jc w:val="center"/>
              <w:rPr>
                <w:rFonts w:ascii="Times New Roman" w:hAnsi="Times New Roman" w:eastAsia="等线"/>
                <w:sz w:val="18"/>
                <w:szCs w:val="18"/>
              </w:rPr>
            </w:pPr>
            <w:r>
              <w:rPr>
                <w:rFonts w:ascii="Times New Roman" w:hAnsi="Times New Roman" w:eastAsia="等线"/>
                <w:sz w:val="18"/>
                <w:szCs w:val="18"/>
              </w:rPr>
              <w:t>其他服务</w:t>
            </w:r>
          </w:p>
        </w:tc>
        <w:tc>
          <w:tcPr>
            <w:tcW w:w="2410" w:type="dxa"/>
            <w:noWrap w:val="0"/>
            <w:vAlign w:val="center"/>
          </w:tcPr>
          <w:p>
            <w:pPr>
              <w:pStyle w:val="52"/>
              <w:jc w:val="center"/>
              <w:rPr>
                <w:rFonts w:ascii="Times New Roman" w:hAnsi="Times New Roman" w:eastAsia="等线"/>
                <w:sz w:val="18"/>
                <w:szCs w:val="18"/>
              </w:rPr>
            </w:pPr>
            <w:r>
              <w:rPr>
                <w:rFonts w:ascii="Times New Roman" w:hAnsi="Times New Roman" w:eastAsia="等线"/>
                <w:sz w:val="18"/>
                <w:szCs w:val="18"/>
              </w:rPr>
              <w:t>工程造价鉴定</w:t>
            </w:r>
          </w:p>
        </w:tc>
        <w:tc>
          <w:tcPr>
            <w:tcW w:w="2551" w:type="dxa"/>
            <w:noWrap w:val="0"/>
            <w:vAlign w:val="center"/>
          </w:tcPr>
          <w:p>
            <w:pPr>
              <w:pStyle w:val="52"/>
              <w:spacing w:line="274" w:lineRule="exact"/>
              <w:ind w:left="420"/>
              <w:jc w:val="center"/>
              <w:rPr>
                <w:rFonts w:ascii="Times New Roman" w:hAnsi="Times New Roman" w:eastAsia="等线"/>
                <w:sz w:val="18"/>
                <w:szCs w:val="18"/>
              </w:rPr>
            </w:pPr>
          </w:p>
        </w:tc>
        <w:tc>
          <w:tcPr>
            <w:tcW w:w="1276" w:type="dxa"/>
            <w:noWrap w:val="0"/>
            <w:vAlign w:val="center"/>
          </w:tcPr>
          <w:p>
            <w:pPr>
              <w:pStyle w:val="52"/>
              <w:spacing w:line="274" w:lineRule="exact"/>
              <w:ind w:left="420"/>
              <w:jc w:val="center"/>
              <w:rPr>
                <w:rFonts w:ascii="Times New Roman" w:hAnsi="Times New Roman" w:eastAsia="等线"/>
                <w:sz w:val="18"/>
                <w:szCs w:val="18"/>
              </w:rPr>
            </w:pPr>
          </w:p>
        </w:tc>
        <w:tc>
          <w:tcPr>
            <w:tcW w:w="4253" w:type="dxa"/>
            <w:noWrap w:val="0"/>
            <w:vAlign w:val="center"/>
          </w:tcPr>
          <w:p>
            <w:pPr>
              <w:jc w:val="center"/>
              <w:rPr>
                <w:rFonts w:ascii="Times New Roman" w:hAnsi="Times New Roman" w:eastAsia="等线"/>
                <w:kern w:val="0"/>
                <w:sz w:val="18"/>
                <w:szCs w:val="18"/>
                <w:lang w:eastAsia="en-US"/>
              </w:rPr>
            </w:pPr>
          </w:p>
        </w:tc>
        <w:tc>
          <w:tcPr>
            <w:tcW w:w="2126" w:type="dxa"/>
            <w:noWrap w:val="0"/>
            <w:vAlign w:val="center"/>
          </w:tcPr>
          <w:p>
            <w:pPr>
              <w:jc w:val="center"/>
              <w:rPr>
                <w:rFonts w:ascii="Times New Roman" w:hAnsi="Times New Roman" w:eastAsia="等线"/>
                <w:kern w:val="0"/>
                <w:sz w:val="18"/>
                <w:szCs w:val="18"/>
                <w:lang w:eastAsia="en-US"/>
              </w:rPr>
            </w:pPr>
          </w:p>
        </w:tc>
        <w:tc>
          <w:tcPr>
            <w:tcW w:w="709" w:type="dxa"/>
            <w:noWrap w:val="0"/>
            <w:vAlign w:val="center"/>
          </w:tcPr>
          <w:p>
            <w:pPr>
              <w:jc w:val="center"/>
              <w:rPr>
                <w:rFonts w:ascii="Times New Roman" w:hAnsi="Times New Roman" w:eastAsia="等线"/>
                <w:kern w:val="0"/>
                <w:sz w:val="18"/>
                <w:szCs w:val="18"/>
                <w:lang w:eastAsia="en-US"/>
              </w:rPr>
            </w:pPr>
          </w:p>
        </w:tc>
      </w:tr>
    </w:tbl>
    <w:p>
      <w:pPr>
        <w:rPr>
          <w:rFonts w:ascii="Times New Roman" w:hAnsi="Times New Roman"/>
        </w:rPr>
      </w:pPr>
      <w:r>
        <w:rPr>
          <w:rFonts w:ascii="Times New Roman" w:hAnsi="Times New Roman"/>
        </w:rPr>
        <w:t>注：服务范围及工作内容未涉及的可在“其他”项中列明。</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11"/>
        <w:spacing w:line="340" w:lineRule="exact"/>
        <w:ind w:left="12"/>
        <w:jc w:val="center"/>
        <w:outlineLvl w:val="0"/>
        <w:rPr>
          <w:rFonts w:ascii="Times New Roman" w:hAnsi="Times New Roman"/>
        </w:rPr>
      </w:pPr>
      <w:bookmarkStart w:id="378" w:name="_Toc146588405"/>
      <w:bookmarkStart w:id="379" w:name="_Toc435691817"/>
      <w:r>
        <w:rPr>
          <w:rFonts w:ascii="Times New Roman" w:hAnsi="Times New Roman"/>
        </w:rPr>
        <w:t>附录B咨</w:t>
      </w:r>
      <w:r>
        <w:rPr>
          <w:rFonts w:ascii="Times New Roman" w:hAnsi="Times New Roman"/>
          <w:spacing w:val="2"/>
        </w:rPr>
        <w:t>询</w:t>
      </w:r>
      <w:r>
        <w:rPr>
          <w:rFonts w:ascii="Times New Roman" w:hAnsi="Times New Roman"/>
        </w:rPr>
        <w:t>人</w:t>
      </w:r>
      <w:r>
        <w:rPr>
          <w:rFonts w:ascii="Times New Roman" w:hAnsi="Times New Roman"/>
          <w:spacing w:val="2"/>
        </w:rPr>
        <w:t>提</w:t>
      </w:r>
      <w:r>
        <w:rPr>
          <w:rFonts w:ascii="Times New Roman" w:hAnsi="Times New Roman"/>
        </w:rPr>
        <w:t>交成</w:t>
      </w:r>
      <w:r>
        <w:rPr>
          <w:rFonts w:ascii="Times New Roman" w:hAnsi="Times New Roman"/>
          <w:spacing w:val="2"/>
        </w:rPr>
        <w:t>果</w:t>
      </w:r>
      <w:r>
        <w:rPr>
          <w:rFonts w:ascii="Times New Roman" w:hAnsi="Times New Roman"/>
        </w:rPr>
        <w:t>文</w:t>
      </w:r>
      <w:r>
        <w:rPr>
          <w:rFonts w:ascii="Times New Roman" w:hAnsi="Times New Roman"/>
          <w:spacing w:val="2"/>
        </w:rPr>
        <w:t>件</w:t>
      </w:r>
      <w:r>
        <w:rPr>
          <w:rFonts w:ascii="Times New Roman" w:hAnsi="Times New Roman"/>
        </w:rPr>
        <w:t>一览表</w:t>
      </w:r>
      <w:bookmarkEnd w:id="378"/>
      <w:bookmarkEnd w:id="379"/>
    </w:p>
    <w:p>
      <w:pPr>
        <w:spacing w:line="200" w:lineRule="exact"/>
        <w:rPr>
          <w:rFonts w:ascii="Times New Roman" w:hAnsi="Times New Roman"/>
          <w:sz w:val="20"/>
          <w:szCs w:val="20"/>
        </w:rPr>
      </w:pPr>
    </w:p>
    <w:p>
      <w:pPr>
        <w:spacing w:before="13" w:line="260" w:lineRule="exact"/>
        <w:rPr>
          <w:rFonts w:ascii="Times New Roman" w:hAnsi="Times New Roman"/>
          <w:sz w:val="26"/>
          <w:szCs w:val="26"/>
        </w:rPr>
      </w:pPr>
    </w:p>
    <w:tbl>
      <w:tblPr>
        <w:tblStyle w:val="24"/>
        <w:tblW w:w="5000" w:type="pct"/>
        <w:jc w:val="center"/>
        <w:tblLayout w:type="autofit"/>
        <w:tblCellMar>
          <w:top w:w="0" w:type="dxa"/>
          <w:left w:w="0" w:type="dxa"/>
          <w:bottom w:w="0" w:type="dxa"/>
          <w:right w:w="0" w:type="dxa"/>
        </w:tblCellMar>
      </w:tblPr>
      <w:tblGrid>
        <w:gridCol w:w="1857"/>
        <w:gridCol w:w="3691"/>
        <w:gridCol w:w="2818"/>
        <w:gridCol w:w="1843"/>
        <w:gridCol w:w="1334"/>
        <w:gridCol w:w="3151"/>
      </w:tblGrid>
      <w:tr>
        <w:tblPrEx>
          <w:tblCellMar>
            <w:top w:w="0" w:type="dxa"/>
            <w:left w:w="0" w:type="dxa"/>
            <w:bottom w:w="0" w:type="dxa"/>
            <w:right w:w="0" w:type="dxa"/>
          </w:tblCellMar>
        </w:tblPrEx>
        <w:trPr>
          <w:trHeight w:val="454" w:hRule="exact"/>
          <w:jc w:val="center"/>
        </w:trPr>
        <w:tc>
          <w:tcPr>
            <w:tcW w:w="632" w:type="pct"/>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ascii="Times New Roman" w:hAnsi="Times New Roman"/>
                <w:sz w:val="20"/>
                <w:szCs w:val="20"/>
              </w:rPr>
            </w:pPr>
            <w:r>
              <w:rPr>
                <w:rFonts w:ascii="Times New Roman" w:hAnsi="Times New Roman"/>
                <w:sz w:val="20"/>
                <w:szCs w:val="20"/>
              </w:rPr>
              <w:t>服务阶段</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ascii="Times New Roman" w:hAnsi="Times New Roman"/>
                <w:sz w:val="20"/>
                <w:szCs w:val="20"/>
              </w:rPr>
            </w:pPr>
            <w:r>
              <w:rPr>
                <w:rFonts w:ascii="Times New Roman" w:hAnsi="Times New Roman"/>
                <w:sz w:val="20"/>
                <w:szCs w:val="20"/>
              </w:rPr>
              <w:t>成果文件名称</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ascii="Times New Roman" w:hAnsi="Times New Roman"/>
                <w:sz w:val="20"/>
                <w:szCs w:val="20"/>
              </w:rPr>
            </w:pPr>
            <w:r>
              <w:rPr>
                <w:rFonts w:ascii="Times New Roman" w:hAnsi="Times New Roman"/>
                <w:sz w:val="20"/>
                <w:szCs w:val="20"/>
              </w:rPr>
              <w:t>成果文件组成</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ascii="Times New Roman" w:hAnsi="Times New Roman"/>
                <w:sz w:val="20"/>
                <w:szCs w:val="20"/>
              </w:rPr>
            </w:pPr>
            <w:r>
              <w:rPr>
                <w:rFonts w:ascii="Times New Roman" w:hAnsi="Times New Roman"/>
                <w:sz w:val="20"/>
                <w:szCs w:val="20"/>
              </w:rPr>
              <w:t>提交时间</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ascii="Times New Roman" w:hAnsi="Times New Roman"/>
                <w:sz w:val="20"/>
                <w:szCs w:val="20"/>
              </w:rPr>
            </w:pPr>
            <w:r>
              <w:rPr>
                <w:rFonts w:ascii="Times New Roman" w:hAnsi="Times New Roman"/>
                <w:sz w:val="20"/>
                <w:szCs w:val="20"/>
              </w:rPr>
              <w:t>份数</w:t>
            </w:r>
          </w:p>
        </w:tc>
        <w:tc>
          <w:tcPr>
            <w:tcW w:w="1072" w:type="pct"/>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ascii="Times New Roman" w:hAnsi="Times New Roman"/>
                <w:sz w:val="20"/>
                <w:szCs w:val="20"/>
              </w:rPr>
            </w:pPr>
            <w:r>
              <w:rPr>
                <w:rFonts w:ascii="Times New Roman" w:hAnsi="Times New Roman"/>
                <w:sz w:val="20"/>
                <w:szCs w:val="20"/>
              </w:rPr>
              <w:t>质量标准</w:t>
            </w:r>
          </w:p>
        </w:tc>
      </w:tr>
      <w:tr>
        <w:tblPrEx>
          <w:tblCellMar>
            <w:top w:w="0" w:type="dxa"/>
            <w:left w:w="0" w:type="dxa"/>
            <w:bottom w:w="0" w:type="dxa"/>
            <w:right w:w="0" w:type="dxa"/>
          </w:tblCellMar>
        </w:tblPrEx>
        <w:trPr>
          <w:trHeight w:val="454" w:hRule="exact"/>
          <w:jc w:val="center"/>
        </w:trPr>
        <w:tc>
          <w:tcPr>
            <w:tcW w:w="632" w:type="pct"/>
            <w:vMerge w:val="restart"/>
            <w:tcBorders>
              <w:top w:val="single" w:color="000000" w:sz="4" w:space="0"/>
              <w:left w:val="single" w:color="000000" w:sz="4" w:space="0"/>
              <w:right w:val="single" w:color="000000" w:sz="4" w:space="0"/>
            </w:tcBorders>
            <w:noWrap w:val="0"/>
            <w:vAlign w:val="top"/>
          </w:tcPr>
          <w:p>
            <w:pPr>
              <w:pStyle w:val="52"/>
              <w:spacing w:before="3" w:line="160" w:lineRule="exact"/>
              <w:rPr>
                <w:rFonts w:ascii="Times New Roman" w:hAnsi="Times New Roman"/>
                <w:sz w:val="16"/>
                <w:szCs w:val="16"/>
              </w:rPr>
            </w:pPr>
          </w:p>
          <w:p>
            <w:pPr>
              <w:pStyle w:val="52"/>
              <w:spacing w:line="200" w:lineRule="exact"/>
              <w:rPr>
                <w:rFonts w:ascii="Times New Roman" w:hAnsi="Times New Roman"/>
                <w:sz w:val="20"/>
                <w:szCs w:val="20"/>
              </w:rPr>
            </w:pPr>
          </w:p>
          <w:p>
            <w:pPr>
              <w:pStyle w:val="52"/>
              <w:ind w:left="420"/>
              <w:rPr>
                <w:rFonts w:ascii="Times New Roman" w:hAnsi="Times New Roman"/>
                <w:sz w:val="24"/>
                <w:szCs w:val="24"/>
              </w:rPr>
            </w:pPr>
            <w:r>
              <w:rPr>
                <w:rFonts w:ascii="Times New Roman" w:hAnsi="Times New Roman"/>
                <w:sz w:val="24"/>
                <w:szCs w:val="24"/>
              </w:rPr>
              <w:t>决策阶段</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54" w:hRule="exact"/>
          <w:jc w:val="center"/>
        </w:trPr>
        <w:tc>
          <w:tcPr>
            <w:tcW w:w="632" w:type="pct"/>
            <w:vMerge w:val="continue"/>
            <w:tcBorders>
              <w:left w:val="single" w:color="000000" w:sz="4" w:space="0"/>
              <w:right w:val="single" w:color="000000" w:sz="4" w:space="0"/>
            </w:tcBorders>
            <w:noWrap w:val="0"/>
            <w:vAlign w:val="top"/>
          </w:tcPr>
          <w:p>
            <w:pPr>
              <w:rPr>
                <w:rFonts w:ascii="Times New Roman" w:hAnsi="Times New Roman"/>
                <w:kern w:val="0"/>
                <w:sz w:val="22"/>
                <w:lang w:eastAsia="en-US"/>
              </w:rPr>
            </w:pP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54" w:hRule="exact"/>
          <w:jc w:val="center"/>
        </w:trPr>
        <w:tc>
          <w:tcPr>
            <w:tcW w:w="632" w:type="pct"/>
            <w:vMerge w:val="continue"/>
            <w:tcBorders>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54" w:hRule="exact"/>
          <w:jc w:val="center"/>
        </w:trPr>
        <w:tc>
          <w:tcPr>
            <w:tcW w:w="632" w:type="pct"/>
            <w:vMerge w:val="restart"/>
            <w:tcBorders>
              <w:top w:val="single" w:color="000000" w:sz="4" w:space="0"/>
              <w:left w:val="single" w:color="000000" w:sz="4" w:space="0"/>
              <w:right w:val="single" w:color="000000" w:sz="4" w:space="0"/>
            </w:tcBorders>
            <w:noWrap w:val="0"/>
            <w:vAlign w:val="top"/>
          </w:tcPr>
          <w:p>
            <w:pPr>
              <w:pStyle w:val="52"/>
              <w:spacing w:before="4" w:line="160" w:lineRule="exact"/>
              <w:rPr>
                <w:rFonts w:ascii="Times New Roman" w:hAnsi="Times New Roman"/>
                <w:sz w:val="16"/>
                <w:szCs w:val="16"/>
              </w:rPr>
            </w:pPr>
          </w:p>
          <w:p>
            <w:pPr>
              <w:pStyle w:val="52"/>
              <w:spacing w:line="200" w:lineRule="exact"/>
              <w:rPr>
                <w:rFonts w:ascii="Times New Roman" w:hAnsi="Times New Roman"/>
                <w:sz w:val="20"/>
                <w:szCs w:val="20"/>
              </w:rPr>
            </w:pPr>
          </w:p>
          <w:p>
            <w:pPr>
              <w:pStyle w:val="52"/>
              <w:ind w:left="420"/>
              <w:rPr>
                <w:rFonts w:ascii="Times New Roman" w:hAnsi="Times New Roman"/>
                <w:sz w:val="24"/>
                <w:szCs w:val="24"/>
              </w:rPr>
            </w:pPr>
            <w:r>
              <w:rPr>
                <w:rFonts w:ascii="Times New Roman" w:hAnsi="Times New Roman"/>
                <w:sz w:val="24"/>
                <w:szCs w:val="24"/>
              </w:rPr>
              <w:t>设计阶段</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54" w:hRule="exact"/>
          <w:jc w:val="center"/>
        </w:trPr>
        <w:tc>
          <w:tcPr>
            <w:tcW w:w="632" w:type="pct"/>
            <w:vMerge w:val="continue"/>
            <w:tcBorders>
              <w:left w:val="single" w:color="000000" w:sz="4" w:space="0"/>
              <w:right w:val="single" w:color="000000" w:sz="4" w:space="0"/>
            </w:tcBorders>
            <w:noWrap w:val="0"/>
            <w:vAlign w:val="top"/>
          </w:tcPr>
          <w:p>
            <w:pPr>
              <w:rPr>
                <w:rFonts w:ascii="Times New Roman" w:hAnsi="Times New Roman"/>
                <w:kern w:val="0"/>
                <w:sz w:val="22"/>
                <w:lang w:eastAsia="en-US"/>
              </w:rPr>
            </w:pP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54" w:hRule="exact"/>
          <w:jc w:val="center"/>
        </w:trPr>
        <w:tc>
          <w:tcPr>
            <w:tcW w:w="632" w:type="pct"/>
            <w:vMerge w:val="continue"/>
            <w:tcBorders>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54" w:hRule="exact"/>
          <w:jc w:val="center"/>
        </w:trPr>
        <w:tc>
          <w:tcPr>
            <w:tcW w:w="632" w:type="pct"/>
            <w:vMerge w:val="restart"/>
            <w:tcBorders>
              <w:top w:val="single" w:color="000000" w:sz="4" w:space="0"/>
              <w:left w:val="single" w:color="000000" w:sz="4" w:space="0"/>
              <w:right w:val="single" w:color="000000" w:sz="4" w:space="0"/>
            </w:tcBorders>
            <w:noWrap w:val="0"/>
            <w:vAlign w:val="top"/>
          </w:tcPr>
          <w:p>
            <w:pPr>
              <w:pStyle w:val="52"/>
              <w:spacing w:before="3" w:line="160" w:lineRule="exact"/>
              <w:rPr>
                <w:rFonts w:ascii="Times New Roman" w:hAnsi="Times New Roman"/>
                <w:sz w:val="16"/>
                <w:szCs w:val="16"/>
              </w:rPr>
            </w:pPr>
          </w:p>
          <w:p>
            <w:pPr>
              <w:pStyle w:val="52"/>
              <w:spacing w:line="200" w:lineRule="exact"/>
              <w:rPr>
                <w:rFonts w:ascii="Times New Roman" w:hAnsi="Times New Roman"/>
                <w:sz w:val="20"/>
                <w:szCs w:val="20"/>
              </w:rPr>
            </w:pPr>
          </w:p>
          <w:p>
            <w:pPr>
              <w:pStyle w:val="52"/>
              <w:ind w:left="420"/>
              <w:rPr>
                <w:rFonts w:ascii="Times New Roman" w:hAnsi="Times New Roman"/>
                <w:sz w:val="24"/>
                <w:szCs w:val="24"/>
              </w:rPr>
            </w:pPr>
            <w:r>
              <w:rPr>
                <w:rFonts w:ascii="Times New Roman" w:hAnsi="Times New Roman"/>
                <w:sz w:val="24"/>
                <w:szCs w:val="24"/>
              </w:rPr>
              <w:t>发承包阶段</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r>
      <w:tr>
        <w:tblPrEx>
          <w:tblCellMar>
            <w:top w:w="0" w:type="dxa"/>
            <w:left w:w="0" w:type="dxa"/>
            <w:bottom w:w="0" w:type="dxa"/>
            <w:right w:w="0" w:type="dxa"/>
          </w:tblCellMar>
        </w:tblPrEx>
        <w:trPr>
          <w:trHeight w:val="454" w:hRule="exact"/>
          <w:jc w:val="center"/>
        </w:trPr>
        <w:tc>
          <w:tcPr>
            <w:tcW w:w="632" w:type="pct"/>
            <w:vMerge w:val="continue"/>
            <w:tcBorders>
              <w:left w:val="single" w:color="000000" w:sz="4" w:space="0"/>
              <w:right w:val="single" w:color="000000" w:sz="4" w:space="0"/>
            </w:tcBorders>
            <w:noWrap w:val="0"/>
            <w:vAlign w:val="top"/>
          </w:tcPr>
          <w:p>
            <w:pPr>
              <w:rPr>
                <w:rFonts w:ascii="Times New Roman" w:hAnsi="Times New Roman"/>
                <w:kern w:val="0"/>
                <w:sz w:val="22"/>
                <w:lang w:eastAsia="en-US"/>
              </w:rPr>
            </w:pP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r>
      <w:tr>
        <w:tblPrEx>
          <w:tblCellMar>
            <w:top w:w="0" w:type="dxa"/>
            <w:left w:w="0" w:type="dxa"/>
            <w:bottom w:w="0" w:type="dxa"/>
            <w:right w:w="0" w:type="dxa"/>
          </w:tblCellMar>
        </w:tblPrEx>
        <w:trPr>
          <w:trHeight w:val="454" w:hRule="exact"/>
          <w:jc w:val="center"/>
        </w:trPr>
        <w:tc>
          <w:tcPr>
            <w:tcW w:w="632" w:type="pct"/>
            <w:vMerge w:val="continue"/>
            <w:tcBorders>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r>
      <w:tr>
        <w:tblPrEx>
          <w:tblCellMar>
            <w:top w:w="0" w:type="dxa"/>
            <w:left w:w="0" w:type="dxa"/>
            <w:bottom w:w="0" w:type="dxa"/>
            <w:right w:w="0" w:type="dxa"/>
          </w:tblCellMar>
        </w:tblPrEx>
        <w:trPr>
          <w:trHeight w:val="454" w:hRule="exact"/>
          <w:jc w:val="center"/>
        </w:trPr>
        <w:tc>
          <w:tcPr>
            <w:tcW w:w="632" w:type="pct"/>
            <w:vMerge w:val="restart"/>
            <w:tcBorders>
              <w:top w:val="single" w:color="000000" w:sz="4" w:space="0"/>
              <w:left w:val="single" w:color="000000" w:sz="4" w:space="0"/>
              <w:right w:val="single" w:color="000000" w:sz="4" w:space="0"/>
            </w:tcBorders>
            <w:noWrap w:val="0"/>
            <w:vAlign w:val="top"/>
          </w:tcPr>
          <w:p>
            <w:pPr>
              <w:pStyle w:val="52"/>
              <w:spacing w:before="4" w:line="160" w:lineRule="exact"/>
              <w:rPr>
                <w:rFonts w:ascii="Times New Roman" w:hAnsi="Times New Roman"/>
                <w:sz w:val="16"/>
                <w:szCs w:val="16"/>
              </w:rPr>
            </w:pPr>
          </w:p>
          <w:p>
            <w:pPr>
              <w:pStyle w:val="52"/>
              <w:spacing w:line="200" w:lineRule="exact"/>
              <w:rPr>
                <w:rFonts w:ascii="Times New Roman" w:hAnsi="Times New Roman"/>
                <w:sz w:val="20"/>
                <w:szCs w:val="20"/>
              </w:rPr>
            </w:pPr>
          </w:p>
          <w:p>
            <w:pPr>
              <w:pStyle w:val="52"/>
              <w:ind w:left="420"/>
              <w:rPr>
                <w:rFonts w:ascii="Times New Roman" w:hAnsi="Times New Roman"/>
                <w:sz w:val="24"/>
                <w:szCs w:val="24"/>
              </w:rPr>
            </w:pPr>
            <w:r>
              <w:rPr>
                <w:rFonts w:ascii="Times New Roman" w:hAnsi="Times New Roman"/>
                <w:sz w:val="24"/>
                <w:szCs w:val="24"/>
              </w:rPr>
              <w:t>实施阶段</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rPr>
            </w:pPr>
          </w:p>
        </w:tc>
      </w:tr>
      <w:tr>
        <w:tblPrEx>
          <w:tblCellMar>
            <w:top w:w="0" w:type="dxa"/>
            <w:left w:w="0" w:type="dxa"/>
            <w:bottom w:w="0" w:type="dxa"/>
            <w:right w:w="0" w:type="dxa"/>
          </w:tblCellMar>
        </w:tblPrEx>
        <w:trPr>
          <w:trHeight w:val="454" w:hRule="exact"/>
          <w:jc w:val="center"/>
        </w:trPr>
        <w:tc>
          <w:tcPr>
            <w:tcW w:w="632" w:type="pct"/>
            <w:vMerge w:val="continue"/>
            <w:tcBorders>
              <w:left w:val="single" w:color="000000" w:sz="4" w:space="0"/>
              <w:right w:val="single" w:color="000000" w:sz="4" w:space="0"/>
            </w:tcBorders>
            <w:noWrap w:val="0"/>
            <w:vAlign w:val="top"/>
          </w:tcPr>
          <w:p>
            <w:pPr>
              <w:rPr>
                <w:rFonts w:ascii="Times New Roman" w:hAnsi="Times New Roman"/>
                <w:kern w:val="0"/>
                <w:sz w:val="22"/>
              </w:rPr>
            </w:pP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r>
      <w:tr>
        <w:tblPrEx>
          <w:tblCellMar>
            <w:top w:w="0" w:type="dxa"/>
            <w:left w:w="0" w:type="dxa"/>
            <w:bottom w:w="0" w:type="dxa"/>
            <w:right w:w="0" w:type="dxa"/>
          </w:tblCellMar>
        </w:tblPrEx>
        <w:trPr>
          <w:trHeight w:val="454" w:hRule="exact"/>
          <w:jc w:val="center"/>
        </w:trPr>
        <w:tc>
          <w:tcPr>
            <w:tcW w:w="632" w:type="pct"/>
            <w:vMerge w:val="continue"/>
            <w:tcBorders>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r>
      <w:tr>
        <w:tblPrEx>
          <w:tblCellMar>
            <w:top w:w="0" w:type="dxa"/>
            <w:left w:w="0" w:type="dxa"/>
            <w:bottom w:w="0" w:type="dxa"/>
            <w:right w:w="0" w:type="dxa"/>
          </w:tblCellMar>
        </w:tblPrEx>
        <w:trPr>
          <w:trHeight w:val="454" w:hRule="exact"/>
          <w:jc w:val="center"/>
        </w:trPr>
        <w:tc>
          <w:tcPr>
            <w:tcW w:w="632" w:type="pct"/>
            <w:vMerge w:val="restart"/>
            <w:tcBorders>
              <w:top w:val="single" w:color="000000" w:sz="4" w:space="0"/>
              <w:left w:val="single" w:color="000000" w:sz="4" w:space="0"/>
              <w:right w:val="single" w:color="000000" w:sz="4" w:space="0"/>
            </w:tcBorders>
            <w:noWrap w:val="0"/>
            <w:vAlign w:val="top"/>
          </w:tcPr>
          <w:p>
            <w:pPr>
              <w:pStyle w:val="52"/>
              <w:spacing w:before="3" w:line="160" w:lineRule="exact"/>
              <w:rPr>
                <w:rFonts w:ascii="Times New Roman" w:hAnsi="Times New Roman"/>
                <w:sz w:val="16"/>
                <w:szCs w:val="16"/>
              </w:rPr>
            </w:pPr>
          </w:p>
          <w:p>
            <w:pPr>
              <w:pStyle w:val="52"/>
              <w:spacing w:line="200" w:lineRule="exact"/>
              <w:rPr>
                <w:rFonts w:ascii="Times New Roman" w:hAnsi="Times New Roman"/>
                <w:sz w:val="20"/>
                <w:szCs w:val="20"/>
              </w:rPr>
            </w:pPr>
          </w:p>
          <w:p>
            <w:pPr>
              <w:pStyle w:val="52"/>
              <w:ind w:left="420"/>
              <w:rPr>
                <w:rFonts w:ascii="Times New Roman" w:hAnsi="Times New Roman"/>
                <w:sz w:val="24"/>
                <w:szCs w:val="24"/>
              </w:rPr>
            </w:pPr>
            <w:r>
              <w:rPr>
                <w:rFonts w:ascii="Times New Roman" w:hAnsi="Times New Roman"/>
                <w:sz w:val="24"/>
                <w:szCs w:val="24"/>
              </w:rPr>
              <w:t>竣工阶段</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r>
      <w:tr>
        <w:tblPrEx>
          <w:tblCellMar>
            <w:top w:w="0" w:type="dxa"/>
            <w:left w:w="0" w:type="dxa"/>
            <w:bottom w:w="0" w:type="dxa"/>
            <w:right w:w="0" w:type="dxa"/>
          </w:tblCellMar>
        </w:tblPrEx>
        <w:trPr>
          <w:trHeight w:val="454" w:hRule="exact"/>
          <w:jc w:val="center"/>
        </w:trPr>
        <w:tc>
          <w:tcPr>
            <w:tcW w:w="632" w:type="pct"/>
            <w:vMerge w:val="continue"/>
            <w:tcBorders>
              <w:left w:val="single" w:color="000000" w:sz="4" w:space="0"/>
              <w:right w:val="single" w:color="000000" w:sz="4" w:space="0"/>
            </w:tcBorders>
            <w:noWrap w:val="0"/>
            <w:vAlign w:val="top"/>
          </w:tcPr>
          <w:p>
            <w:pPr>
              <w:rPr>
                <w:rFonts w:ascii="Times New Roman" w:hAnsi="Times New Roman"/>
                <w:kern w:val="0"/>
                <w:sz w:val="22"/>
                <w:lang w:eastAsia="en-US"/>
              </w:rPr>
            </w:pP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r>
      <w:tr>
        <w:tblPrEx>
          <w:tblCellMar>
            <w:top w:w="0" w:type="dxa"/>
            <w:left w:w="0" w:type="dxa"/>
            <w:bottom w:w="0" w:type="dxa"/>
            <w:right w:w="0" w:type="dxa"/>
          </w:tblCellMar>
        </w:tblPrEx>
        <w:trPr>
          <w:trHeight w:val="454" w:hRule="exact"/>
          <w:jc w:val="center"/>
        </w:trPr>
        <w:tc>
          <w:tcPr>
            <w:tcW w:w="632" w:type="pct"/>
            <w:vMerge w:val="continue"/>
            <w:tcBorders>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r>
      <w:tr>
        <w:tblPrEx>
          <w:tblCellMar>
            <w:top w:w="0" w:type="dxa"/>
            <w:left w:w="0" w:type="dxa"/>
            <w:bottom w:w="0" w:type="dxa"/>
            <w:right w:w="0" w:type="dxa"/>
          </w:tblCellMar>
        </w:tblPrEx>
        <w:trPr>
          <w:trHeight w:val="454" w:hRule="exact"/>
          <w:jc w:val="center"/>
        </w:trPr>
        <w:tc>
          <w:tcPr>
            <w:tcW w:w="632" w:type="pct"/>
            <w:tcBorders>
              <w:top w:val="single" w:color="000000" w:sz="4" w:space="0"/>
              <w:left w:val="single" w:color="000000" w:sz="4" w:space="0"/>
              <w:bottom w:val="single" w:color="000000" w:sz="4" w:space="0"/>
              <w:right w:val="single" w:color="000000" w:sz="4" w:space="0"/>
            </w:tcBorders>
            <w:noWrap w:val="0"/>
            <w:vAlign w:val="top"/>
          </w:tcPr>
          <w:p>
            <w:pPr>
              <w:pStyle w:val="52"/>
              <w:spacing w:line="276" w:lineRule="exact"/>
              <w:ind w:left="420"/>
              <w:rPr>
                <w:rFonts w:ascii="Times New Roman" w:hAnsi="Times New Roman"/>
                <w:sz w:val="24"/>
                <w:szCs w:val="24"/>
              </w:rPr>
            </w:pPr>
            <w:r>
              <w:rPr>
                <w:rFonts w:ascii="Times New Roman" w:hAnsi="Times New Roman"/>
                <w:sz w:val="24"/>
                <w:szCs w:val="24"/>
              </w:rPr>
              <w:t>其他服务</w:t>
            </w:r>
          </w:p>
        </w:tc>
        <w:tc>
          <w:tcPr>
            <w:tcW w:w="125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959"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6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454"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c>
          <w:tcPr>
            <w:tcW w:w="107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18"/>
                <w:szCs w:val="18"/>
                <w:lang w:eastAsia="en-US"/>
              </w:rPr>
            </w:pPr>
          </w:p>
        </w:tc>
      </w:tr>
    </w:tbl>
    <w:p>
      <w:pPr>
        <w:rPr>
          <w:rFonts w:ascii="Times New Roman" w:hAnsi="Times New Roman"/>
        </w:rPr>
        <w:sectPr>
          <w:pgSz w:w="16838" w:h="11920" w:orient="landscape"/>
          <w:pgMar w:top="1077" w:right="907" w:bottom="1179" w:left="1247" w:header="0" w:footer="583" w:gutter="0"/>
          <w:cols w:space="720" w:num="1"/>
        </w:sectPr>
      </w:pPr>
    </w:p>
    <w:p>
      <w:pPr>
        <w:pStyle w:val="11"/>
        <w:tabs>
          <w:tab w:val="left" w:pos="3585"/>
        </w:tabs>
        <w:spacing w:line="337" w:lineRule="exact"/>
        <w:ind w:left="2680"/>
        <w:outlineLvl w:val="0"/>
        <w:rPr>
          <w:rFonts w:ascii="Times New Roman" w:hAnsi="Times New Roman"/>
        </w:rPr>
      </w:pPr>
      <w:bookmarkStart w:id="380" w:name="_bookmark26"/>
      <w:bookmarkEnd w:id="380"/>
      <w:bookmarkStart w:id="381" w:name="_Toc435691818"/>
      <w:bookmarkStart w:id="382" w:name="_Toc146588406"/>
      <w:r>
        <w:rPr>
          <w:rFonts w:ascii="Times New Roman" w:hAnsi="Times New Roman"/>
        </w:rPr>
        <w:t>附录C</w:t>
      </w:r>
      <w:r>
        <w:rPr>
          <w:rFonts w:ascii="Times New Roman" w:hAnsi="Times New Roman"/>
        </w:rPr>
        <w:tab/>
      </w:r>
      <w:r>
        <w:rPr>
          <w:rFonts w:ascii="Times New Roman" w:hAnsi="Times New Roman"/>
        </w:rPr>
        <w:t>委</w:t>
      </w:r>
      <w:r>
        <w:rPr>
          <w:rFonts w:ascii="Times New Roman" w:hAnsi="Times New Roman"/>
          <w:spacing w:val="2"/>
        </w:rPr>
        <w:t>托</w:t>
      </w:r>
      <w:r>
        <w:rPr>
          <w:rFonts w:ascii="Times New Roman" w:hAnsi="Times New Roman"/>
        </w:rPr>
        <w:t>人</w:t>
      </w:r>
      <w:r>
        <w:rPr>
          <w:rFonts w:ascii="Times New Roman" w:hAnsi="Times New Roman"/>
          <w:spacing w:val="2"/>
        </w:rPr>
        <w:t>提</w:t>
      </w:r>
      <w:r>
        <w:rPr>
          <w:rFonts w:ascii="Times New Roman" w:hAnsi="Times New Roman"/>
        </w:rPr>
        <w:t>供资</w:t>
      </w:r>
      <w:r>
        <w:rPr>
          <w:rFonts w:ascii="Times New Roman" w:hAnsi="Times New Roman"/>
          <w:spacing w:val="2"/>
        </w:rPr>
        <w:t>料</w:t>
      </w:r>
      <w:r>
        <w:rPr>
          <w:rFonts w:ascii="Times New Roman" w:hAnsi="Times New Roman"/>
        </w:rPr>
        <w:t>一</w:t>
      </w:r>
      <w:r>
        <w:rPr>
          <w:rFonts w:ascii="Times New Roman" w:hAnsi="Times New Roman"/>
          <w:spacing w:val="2"/>
        </w:rPr>
        <w:t>览</w:t>
      </w:r>
      <w:r>
        <w:rPr>
          <w:rFonts w:ascii="Times New Roman" w:hAnsi="Times New Roman"/>
        </w:rPr>
        <w:t>表</w:t>
      </w:r>
      <w:bookmarkEnd w:id="381"/>
      <w:bookmarkEnd w:id="382"/>
    </w:p>
    <w:p>
      <w:pPr>
        <w:spacing w:line="200" w:lineRule="exact"/>
        <w:rPr>
          <w:rFonts w:ascii="Times New Roman" w:hAnsi="Times New Roman"/>
          <w:sz w:val="20"/>
          <w:szCs w:val="20"/>
        </w:rPr>
      </w:pPr>
    </w:p>
    <w:p>
      <w:pPr>
        <w:spacing w:before="15" w:line="260" w:lineRule="exact"/>
        <w:rPr>
          <w:rFonts w:ascii="Times New Roman" w:hAnsi="Times New Roman"/>
          <w:sz w:val="26"/>
          <w:szCs w:val="26"/>
        </w:rPr>
      </w:pPr>
    </w:p>
    <w:tbl>
      <w:tblPr>
        <w:tblStyle w:val="24"/>
        <w:tblW w:w="5000" w:type="pct"/>
        <w:tblInd w:w="5" w:type="dxa"/>
        <w:tblLayout w:type="autofit"/>
        <w:tblCellMar>
          <w:top w:w="0" w:type="dxa"/>
          <w:left w:w="0" w:type="dxa"/>
          <w:bottom w:w="0" w:type="dxa"/>
          <w:right w:w="0" w:type="dxa"/>
        </w:tblCellMar>
      </w:tblPr>
      <w:tblGrid>
        <w:gridCol w:w="3862"/>
        <w:gridCol w:w="908"/>
        <w:gridCol w:w="1451"/>
        <w:gridCol w:w="2395"/>
      </w:tblGrid>
      <w:tr>
        <w:tblPrEx>
          <w:tblCellMar>
            <w:top w:w="0" w:type="dxa"/>
            <w:left w:w="0" w:type="dxa"/>
            <w:bottom w:w="0" w:type="dxa"/>
            <w:right w:w="0" w:type="dxa"/>
          </w:tblCellMar>
        </w:tblPrEx>
        <w:trPr>
          <w:trHeight w:val="644"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pStyle w:val="52"/>
              <w:spacing w:line="276" w:lineRule="exact"/>
              <w:ind w:right="1"/>
              <w:jc w:val="center"/>
              <w:rPr>
                <w:rFonts w:ascii="Times New Roman" w:hAnsi="Times New Roman"/>
                <w:sz w:val="24"/>
                <w:szCs w:val="24"/>
              </w:rPr>
            </w:pPr>
            <w:r>
              <w:rPr>
                <w:rFonts w:ascii="Times New Roman" w:hAnsi="Times New Roman"/>
                <w:sz w:val="24"/>
                <w:szCs w:val="24"/>
              </w:rPr>
              <w:t>名称</w:t>
            </w: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pStyle w:val="52"/>
              <w:spacing w:line="276" w:lineRule="exact"/>
              <w:ind w:left="420"/>
              <w:rPr>
                <w:rFonts w:ascii="Times New Roman" w:hAnsi="Times New Roman"/>
                <w:sz w:val="24"/>
                <w:szCs w:val="24"/>
              </w:rPr>
            </w:pPr>
            <w:r>
              <w:rPr>
                <w:rFonts w:ascii="Times New Roman" w:hAnsi="Times New Roman"/>
                <w:sz w:val="24"/>
                <w:szCs w:val="24"/>
              </w:rPr>
              <w:t>份数</w:t>
            </w: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pStyle w:val="52"/>
              <w:spacing w:line="276" w:lineRule="exact"/>
              <w:ind w:left="420"/>
              <w:rPr>
                <w:rFonts w:ascii="Times New Roman" w:hAnsi="Times New Roman"/>
                <w:sz w:val="24"/>
                <w:szCs w:val="24"/>
              </w:rPr>
            </w:pPr>
            <w:r>
              <w:rPr>
                <w:rFonts w:ascii="Times New Roman" w:hAnsi="Times New Roman"/>
                <w:sz w:val="24"/>
                <w:szCs w:val="24"/>
              </w:rPr>
              <w:t>提供时间</w:t>
            </w: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pStyle w:val="52"/>
              <w:spacing w:line="276" w:lineRule="exact"/>
              <w:ind w:right="3"/>
              <w:jc w:val="center"/>
              <w:rPr>
                <w:rFonts w:ascii="Times New Roman" w:hAnsi="Times New Roman"/>
                <w:sz w:val="24"/>
                <w:szCs w:val="24"/>
              </w:rPr>
            </w:pPr>
            <w:r>
              <w:rPr>
                <w:rFonts w:ascii="Times New Roman" w:hAnsi="Times New Roman"/>
                <w:sz w:val="24"/>
                <w:szCs w:val="24"/>
              </w:rPr>
              <w:t>备注</w:t>
            </w: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6"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6"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6"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2241"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2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842"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390"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bl>
    <w:p>
      <w:pPr>
        <w:rPr>
          <w:rFonts w:ascii="Times New Roman" w:hAnsi="Times New Roman"/>
        </w:rPr>
        <w:sectPr>
          <w:footerReference r:id="rId8" w:type="default"/>
          <w:pgSz w:w="11906" w:h="16840"/>
          <w:pgMar w:top="1360" w:right="1680" w:bottom="1180" w:left="1620" w:header="0" w:footer="543" w:gutter="0"/>
          <w:cols w:space="720" w:num="1"/>
        </w:sectPr>
      </w:pPr>
    </w:p>
    <w:p>
      <w:pPr>
        <w:pStyle w:val="11"/>
        <w:spacing w:line="337" w:lineRule="exact"/>
        <w:ind w:left="2383"/>
        <w:outlineLvl w:val="0"/>
        <w:rPr>
          <w:rFonts w:ascii="Times New Roman" w:hAnsi="Times New Roman"/>
        </w:rPr>
      </w:pPr>
      <w:bookmarkStart w:id="383" w:name="_bookmark27"/>
      <w:bookmarkEnd w:id="383"/>
      <w:bookmarkStart w:id="384" w:name="_Toc146588407"/>
      <w:bookmarkStart w:id="385" w:name="_Toc435691819"/>
      <w:r>
        <w:rPr>
          <w:rFonts w:ascii="Times New Roman" w:hAnsi="Times New Roman"/>
        </w:rPr>
        <w:t>附录D委</w:t>
      </w:r>
      <w:r>
        <w:rPr>
          <w:rFonts w:ascii="Times New Roman" w:hAnsi="Times New Roman"/>
          <w:spacing w:val="2"/>
        </w:rPr>
        <w:t>托</w:t>
      </w:r>
      <w:r>
        <w:rPr>
          <w:rFonts w:ascii="Times New Roman" w:hAnsi="Times New Roman"/>
        </w:rPr>
        <w:t>人</w:t>
      </w:r>
      <w:r>
        <w:rPr>
          <w:rFonts w:ascii="Times New Roman" w:hAnsi="Times New Roman"/>
          <w:spacing w:val="2"/>
        </w:rPr>
        <w:t>提</w:t>
      </w:r>
      <w:r>
        <w:rPr>
          <w:rFonts w:ascii="Times New Roman" w:hAnsi="Times New Roman"/>
        </w:rPr>
        <w:t>供房</w:t>
      </w:r>
      <w:r>
        <w:rPr>
          <w:rFonts w:ascii="Times New Roman" w:hAnsi="Times New Roman"/>
          <w:spacing w:val="2"/>
        </w:rPr>
        <w:t>屋</w:t>
      </w:r>
      <w:r>
        <w:rPr>
          <w:rFonts w:ascii="Times New Roman" w:hAnsi="Times New Roman"/>
        </w:rPr>
        <w:t>及</w:t>
      </w:r>
      <w:r>
        <w:rPr>
          <w:rFonts w:ascii="Times New Roman" w:hAnsi="Times New Roman"/>
          <w:spacing w:val="2"/>
        </w:rPr>
        <w:t>设</w:t>
      </w:r>
      <w:r>
        <w:rPr>
          <w:rFonts w:ascii="Times New Roman" w:hAnsi="Times New Roman"/>
        </w:rPr>
        <w:t>备</w:t>
      </w:r>
      <w:r>
        <w:rPr>
          <w:rFonts w:ascii="Times New Roman" w:hAnsi="Times New Roman"/>
          <w:spacing w:val="2"/>
        </w:rPr>
        <w:t>一</w:t>
      </w:r>
      <w:r>
        <w:rPr>
          <w:rFonts w:ascii="Times New Roman" w:hAnsi="Times New Roman"/>
        </w:rPr>
        <w:t>览表</w:t>
      </w:r>
      <w:bookmarkEnd w:id="384"/>
      <w:bookmarkEnd w:id="385"/>
    </w:p>
    <w:p>
      <w:pPr>
        <w:spacing w:line="200" w:lineRule="exact"/>
        <w:rPr>
          <w:rFonts w:ascii="Times New Roman" w:hAnsi="Times New Roman"/>
          <w:sz w:val="20"/>
          <w:szCs w:val="20"/>
        </w:rPr>
      </w:pPr>
    </w:p>
    <w:p>
      <w:pPr>
        <w:spacing w:before="15" w:line="260" w:lineRule="exact"/>
        <w:rPr>
          <w:rFonts w:ascii="Times New Roman" w:hAnsi="Times New Roman"/>
          <w:sz w:val="26"/>
          <w:szCs w:val="26"/>
        </w:rPr>
      </w:pPr>
    </w:p>
    <w:tbl>
      <w:tblPr>
        <w:tblStyle w:val="24"/>
        <w:tblW w:w="5005" w:type="pct"/>
        <w:tblInd w:w="5" w:type="dxa"/>
        <w:tblLayout w:type="autofit"/>
        <w:tblCellMar>
          <w:top w:w="0" w:type="dxa"/>
          <w:left w:w="0" w:type="dxa"/>
          <w:bottom w:w="0" w:type="dxa"/>
          <w:right w:w="0" w:type="dxa"/>
        </w:tblCellMar>
      </w:tblPr>
      <w:tblGrid>
        <w:gridCol w:w="3117"/>
        <w:gridCol w:w="968"/>
        <w:gridCol w:w="2691"/>
        <w:gridCol w:w="2088"/>
      </w:tblGrid>
      <w:tr>
        <w:tblPrEx>
          <w:tblCellMar>
            <w:top w:w="0" w:type="dxa"/>
            <w:left w:w="0" w:type="dxa"/>
            <w:bottom w:w="0" w:type="dxa"/>
            <w:right w:w="0" w:type="dxa"/>
          </w:tblCellMar>
        </w:tblPrEx>
        <w:trPr>
          <w:trHeight w:val="476" w:hRule="exact"/>
        </w:trPr>
        <w:tc>
          <w:tcPr>
            <w:tcW w:w="1758" w:type="pct"/>
            <w:tcBorders>
              <w:top w:val="single" w:color="000000" w:sz="4" w:space="0"/>
              <w:left w:val="single" w:color="000000" w:sz="4" w:space="0"/>
              <w:bottom w:val="single" w:color="000000" w:sz="4" w:space="0"/>
              <w:right w:val="single" w:color="000000" w:sz="10" w:space="0"/>
            </w:tcBorders>
            <w:noWrap w:val="0"/>
            <w:vAlign w:val="top"/>
          </w:tcPr>
          <w:p>
            <w:pPr>
              <w:pStyle w:val="52"/>
              <w:spacing w:line="276" w:lineRule="exact"/>
              <w:ind w:right="26"/>
              <w:jc w:val="center"/>
              <w:rPr>
                <w:rFonts w:ascii="Times New Roman" w:hAnsi="Times New Roman"/>
                <w:sz w:val="24"/>
                <w:szCs w:val="24"/>
              </w:rPr>
            </w:pPr>
            <w:r>
              <w:rPr>
                <w:rFonts w:ascii="Times New Roman" w:hAnsi="Times New Roman"/>
                <w:sz w:val="24"/>
                <w:szCs w:val="24"/>
              </w:rPr>
              <w:t>名称</w:t>
            </w:r>
          </w:p>
        </w:tc>
        <w:tc>
          <w:tcPr>
            <w:tcW w:w="546" w:type="pct"/>
            <w:tcBorders>
              <w:top w:val="single" w:color="000000" w:sz="4" w:space="0"/>
              <w:left w:val="single" w:color="000000" w:sz="10" w:space="0"/>
              <w:bottom w:val="single" w:color="000000" w:sz="4" w:space="0"/>
              <w:right w:val="single" w:color="000000" w:sz="4" w:space="0"/>
            </w:tcBorders>
            <w:noWrap w:val="0"/>
            <w:vAlign w:val="top"/>
          </w:tcPr>
          <w:p>
            <w:pPr>
              <w:pStyle w:val="52"/>
              <w:spacing w:line="276" w:lineRule="exact"/>
              <w:ind w:left="420"/>
              <w:rPr>
                <w:rFonts w:ascii="Times New Roman" w:hAnsi="Times New Roman"/>
                <w:sz w:val="24"/>
                <w:szCs w:val="24"/>
              </w:rPr>
            </w:pPr>
            <w:r>
              <w:rPr>
                <w:rFonts w:ascii="Times New Roman" w:hAnsi="Times New Roman"/>
                <w:sz w:val="24"/>
                <w:szCs w:val="24"/>
              </w:rPr>
              <w:t>数量</w:t>
            </w: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pStyle w:val="52"/>
              <w:spacing w:line="276" w:lineRule="exact"/>
              <w:ind w:left="420"/>
              <w:rPr>
                <w:rFonts w:ascii="Times New Roman" w:hAnsi="Times New Roman"/>
                <w:sz w:val="24"/>
                <w:szCs w:val="24"/>
              </w:rPr>
            </w:pPr>
            <w:r>
              <w:rPr>
                <w:rFonts w:ascii="Times New Roman" w:hAnsi="Times New Roman"/>
                <w:sz w:val="24"/>
                <w:szCs w:val="24"/>
              </w:rPr>
              <w:t>面积、型号及规格</w:t>
            </w: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pStyle w:val="52"/>
              <w:spacing w:line="276" w:lineRule="exact"/>
              <w:ind w:left="420"/>
              <w:rPr>
                <w:rFonts w:ascii="Times New Roman" w:hAnsi="Times New Roman"/>
                <w:sz w:val="24"/>
                <w:szCs w:val="24"/>
              </w:rPr>
            </w:pPr>
            <w:r>
              <w:rPr>
                <w:rFonts w:ascii="Times New Roman" w:hAnsi="Times New Roman"/>
                <w:sz w:val="24"/>
                <w:szCs w:val="24"/>
              </w:rPr>
              <w:t>提供时间</w:t>
            </w: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10"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10"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10"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10"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10"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10"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10"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10"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10"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10"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10"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10"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10"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10"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6" w:hRule="exact"/>
        </w:trPr>
        <w:tc>
          <w:tcPr>
            <w:tcW w:w="1758" w:type="pct"/>
            <w:tcBorders>
              <w:top w:val="single" w:color="000000" w:sz="4" w:space="0"/>
              <w:left w:val="single" w:color="000000" w:sz="4" w:space="0"/>
              <w:bottom w:val="single" w:color="000000" w:sz="4" w:space="0"/>
              <w:right w:val="single" w:color="000000" w:sz="10"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10"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6"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rPr>
          <w:trHeight w:val="477"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blPrEx>
          <w:tblCellMar>
            <w:top w:w="0" w:type="dxa"/>
            <w:left w:w="0" w:type="dxa"/>
            <w:bottom w:w="0" w:type="dxa"/>
            <w:right w:w="0" w:type="dxa"/>
          </w:tblCellMar>
        </w:tblPrEx>
        <w:trPr>
          <w:trHeight w:val="477"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r>
        <w:trPr>
          <w:trHeight w:val="477" w:hRule="exact"/>
        </w:trPr>
        <w:tc>
          <w:tcPr>
            <w:tcW w:w="1758"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546"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51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c>
          <w:tcPr>
            <w:tcW w:w="1177" w:type="pct"/>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kern w:val="0"/>
                <w:sz w:val="22"/>
                <w:lang w:eastAsia="en-US"/>
              </w:rPr>
            </w:pPr>
          </w:p>
        </w:tc>
      </w:tr>
    </w:tbl>
    <w:p>
      <w:pPr>
        <w:spacing w:line="400" w:lineRule="exact"/>
        <w:rPr>
          <w:rFonts w:ascii="Times New Roman" w:hAnsi="Times New Roman"/>
        </w:rPr>
      </w:pPr>
      <w:r>
        <w:rPr>
          <w:rFonts w:ascii="Times New Roman" w:hAnsi="Times New Roman"/>
        </w:rPr>
        <w:t>注：委托人不提供</w:t>
      </w:r>
    </w:p>
    <w:p>
      <w:pPr>
        <w:pStyle w:val="3"/>
        <w:pageBreakBefore w:val="0"/>
        <w:kinsoku/>
        <w:wordWrap/>
        <w:overflowPunct/>
        <w:bidi w:val="0"/>
        <w:spacing w:line="360" w:lineRule="auto"/>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评审办法</w:t>
      </w:r>
      <w:bookmarkEnd w:id="208"/>
    </w:p>
    <w:p>
      <w:pPr>
        <w:pStyle w:val="23"/>
        <w:pageBreakBefore w:val="0"/>
        <w:numPr>
          <w:ilvl w:val="0"/>
          <w:numId w:val="7"/>
        </w:numPr>
        <w:kinsoku/>
        <w:wordWrap/>
        <w:overflowPunct/>
        <w:bidi w:val="0"/>
        <w:snapToGrid w:val="0"/>
        <w:spacing w:after="0" w:line="360" w:lineRule="auto"/>
        <w:ind w:firstLine="482" w:firstLineChars="200"/>
        <w:jc w:val="left"/>
        <w:rPr>
          <w:rFonts w:hint="eastAsia" w:ascii="宋体" w:hAnsi="宋体" w:eastAsia="宋体" w:cs="宋体"/>
          <w:b/>
          <w:bCs/>
          <w:color w:val="auto"/>
          <w:sz w:val="24"/>
          <w:szCs w:val="24"/>
          <w:highlight w:val="none"/>
        </w:rPr>
      </w:pPr>
      <w:bookmarkStart w:id="386" w:name="_Toc37090656"/>
      <w:bookmarkStart w:id="387" w:name="_Toc37090992"/>
      <w:bookmarkStart w:id="388" w:name="_Toc37090651"/>
      <w:bookmarkStart w:id="389" w:name="_Toc37090987"/>
      <w:r>
        <w:rPr>
          <w:rFonts w:hint="eastAsia" w:ascii="宋体" w:hAnsi="宋体" w:eastAsia="宋体" w:cs="宋体"/>
          <w:b/>
          <w:bCs/>
          <w:color w:val="auto"/>
          <w:sz w:val="24"/>
          <w:szCs w:val="24"/>
          <w:highlight w:val="none"/>
        </w:rPr>
        <w:t>评审说明</w:t>
      </w:r>
    </w:p>
    <w:p>
      <w:pPr>
        <w:pStyle w:val="23"/>
        <w:pageBreakBefore w:val="0"/>
        <w:numPr>
          <w:ilvl w:val="1"/>
          <w:numId w:val="8"/>
        </w:numPr>
        <w:kinsoku/>
        <w:wordWrap/>
        <w:overflowPunct/>
        <w:bidi w:val="0"/>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响应文件中提供的供应商报价为一次报价，在</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小组对各供应商的响应文件进行初步评审（资格评审、符合性评审）后，由</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小组开启二次报价，各供应商须在二次报价开启后按现场通知的时间内进行二次（最后）报价。因供应商自身原因未及时递交二次报价的，其责任由供应商承担。</w:t>
      </w:r>
    </w:p>
    <w:p>
      <w:pPr>
        <w:pStyle w:val="23"/>
        <w:pageBreakBefore w:val="0"/>
        <w:numPr>
          <w:ilvl w:val="0"/>
          <w:numId w:val="0"/>
        </w:numPr>
        <w:kinsoku/>
        <w:wordWrap/>
        <w:overflowPunct/>
        <w:bidi w:val="0"/>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提示：</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时，请供应商保持手机畅通；采购代理机构不承担供应商因自身原因未收及时到短信或电话而引起的一切后果和法律责任。</w:t>
      </w:r>
    </w:p>
    <w:p>
      <w:pPr>
        <w:pStyle w:val="23"/>
        <w:pageBreakBefore w:val="0"/>
        <w:kinsoku/>
        <w:wordWrap/>
        <w:overflowPunct/>
        <w:bidi w:val="0"/>
        <w:snapToGrid w:val="0"/>
        <w:spacing w:after="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1.2本次</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lang w:val="en-US" w:eastAsia="zh-CN"/>
        </w:rPr>
        <w:t>最低价评标价法评审</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最低评标价法，是指投标文件满足招标文件全部实质性要求且投标报价最低的供应商为</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候选人的评标方法。</w:t>
      </w:r>
    </w:p>
    <w:p>
      <w:pPr>
        <w:pStyle w:val="23"/>
        <w:pageBreakBefore w:val="0"/>
        <w:kinsoku/>
        <w:wordWrap/>
        <w:overflowPunct/>
        <w:bidi w:val="0"/>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根据财政部发布的《政府采购促进中小企业发展管理办法》（财库〔2020〕46号）规定，对小微企业报价给予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%（工程项</w:t>
      </w:r>
      <w:r>
        <w:rPr>
          <w:rFonts w:hint="eastAsia" w:ascii="宋体" w:hAnsi="宋体" w:eastAsia="宋体" w:cs="宋体"/>
          <w:color w:val="auto"/>
          <w:sz w:val="24"/>
          <w:szCs w:val="24"/>
          <w:highlight w:val="none"/>
          <w:u w:val="single"/>
        </w:rPr>
        <w:t>目</w:t>
      </w:r>
      <w:r>
        <w:rPr>
          <w:rFonts w:hint="eastAsia" w:ascii="宋体" w:hAnsi="宋体" w:eastAsia="宋体" w:cs="宋体"/>
          <w:color w:val="auto"/>
          <w:sz w:val="24"/>
          <w:szCs w:val="24"/>
          <w:highlight w:val="none"/>
        </w:rPr>
        <w:t>为 3%—5%）的扣除，用扣除后的价格参加评审。在服务采购项目中，只有当供应商提供的全部标的均由小微企业制造，才能享受价格扣除政策；在工程、服务采购项目中，只有由小微企业承建、承接，才能享受价格扣除政策；允许联合体形式参加政府采购活动的，联合体各方均为小微企业的，联合体视同小微企业。</w:t>
      </w:r>
      <w:r>
        <w:rPr>
          <w:rFonts w:hint="eastAsia" w:ascii="宋体" w:hAnsi="宋体" w:eastAsia="宋体" w:cs="宋体"/>
          <w:b/>
          <w:bCs/>
          <w:color w:val="auto"/>
          <w:sz w:val="24"/>
          <w:szCs w:val="24"/>
          <w:highlight w:val="none"/>
          <w:u w:val="single"/>
        </w:rPr>
        <w:t>专门面向中小企业采购的项目或者采购包，不再执行价格评审优惠的扶持政策</w:t>
      </w:r>
      <w:r>
        <w:rPr>
          <w:rFonts w:hint="eastAsia" w:ascii="宋体" w:hAnsi="宋体" w:eastAsia="宋体" w:cs="宋体"/>
          <w:color w:val="auto"/>
          <w:sz w:val="24"/>
          <w:szCs w:val="24"/>
          <w:highlight w:val="none"/>
          <w:u w:val="single"/>
        </w:rPr>
        <w:t>。</w:t>
      </w:r>
    </w:p>
    <w:p>
      <w:pPr>
        <w:pStyle w:val="23"/>
        <w:pageBreakBefore w:val="0"/>
        <w:kinsoku/>
        <w:wordWrap/>
        <w:overflowPunct/>
        <w:bidi w:val="0"/>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w:t>
      </w:r>
    </w:p>
    <w:p>
      <w:pPr>
        <w:pStyle w:val="23"/>
        <w:pageBreakBefore w:val="0"/>
        <w:kinsoku/>
        <w:wordWrap/>
        <w:overflowPunct/>
        <w:bidi w:val="0"/>
        <w:snapToGrid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b/>
          <w:bCs/>
          <w:color w:val="auto"/>
          <w:sz w:val="24"/>
          <w:szCs w:val="24"/>
          <w:highlight w:val="none"/>
        </w:rPr>
        <w:t>本次谈判采用最低价评标价法评审。</w:t>
      </w:r>
    </w:p>
    <w:p>
      <w:pPr>
        <w:pStyle w:val="23"/>
        <w:pageBreakBefore w:val="0"/>
        <w:kinsoku/>
        <w:wordWrap/>
        <w:overflowPunct/>
        <w:bidi w:val="0"/>
        <w:snapToGrid w:val="0"/>
        <w:spacing w:after="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2.2评审方法</w:t>
      </w:r>
    </w:p>
    <w:p>
      <w:pPr>
        <w:pStyle w:val="23"/>
        <w:pageBreakBefore w:val="0"/>
        <w:kinsoku/>
        <w:wordWrap/>
        <w:overflowPunct/>
        <w:bidi w:val="0"/>
        <w:snapToGrid w:val="0"/>
        <w:spacing w:after="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最低评标价法，是指投标文件满足招标文件全部实质性要求且投标报价最低的供应商为</w:t>
      </w:r>
      <w:r>
        <w:rPr>
          <w:rFonts w:hint="eastAsia" w:ascii="宋体" w:hAnsi="宋体" w:eastAsia="宋体" w:cs="宋体"/>
          <w:b/>
          <w:bCs/>
          <w:color w:val="auto"/>
          <w:sz w:val="24"/>
          <w:szCs w:val="24"/>
          <w:highlight w:val="none"/>
          <w:lang w:eastAsia="zh-CN"/>
        </w:rPr>
        <w:t>成交</w:t>
      </w:r>
      <w:r>
        <w:rPr>
          <w:rFonts w:hint="eastAsia" w:ascii="宋体" w:hAnsi="宋体" w:eastAsia="宋体" w:cs="宋体"/>
          <w:b/>
          <w:bCs/>
          <w:color w:val="auto"/>
          <w:sz w:val="24"/>
          <w:szCs w:val="24"/>
          <w:highlight w:val="none"/>
        </w:rPr>
        <w:t>候选人的评标方法</w:t>
      </w:r>
      <w:r>
        <w:rPr>
          <w:rFonts w:hint="eastAsia" w:ascii="宋体" w:hAnsi="宋体" w:eastAsia="宋体" w:cs="宋体"/>
          <w:b/>
          <w:color w:val="auto"/>
          <w:sz w:val="24"/>
          <w:szCs w:val="24"/>
          <w:highlight w:val="none"/>
        </w:rPr>
        <w:t>。</w:t>
      </w:r>
    </w:p>
    <w:tbl>
      <w:tblPr>
        <w:tblStyle w:val="24"/>
        <w:tblpPr w:leftFromText="180" w:rightFromText="180" w:vertAnchor="text" w:horzAnchor="page" w:tblpX="1122" w:tblpY="581"/>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614"/>
        <w:gridCol w:w="978"/>
        <w:gridCol w:w="2213"/>
        <w:gridCol w:w="4831"/>
        <w:gridCol w:w="636"/>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159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评分因素</w:t>
            </w:r>
          </w:p>
        </w:tc>
        <w:tc>
          <w:tcPr>
            <w:tcW w:w="22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评分点</w:t>
            </w:r>
          </w:p>
        </w:tc>
        <w:tc>
          <w:tcPr>
            <w:tcW w:w="48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评分标准</w:t>
            </w:r>
          </w:p>
        </w:tc>
        <w:tc>
          <w:tcPr>
            <w:tcW w:w="127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159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b/>
                <w:bCs/>
                <w:color w:val="auto"/>
                <w:kern w:val="0"/>
                <w:sz w:val="24"/>
                <w:szCs w:val="24"/>
                <w:highlight w:val="none"/>
              </w:rPr>
            </w:pPr>
          </w:p>
        </w:tc>
        <w:tc>
          <w:tcPr>
            <w:tcW w:w="22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b/>
                <w:bCs/>
                <w:color w:val="auto"/>
                <w:kern w:val="0"/>
                <w:sz w:val="24"/>
                <w:szCs w:val="24"/>
                <w:highlight w:val="none"/>
              </w:rPr>
            </w:pPr>
          </w:p>
        </w:tc>
        <w:tc>
          <w:tcPr>
            <w:tcW w:w="48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b/>
                <w:bCs/>
                <w:color w:val="auto"/>
                <w:kern w:val="0"/>
                <w:sz w:val="24"/>
                <w:szCs w:val="24"/>
                <w:highlight w:val="none"/>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是</w:t>
            </w:r>
          </w:p>
        </w:tc>
        <w:tc>
          <w:tcPr>
            <w:tcW w:w="6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初步评审</w:t>
            </w:r>
          </w:p>
        </w:tc>
        <w:tc>
          <w:tcPr>
            <w:tcW w:w="97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资格检查</w:t>
            </w: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营业执照</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如供应商是企业（包括合伙企业），应提供在工商部门注册的有效“企业法人营业执照”或“营业执照”（三证或五证合一）；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97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项目负责人</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具有一级注册造价工程师资格证书（注册单位需与供应商单位名称一致）</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97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中小微企业声明函</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提供中小微企业声明函</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承诺书</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兵团政府采购供应商信用承诺函</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color w:val="auto"/>
                <w:sz w:val="24"/>
                <w:szCs w:val="24"/>
                <w:highlight w:val="none"/>
              </w:rPr>
            </w:pPr>
          </w:p>
          <w:p>
            <w:pPr>
              <w:pStyle w:val="7"/>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color w:val="auto"/>
                <w:sz w:val="24"/>
                <w:szCs w:val="24"/>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联合体</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本项目接收联合体响应</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color w:val="auto"/>
                <w:sz w:val="24"/>
                <w:szCs w:val="24"/>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法律、行政法规规定的其他条件</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法律、行政法规规定的其他条件</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97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符合性检查</w:t>
            </w: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供应商名称</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与营业执照、资质证书一致</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97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响应文件按</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文件规定格式完整提供</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响应文件的格式</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sz w:val="24"/>
                <w:szCs w:val="24"/>
                <w:highlight w:val="none"/>
              </w:rPr>
            </w:pPr>
          </w:p>
          <w:p>
            <w:pPr>
              <w:pStyle w:val="7"/>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color w:val="auto"/>
                <w:sz w:val="24"/>
                <w:szCs w:val="24"/>
                <w:highlight w:val="none"/>
              </w:rPr>
            </w:pPr>
          </w:p>
        </w:tc>
        <w:tc>
          <w:tcPr>
            <w:tcW w:w="97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kern w:val="2"/>
                <w:sz w:val="24"/>
                <w:szCs w:val="24"/>
                <w:highlight w:val="none"/>
              </w:rPr>
              <w:t>法人授权</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响应文件</w:t>
            </w:r>
            <w:r>
              <w:rPr>
                <w:rFonts w:hint="eastAsia" w:ascii="宋体" w:hAnsi="宋体" w:eastAsia="宋体" w:cs="宋体"/>
                <w:b w:val="0"/>
                <w:bCs/>
                <w:color w:val="auto"/>
                <w:sz w:val="24"/>
                <w:szCs w:val="24"/>
                <w:highlight w:val="none"/>
                <w:lang w:val="en-US" w:eastAsia="zh-CN" w:bidi="ar-SA"/>
              </w:rPr>
              <w:t>提供法定代表人授权委托书或提供法定代表人身份证明</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97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响应文件签署</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响应文件上法定代表人或其授权代理人的签字、供应商的单位章齐全符合</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文件规定</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eastAsia="zh-CN"/>
              </w:rPr>
              <w:t>响应</w:t>
            </w:r>
            <w:r>
              <w:rPr>
                <w:rFonts w:hint="eastAsia" w:ascii="宋体" w:hAnsi="宋体" w:eastAsia="宋体" w:cs="宋体"/>
                <w:b w:val="0"/>
                <w:bCs/>
                <w:color w:val="auto"/>
                <w:sz w:val="24"/>
                <w:szCs w:val="24"/>
                <w:highlight w:val="none"/>
              </w:rPr>
              <w:t>方案</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每个分包只能有一个方案</w:t>
            </w:r>
            <w:r>
              <w:rPr>
                <w:rFonts w:hint="eastAsia" w:ascii="宋体" w:hAnsi="宋体" w:eastAsia="宋体" w:cs="宋体"/>
                <w:b w:val="0"/>
                <w:bCs/>
                <w:color w:val="auto"/>
                <w:sz w:val="24"/>
                <w:szCs w:val="24"/>
                <w:highlight w:val="none"/>
                <w:lang w:eastAsia="zh-CN"/>
              </w:rPr>
              <w:t>响应</w:t>
            </w:r>
            <w:r>
              <w:rPr>
                <w:rFonts w:hint="eastAsia" w:ascii="宋体" w:hAnsi="宋体" w:eastAsia="宋体" w:cs="宋体"/>
                <w:b w:val="0"/>
                <w:bCs/>
                <w:color w:val="auto"/>
                <w:sz w:val="24"/>
                <w:szCs w:val="24"/>
                <w:highlight w:val="none"/>
              </w:rPr>
              <w:t>。</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服务期</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满足</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文件要求。</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sz w:val="24"/>
                <w:szCs w:val="24"/>
                <w:highlight w:val="none"/>
              </w:rPr>
            </w:pPr>
          </w:p>
          <w:p>
            <w:pPr>
              <w:pStyle w:val="11"/>
              <w:keepNext w:val="0"/>
              <w:keepLines w:val="0"/>
              <w:pageBreakBefore w:val="0"/>
              <w:kinsoku/>
              <w:wordWrap/>
              <w:overflowPunct/>
              <w:topLinePunct w:val="0"/>
              <w:bidi w:val="0"/>
              <w:adjustRightInd/>
              <w:snapToGrid/>
              <w:spacing w:after="0" w:line="360" w:lineRule="auto"/>
              <w:ind w:firstLine="0" w:firstLineChars="0"/>
              <w:jc w:val="left"/>
              <w:rPr>
                <w:rFonts w:hint="eastAsia" w:ascii="宋体" w:hAnsi="宋体" w:eastAsia="宋体" w:cs="宋体"/>
                <w:color w:val="auto"/>
                <w:sz w:val="24"/>
                <w:szCs w:val="24"/>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付款方式</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响应文件承诺的的付款方式满足</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文件要求</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sz w:val="24"/>
                <w:szCs w:val="24"/>
                <w:highlight w:val="none"/>
              </w:rPr>
            </w:pPr>
          </w:p>
          <w:p>
            <w:pPr>
              <w:pStyle w:val="11"/>
              <w:keepNext w:val="0"/>
              <w:keepLines w:val="0"/>
              <w:pageBreakBefore w:val="0"/>
              <w:kinsoku/>
              <w:wordWrap/>
              <w:overflowPunct/>
              <w:topLinePunct w:val="0"/>
              <w:bidi w:val="0"/>
              <w:adjustRightInd/>
              <w:snapToGrid/>
              <w:spacing w:after="0" w:line="360" w:lineRule="auto"/>
              <w:ind w:firstLine="0" w:firstLineChars="0"/>
              <w:jc w:val="left"/>
              <w:rPr>
                <w:rFonts w:hint="eastAsia" w:ascii="宋体" w:hAnsi="宋体" w:eastAsia="宋体" w:cs="宋体"/>
                <w:color w:val="auto"/>
                <w:sz w:val="24"/>
                <w:szCs w:val="24"/>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报价唯一</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其报价未超过采购预算金额，且只有一个有效报价，不得提交选择性报价</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val="0"/>
              <w:bidi w:val="0"/>
              <w:adjustRightInd/>
              <w:snapToGrid/>
              <w:spacing w:after="0" w:line="360" w:lineRule="auto"/>
              <w:ind w:firstLine="0" w:firstLineChars="0"/>
              <w:jc w:val="left"/>
              <w:rPr>
                <w:rFonts w:hint="eastAsia" w:ascii="宋体" w:hAnsi="宋体" w:eastAsia="宋体" w:cs="宋体"/>
                <w:color w:val="auto"/>
                <w:sz w:val="24"/>
                <w:szCs w:val="24"/>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kern w:val="2"/>
                <w:sz w:val="24"/>
                <w:szCs w:val="24"/>
                <w:highlight w:val="none"/>
              </w:rPr>
              <w:t>采购范围</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kern w:val="2"/>
                <w:sz w:val="24"/>
                <w:szCs w:val="24"/>
                <w:highlight w:val="none"/>
              </w:rPr>
              <w:t>响应文件载明的采购范围是否符合</w:t>
            </w:r>
            <w:r>
              <w:rPr>
                <w:rFonts w:hint="eastAsia" w:ascii="宋体" w:hAnsi="宋体" w:eastAsia="宋体" w:cs="宋体"/>
                <w:b w:val="0"/>
                <w:bCs/>
                <w:color w:val="auto"/>
                <w:kern w:val="2"/>
                <w:sz w:val="24"/>
                <w:szCs w:val="24"/>
                <w:highlight w:val="none"/>
                <w:lang w:eastAsia="zh-CN"/>
              </w:rPr>
              <w:t>谈判</w:t>
            </w:r>
            <w:r>
              <w:rPr>
                <w:rFonts w:hint="eastAsia" w:ascii="宋体" w:hAnsi="宋体" w:eastAsia="宋体" w:cs="宋体"/>
                <w:b w:val="0"/>
                <w:bCs/>
                <w:color w:val="auto"/>
                <w:kern w:val="2"/>
                <w:sz w:val="24"/>
                <w:szCs w:val="24"/>
                <w:highlight w:val="none"/>
              </w:rPr>
              <w:t>文件的要求，无重大偏离或保留</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val="0"/>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2213"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其他</w:t>
            </w:r>
          </w:p>
        </w:tc>
        <w:tc>
          <w:tcPr>
            <w:tcW w:w="4831" w:type="dxa"/>
            <w:tcBorders>
              <w:top w:val="single" w:color="auto" w:sz="4" w:space="0"/>
              <w:left w:val="single" w:color="auto" w:sz="4" w:space="0"/>
              <w:bottom w:val="single" w:color="auto" w:sz="4" w:space="0"/>
              <w:right w:val="single" w:color="auto" w:sz="4" w:space="0"/>
            </w:tcBorders>
            <w:noWrap/>
            <w:vAlign w:val="center"/>
          </w:tcPr>
          <w:p>
            <w:pPr>
              <w:pStyle w:val="46"/>
              <w:keepNext w:val="0"/>
              <w:keepLines w:val="0"/>
              <w:pageBreakBefore w:val="0"/>
              <w:kinsoku/>
              <w:wordWrap/>
              <w:overflowPunct/>
              <w:topLinePunct w:val="0"/>
              <w:bidi w:val="0"/>
              <w:adjustRightInd/>
              <w:snapToGrid/>
              <w:spacing w:line="360" w:lineRule="auto"/>
              <w:ind w:firstLine="0" w:firstLineChars="0"/>
              <w:jc w:val="left"/>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响应文件未附有</w:t>
            </w:r>
            <w:r>
              <w:rPr>
                <w:rFonts w:hint="eastAsia" w:ascii="宋体" w:hAnsi="宋体" w:eastAsia="宋体" w:cs="宋体"/>
                <w:b w:val="0"/>
                <w:bCs/>
                <w:color w:val="auto"/>
                <w:sz w:val="24"/>
                <w:szCs w:val="24"/>
                <w:highlight w:val="none"/>
                <w:lang w:eastAsia="zh-CN"/>
              </w:rPr>
              <w:t>采购</w:t>
            </w:r>
            <w:r>
              <w:rPr>
                <w:rFonts w:hint="eastAsia" w:ascii="宋体" w:hAnsi="宋体" w:eastAsia="宋体" w:cs="宋体"/>
                <w:b w:val="0"/>
                <w:bCs/>
                <w:color w:val="auto"/>
                <w:sz w:val="24"/>
                <w:szCs w:val="24"/>
                <w:highlight w:val="none"/>
              </w:rPr>
              <w:t>人不能接受的附加条件或法律、法规和</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文件规定的其他无效情形。</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ind w:firstLine="0" w:firstLineChars="0"/>
              <w:jc w:val="left"/>
              <w:rPr>
                <w:rFonts w:hint="eastAsia" w:ascii="宋体" w:hAnsi="宋体" w:eastAsia="宋体" w:cs="宋体"/>
                <w:color w:val="auto"/>
                <w:kern w:val="0"/>
                <w:sz w:val="24"/>
                <w:szCs w:val="24"/>
                <w:highlight w:val="none"/>
              </w:rPr>
            </w:pPr>
          </w:p>
        </w:tc>
      </w:tr>
    </w:tbl>
    <w:p>
      <w:pPr>
        <w:pageBreakBefore w:val="0"/>
        <w:kinsoku/>
        <w:wordWrap/>
        <w:overflowPunct/>
        <w:bidi w:val="0"/>
        <w:snapToGrid w:val="0"/>
        <w:spacing w:after="12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2.3评审办法附表</w:t>
      </w:r>
    </w:p>
    <w:bookmarkEnd w:id="386"/>
    <w:bookmarkEnd w:id="387"/>
    <w:bookmarkEnd w:id="388"/>
    <w:bookmarkEnd w:id="389"/>
    <w:p>
      <w:pPr>
        <w:pageBreakBefore w:val="0"/>
        <w:shd w:val="clear" w:color="auto" w:fill="FFFFFF"/>
        <w:kinsoku/>
        <w:wordWrap/>
        <w:overflowPunct/>
        <w:bidi w:val="0"/>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kern w:val="0"/>
          <w:sz w:val="24"/>
          <w:szCs w:val="24"/>
          <w:highlight w:val="none"/>
          <w:lang w:eastAsia="zh-CN"/>
        </w:rPr>
        <w:t>谈判</w:t>
      </w:r>
      <w:r>
        <w:rPr>
          <w:rFonts w:hint="eastAsia" w:ascii="宋体" w:hAnsi="宋体" w:eastAsia="宋体" w:cs="宋体"/>
          <w:b/>
          <w:bCs/>
          <w:color w:val="auto"/>
          <w:kern w:val="0"/>
          <w:sz w:val="24"/>
          <w:szCs w:val="24"/>
          <w:highlight w:val="none"/>
        </w:rPr>
        <w:t>小组的权利</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3.1 </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小组应当将其作为无效响应处理。</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小组发现</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存在歧义、重大缺陷导致评审工作无法进行，或者</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内容违反国家有关强制性规定的，应当停止评审工作，与采购人或者采购代理机构沟通并作书面记录。采购人或者采购代理机构确认后，应当修改</w:t>
      </w:r>
      <w:r>
        <w:rPr>
          <w:rFonts w:hint="eastAsia" w:ascii="宋体" w:hAnsi="宋体" w:eastAsia="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，重新组织采购活动。</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3.3评审报告由</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小组全体成员签字。</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小组成员对需要共同认定的事项存在争议的，应当按照少数服从多数的原则作出结论。持不同意见的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小组成员应当在评审报告上签署不同意见及理由，否则视为同意评审报告。</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3.4</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小组依据供应商须知前附表规定的评审方法，对供应商的响应文件进行评审和比较，</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文件满足</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文件全部实质性要求且投标报价最低的供应商推荐为</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候选人</w:t>
      </w:r>
      <w:r>
        <w:rPr>
          <w:rFonts w:hint="eastAsia" w:ascii="宋体" w:hAnsi="宋体" w:eastAsia="宋体" w:cs="宋体"/>
          <w:color w:val="auto"/>
          <w:kern w:val="0"/>
          <w:sz w:val="24"/>
          <w:szCs w:val="24"/>
          <w:highlight w:val="none"/>
          <w:lang w:eastAsia="zh-CN"/>
        </w:rPr>
        <w:t>。</w:t>
      </w:r>
    </w:p>
    <w:p>
      <w:pPr>
        <w:pageBreakBefore w:val="0"/>
        <w:shd w:val="clear" w:color="auto" w:fill="FFFFFF"/>
        <w:kinsoku/>
        <w:wordWrap/>
        <w:overflowPunct/>
        <w:bidi w:val="0"/>
        <w:spacing w:line="360" w:lineRule="auto"/>
        <w:ind w:firstLine="482" w:firstLineChars="200"/>
        <w:jc w:val="left"/>
        <w:rPr>
          <w:rFonts w:hint="eastAsia" w:ascii="宋体" w:hAnsi="宋体" w:eastAsia="宋体" w:cs="宋体"/>
          <w:b/>
          <w:bCs/>
          <w:color w:val="auto"/>
          <w:kern w:val="0"/>
          <w:sz w:val="24"/>
          <w:szCs w:val="24"/>
          <w:highlight w:val="none"/>
        </w:rPr>
      </w:pPr>
      <w:bookmarkStart w:id="390" w:name="_Toc37090660"/>
      <w:bookmarkStart w:id="391" w:name="_Toc37090996"/>
      <w:bookmarkStart w:id="392" w:name="_Toc31479"/>
      <w:bookmarkStart w:id="393" w:name="_Toc37090995"/>
      <w:bookmarkStart w:id="394" w:name="_Toc37090659"/>
      <w:r>
        <w:rPr>
          <w:rFonts w:hint="eastAsia" w:ascii="宋体" w:hAnsi="宋体" w:eastAsia="宋体" w:cs="宋体"/>
          <w:b/>
          <w:bCs/>
          <w:color w:val="auto"/>
          <w:kern w:val="0"/>
          <w:sz w:val="24"/>
          <w:szCs w:val="24"/>
          <w:highlight w:val="none"/>
        </w:rPr>
        <w:t>4. 评审过程的保密</w:t>
      </w:r>
      <w:bookmarkEnd w:id="390"/>
      <w:bookmarkEnd w:id="391"/>
      <w:bookmarkEnd w:id="392"/>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4.1凡属于对响应文件的审查、澄清、评价和比较有关的资料、成交候选人的推荐情况以及与评审有关的其他任何情况，</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小组成员和与评审活动有关的工作人员不得对任何单位和个人透露。</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在响应文件的评审和比较、成交候选人推荐以及授予合同的过程中，供应商向采购人或者</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小组施加影响的任何行为，都将会导致其响应文件被拒绝。</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4.3成交供应商确定后，采购人不对未成交供应商就评审过程以及未能成交原因做出任何解释。未成交供应商不得向</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小组组成人员或者其他有关人员索问评审过程的情况和材料。</w:t>
      </w:r>
    </w:p>
    <w:p>
      <w:pPr>
        <w:pageBreakBefore w:val="0"/>
        <w:shd w:val="clear" w:color="auto" w:fill="FFFFFF"/>
        <w:kinsoku/>
        <w:wordWrap/>
        <w:overflowPunct/>
        <w:bidi w:val="0"/>
        <w:spacing w:line="360" w:lineRule="auto"/>
        <w:ind w:firstLine="482" w:firstLineChars="200"/>
        <w:jc w:val="left"/>
        <w:rPr>
          <w:rFonts w:hint="eastAsia" w:ascii="宋体" w:hAnsi="宋体" w:eastAsia="宋体" w:cs="宋体"/>
          <w:b/>
          <w:bCs/>
          <w:color w:val="auto"/>
          <w:kern w:val="0"/>
          <w:sz w:val="24"/>
          <w:szCs w:val="24"/>
          <w:highlight w:val="none"/>
        </w:rPr>
      </w:pPr>
      <w:bookmarkStart w:id="395" w:name="_Toc24415"/>
      <w:r>
        <w:rPr>
          <w:rFonts w:hint="eastAsia" w:ascii="宋体" w:hAnsi="宋体" w:eastAsia="宋体" w:cs="宋体"/>
          <w:b/>
          <w:bCs/>
          <w:color w:val="auto"/>
          <w:kern w:val="0"/>
          <w:sz w:val="24"/>
          <w:szCs w:val="24"/>
          <w:highlight w:val="none"/>
        </w:rPr>
        <w:t>4. 定标原则</w:t>
      </w:r>
      <w:bookmarkEnd w:id="393"/>
      <w:bookmarkEnd w:id="394"/>
      <w:bookmarkEnd w:id="395"/>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4.1 </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小组依据供应商须知前附表规定的评审方法和标准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文件满足</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文件全部实质性要求且投标报价最低的供应商推荐为</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候选人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书面报告</w:t>
      </w:r>
      <w:r>
        <w:rPr>
          <w:rFonts w:hint="eastAsia" w:ascii="宋体" w:hAnsi="宋体" w:eastAsia="宋体" w:cs="宋体"/>
          <w:color w:val="auto"/>
          <w:kern w:val="0"/>
          <w:sz w:val="24"/>
          <w:szCs w:val="24"/>
          <w:highlight w:val="none"/>
        </w:rPr>
        <w:t>给采购人。</w:t>
      </w:r>
    </w:p>
    <w:p>
      <w:pPr>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采购代理机构应当在评审结束后2个工作日内将评审报告送采购人。采购人应当自收到评审报告之日起５个工作日内，在评审报告确定的成交候选人名单中确定成交供应商。</w:t>
      </w:r>
    </w:p>
    <w:p>
      <w:pPr>
        <w:pStyle w:val="23"/>
        <w:pageBreakBefore w:val="0"/>
        <w:kinsoku/>
        <w:wordWrap/>
        <w:overflowPunct/>
        <w:bidi w:val="0"/>
        <w:snapToGrid w:val="0"/>
        <w:spacing w:after="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4.3成交供应商拒绝与采购人签订合同的，采购人可以按照评审报告推荐的成交供应商名单排序，确定下一候选人为成交供应商，也可以重新开展政府采购活动。</w:t>
      </w:r>
    </w:p>
    <w:p>
      <w:pPr>
        <w:pStyle w:val="23"/>
        <w:pageBreakBefore w:val="0"/>
        <w:kinsoku/>
        <w:wordWrap/>
        <w:overflowPunct/>
        <w:bidi w:val="0"/>
        <w:snapToGrid w:val="0"/>
        <w:spacing w:after="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 出现下列情形之一的，本项目予以废标，重新开展采购活动。</w:t>
      </w:r>
    </w:p>
    <w:p>
      <w:pPr>
        <w:pStyle w:val="23"/>
        <w:pageBreakBefore w:val="0"/>
        <w:kinsoku/>
        <w:wordWrap/>
        <w:overflowPunct/>
        <w:bidi w:val="0"/>
        <w:snapToGrid w:val="0"/>
        <w:spacing w:after="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4.4.1 符合专业条件的供应商或者对</w:t>
      </w:r>
      <w:r>
        <w:rPr>
          <w:rFonts w:hint="eastAsia" w:ascii="宋体" w:hAnsi="宋体" w:eastAsia="宋体" w:cs="宋体"/>
          <w:b/>
          <w:bCs/>
          <w:color w:val="auto"/>
          <w:sz w:val="24"/>
          <w:szCs w:val="24"/>
          <w:highlight w:val="none"/>
          <w:lang w:eastAsia="zh-CN"/>
        </w:rPr>
        <w:t>竞争性谈判文件</w:t>
      </w:r>
      <w:r>
        <w:rPr>
          <w:rFonts w:hint="eastAsia" w:ascii="宋体" w:hAnsi="宋体" w:eastAsia="宋体" w:cs="宋体"/>
          <w:b/>
          <w:bCs/>
          <w:color w:val="auto"/>
          <w:sz w:val="24"/>
          <w:szCs w:val="24"/>
          <w:highlight w:val="none"/>
        </w:rPr>
        <w:t>作实质响应的供应商不足法定家数的；</w:t>
      </w:r>
    </w:p>
    <w:p>
      <w:pPr>
        <w:pStyle w:val="23"/>
        <w:pageBreakBefore w:val="0"/>
        <w:kinsoku/>
        <w:wordWrap/>
        <w:overflowPunct/>
        <w:bidi w:val="0"/>
        <w:snapToGrid w:val="0"/>
        <w:spacing w:after="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4.4.2出现影响采购公正的违法、违规行为的；</w:t>
      </w:r>
    </w:p>
    <w:p>
      <w:pPr>
        <w:pStyle w:val="23"/>
        <w:pageBreakBefore w:val="0"/>
        <w:kinsoku/>
        <w:wordWrap/>
        <w:overflowPunct/>
        <w:bidi w:val="0"/>
        <w:snapToGrid w:val="0"/>
        <w:spacing w:after="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4.4.3 因重大变故，采购任务取消的。</w:t>
      </w:r>
    </w:p>
    <w:p>
      <w:pPr>
        <w:pStyle w:val="42"/>
        <w:pageBreakBefore w:val="0"/>
        <w:kinsoku/>
        <w:wordWrap/>
        <w:overflowPunct/>
        <w:bidi w:val="0"/>
        <w:spacing w:line="360" w:lineRule="auto"/>
        <w:ind w:firstLine="506" w:firstLineChars="200"/>
        <w:jc w:val="left"/>
        <w:outlineLvl w:val="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bookmarkStart w:id="396" w:name="_Toc10796"/>
      <w:r>
        <w:rPr>
          <w:rFonts w:hint="eastAsia" w:ascii="宋体" w:hAnsi="宋体" w:eastAsia="宋体" w:cs="宋体"/>
          <w:color w:val="auto"/>
          <w:spacing w:val="6"/>
          <w:sz w:val="24"/>
          <w:szCs w:val="24"/>
          <w:highlight w:val="none"/>
        </w:rPr>
        <w:t>第六章 响应文件格式</w:t>
      </w:r>
      <w:bookmarkEnd w:id="396"/>
    </w:p>
    <w:p>
      <w:pPr>
        <w:pageBreakBefore w:val="0"/>
        <w:tabs>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tabs>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397" w:name="_Toc8140"/>
      <w:r>
        <w:rPr>
          <w:rFonts w:hint="eastAsia" w:ascii="宋体" w:hAnsi="宋体" w:eastAsia="宋体" w:cs="宋体"/>
          <w:b/>
          <w:bCs/>
          <w:color w:val="auto"/>
          <w:sz w:val="24"/>
          <w:szCs w:val="24"/>
          <w:highlight w:val="none"/>
        </w:rPr>
        <w:t>封    面：</w:t>
      </w:r>
      <w:bookmarkEnd w:id="397"/>
    </w:p>
    <w:p>
      <w:pPr>
        <w:pageBreakBefore w:val="0"/>
        <w:tabs>
          <w:tab w:val="left" w:pos="450"/>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tabs>
          <w:tab w:val="left" w:pos="450"/>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p>
      <w:pPr>
        <w:pageBreakBefore w:val="0"/>
        <w:tabs>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w:t>
      </w:r>
    </w:p>
    <w:p>
      <w:pPr>
        <w:pageBreakBefore w:val="0"/>
        <w:tabs>
          <w:tab w:val="left" w:pos="275"/>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tabs>
          <w:tab w:val="left" w:pos="275"/>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tabs>
          <w:tab w:val="left" w:pos="275"/>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tabs>
          <w:tab w:val="left" w:pos="275"/>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tabs>
          <w:tab w:val="left" w:pos="275"/>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tabs>
          <w:tab w:val="left" w:pos="275"/>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398" w:name="_Toc10502"/>
      <w:r>
        <w:rPr>
          <w:rFonts w:hint="eastAsia" w:ascii="宋体" w:hAnsi="宋体" w:eastAsia="宋体" w:cs="宋体"/>
          <w:b/>
          <w:bCs/>
          <w:color w:val="auto"/>
          <w:sz w:val="24"/>
          <w:szCs w:val="24"/>
          <w:highlight w:val="none"/>
        </w:rPr>
        <w:t>项目编号：</w:t>
      </w:r>
      <w:bookmarkEnd w:id="398"/>
    </w:p>
    <w:p>
      <w:pPr>
        <w:pageBreakBefore w:val="0"/>
        <w:tabs>
          <w:tab w:val="left" w:pos="765"/>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tabs>
          <w:tab w:val="left" w:pos="765"/>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399" w:name="_Toc20930"/>
      <w:r>
        <w:rPr>
          <w:rFonts w:hint="eastAsia" w:ascii="宋体" w:hAnsi="宋体" w:eastAsia="宋体" w:cs="宋体"/>
          <w:b/>
          <w:bCs/>
          <w:color w:val="auto"/>
          <w:sz w:val="24"/>
          <w:szCs w:val="24"/>
          <w:highlight w:val="none"/>
        </w:rPr>
        <w:t>响应文件递交人（公章）：</w:t>
      </w:r>
      <w:bookmarkEnd w:id="399"/>
    </w:p>
    <w:p>
      <w:pPr>
        <w:pageBreakBefore w:val="0"/>
        <w:tabs>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p>
    <w:p>
      <w:pPr>
        <w:pageBreakBefore w:val="0"/>
        <w:tabs>
          <w:tab w:val="left" w:pos="350"/>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400" w:name="_Toc6206"/>
      <w:r>
        <w:rPr>
          <w:rFonts w:hint="eastAsia" w:ascii="宋体" w:hAnsi="宋体" w:eastAsia="宋体" w:cs="宋体"/>
          <w:b/>
          <w:bCs/>
          <w:color w:val="auto"/>
          <w:sz w:val="24"/>
          <w:szCs w:val="24"/>
          <w:highlight w:val="none"/>
        </w:rPr>
        <w:t>供应商法定代表人</w:t>
      </w:r>
      <w:bookmarkEnd w:id="400"/>
    </w:p>
    <w:p>
      <w:pPr>
        <w:pageBreakBefore w:val="0"/>
        <w:tabs>
          <w:tab w:val="left" w:pos="840"/>
          <w:tab w:val="left" w:pos="8280"/>
        </w:tabs>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401" w:name="_Toc6379"/>
      <w:r>
        <w:rPr>
          <w:rFonts w:hint="eastAsia" w:ascii="宋体" w:hAnsi="宋体" w:eastAsia="宋体" w:cs="宋体"/>
          <w:b/>
          <w:bCs/>
          <w:color w:val="auto"/>
          <w:sz w:val="24"/>
          <w:szCs w:val="24"/>
          <w:highlight w:val="none"/>
        </w:rPr>
        <w:t>或其委托人（签章）：</w:t>
      </w:r>
      <w:bookmarkEnd w:id="401"/>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Style w:val="32"/>
        <w:pageBreakBefore w:val="0"/>
        <w:kinsoku/>
        <w:wordWrap/>
        <w:overflowPunct/>
        <w:bidi w:val="0"/>
        <w:spacing w:line="360" w:lineRule="auto"/>
        <w:ind w:firstLine="560" w:firstLineChars="200"/>
        <w:jc w:val="left"/>
        <w:rPr>
          <w:rFonts w:hint="eastAsia" w:ascii="宋体" w:hAnsi="宋体" w:eastAsia="宋体" w:cs="宋体"/>
          <w:color w:val="auto"/>
          <w:sz w:val="24"/>
          <w:szCs w:val="24"/>
          <w:highlight w:val="none"/>
        </w:rPr>
      </w:pPr>
    </w:p>
    <w:p>
      <w:pPr>
        <w:pStyle w:val="32"/>
        <w:pageBreakBefore w:val="0"/>
        <w:kinsoku/>
        <w:wordWrap/>
        <w:overflowPunct/>
        <w:bidi w:val="0"/>
        <w:spacing w:line="360" w:lineRule="auto"/>
        <w:ind w:firstLine="560" w:firstLineChars="200"/>
        <w:jc w:val="left"/>
        <w:rPr>
          <w:rFonts w:hint="eastAsia" w:ascii="宋体" w:hAnsi="宋体" w:eastAsia="宋体" w:cs="宋体"/>
          <w:color w:val="auto"/>
          <w:sz w:val="24"/>
          <w:szCs w:val="24"/>
          <w:highlight w:val="none"/>
        </w:rPr>
      </w:pPr>
    </w:p>
    <w:p>
      <w:pPr>
        <w:pStyle w:val="32"/>
        <w:pageBreakBefore w:val="0"/>
        <w:kinsoku/>
        <w:wordWrap/>
        <w:overflowPunct/>
        <w:bidi w:val="0"/>
        <w:spacing w:line="360" w:lineRule="auto"/>
        <w:ind w:firstLine="560" w:firstLineChars="200"/>
        <w:jc w:val="left"/>
        <w:rPr>
          <w:rFonts w:hint="eastAsia" w:ascii="宋体" w:hAnsi="宋体" w:eastAsia="宋体" w:cs="宋体"/>
          <w:color w:val="auto"/>
          <w:sz w:val="24"/>
          <w:szCs w:val="24"/>
          <w:highlight w:val="none"/>
        </w:rPr>
      </w:pPr>
    </w:p>
    <w:p>
      <w:pPr>
        <w:pStyle w:val="32"/>
        <w:pageBreakBefore w:val="0"/>
        <w:kinsoku/>
        <w:wordWrap/>
        <w:overflowPunct/>
        <w:bidi w:val="0"/>
        <w:spacing w:line="360" w:lineRule="auto"/>
        <w:ind w:firstLine="562" w:firstLineChars="200"/>
        <w:jc w:val="left"/>
        <w:rPr>
          <w:rFonts w:hint="eastAsia" w:ascii="宋体" w:hAnsi="宋体" w:eastAsia="宋体" w:cs="宋体"/>
          <w:b/>
          <w:bCs/>
          <w:color w:val="auto"/>
          <w:sz w:val="24"/>
          <w:szCs w:val="24"/>
          <w:highlight w:val="none"/>
        </w:rPr>
      </w:pPr>
      <w:bookmarkStart w:id="402" w:name="_Toc6131"/>
      <w:r>
        <w:rPr>
          <w:rFonts w:hint="eastAsia" w:ascii="宋体" w:hAnsi="宋体" w:eastAsia="宋体" w:cs="宋体"/>
          <w:b/>
          <w:bCs/>
          <w:color w:val="auto"/>
          <w:sz w:val="24"/>
          <w:szCs w:val="24"/>
          <w:highlight w:val="none"/>
        </w:rPr>
        <w:t>年     月     日</w:t>
      </w:r>
      <w:bookmarkEnd w:id="402"/>
    </w:p>
    <w:p>
      <w:pPr>
        <w:pStyle w:val="32"/>
        <w:pageBreakBefore w:val="0"/>
        <w:kinsoku/>
        <w:wordWrap/>
        <w:overflowPunct/>
        <w:bidi w:val="0"/>
        <w:spacing w:line="360" w:lineRule="auto"/>
        <w:ind w:firstLine="56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br w:type="page"/>
      </w:r>
    </w:p>
    <w:p>
      <w:pPr>
        <w:pageBreakBefore w:val="0"/>
        <w:kinsoku/>
        <w:wordWrap/>
        <w:overflowPunct/>
        <w:autoSpaceDE w:val="0"/>
        <w:autoSpaceDN w:val="0"/>
        <w:bidi w:val="0"/>
        <w:adjustRightInd w:val="0"/>
        <w:spacing w:line="360" w:lineRule="auto"/>
        <w:ind w:left="20" w:right="-4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  录</w:t>
      </w:r>
    </w:p>
    <w:p>
      <w:pPr>
        <w:pageBreakBefore w:val="0"/>
        <w:numPr>
          <w:ilvl w:val="0"/>
          <w:numId w:val="9"/>
        </w:numPr>
        <w:kinsoku/>
        <w:wordWrap/>
        <w:overflowPunct/>
        <w:autoSpaceDE w:val="0"/>
        <w:autoSpaceDN w:val="0"/>
        <w:bidi w:val="0"/>
        <w:adjustRightInd w:val="0"/>
        <w:spacing w:line="360" w:lineRule="auto"/>
        <w:ind w:left="17" w:right="-40" w:firstLine="482" w:firstLineChars="200"/>
        <w:jc w:val="left"/>
        <w:outlineLvl w:val="1"/>
        <w:rPr>
          <w:rFonts w:hint="eastAsia" w:ascii="宋体" w:hAnsi="宋体" w:eastAsia="宋体" w:cs="宋体"/>
          <w:b/>
          <w:color w:val="auto"/>
          <w:sz w:val="24"/>
          <w:szCs w:val="24"/>
          <w:highlight w:val="none"/>
        </w:rPr>
      </w:pPr>
      <w:bookmarkStart w:id="403" w:name="_Toc24620"/>
      <w:bookmarkStart w:id="404" w:name="_Toc11112"/>
      <w:bookmarkStart w:id="405" w:name="_Toc29787"/>
      <w:bookmarkStart w:id="406" w:name="_Toc22693"/>
      <w:bookmarkStart w:id="407" w:name="_Toc2332"/>
      <w:bookmarkStart w:id="408" w:name="_Toc24416"/>
      <w:bookmarkStart w:id="409" w:name="_Hlk78804305"/>
      <w:r>
        <w:rPr>
          <w:rFonts w:hint="eastAsia" w:ascii="宋体" w:hAnsi="宋体" w:eastAsia="宋体" w:cs="宋体"/>
          <w:b/>
          <w:color w:val="auto"/>
          <w:sz w:val="24"/>
          <w:szCs w:val="24"/>
          <w:highlight w:val="none"/>
        </w:rPr>
        <w:t>响应书</w:t>
      </w:r>
      <w:bookmarkEnd w:id="403"/>
      <w:bookmarkEnd w:id="404"/>
      <w:bookmarkEnd w:id="405"/>
      <w:bookmarkEnd w:id="406"/>
      <w:bookmarkEnd w:id="407"/>
      <w:bookmarkEnd w:id="408"/>
    </w:p>
    <w:bookmarkEnd w:id="409"/>
    <w:p>
      <w:pPr>
        <w:pageBreakBefore w:val="0"/>
        <w:kinsoku/>
        <w:wordWrap/>
        <w:overflowPunct/>
        <w:autoSpaceDE w:val="0"/>
        <w:autoSpaceDN w:val="0"/>
        <w:bidi w:val="0"/>
        <w:adjustRightIn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二、资格证明文件</w:t>
      </w:r>
    </w:p>
    <w:p>
      <w:pPr>
        <w:pageBreakBefore w:val="0"/>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（一）具有独立承担民事责任的能力（营业执照）</w:t>
      </w:r>
    </w:p>
    <w:p>
      <w:pPr>
        <w:pageBreakBefore w:val="0"/>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（二）兵团政府采购供应商信用承诺函</w:t>
      </w:r>
    </w:p>
    <w:p>
      <w:pPr>
        <w:pageBreakBefore w:val="0"/>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w:t>
      </w:r>
    </w:p>
    <w:p>
      <w:pPr>
        <w:pageBreakBefore w:val="0"/>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保证金（不缴纳的项目可不提供）</w:t>
      </w:r>
    </w:p>
    <w:p>
      <w:pPr>
        <w:pageBreakBefore w:val="0"/>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（五）项目负责人具备</w:t>
      </w:r>
      <w:r>
        <w:rPr>
          <w:rFonts w:hint="eastAsia" w:ascii="宋体" w:hAnsi="宋体" w:eastAsia="宋体" w:cs="宋体"/>
          <w:color w:val="auto"/>
          <w:sz w:val="24"/>
          <w:szCs w:val="24"/>
          <w:highlight w:val="none"/>
          <w:lang w:val="en-US" w:eastAsia="zh-CN"/>
        </w:rPr>
        <w:t>一级</w:t>
      </w:r>
      <w:r>
        <w:rPr>
          <w:rFonts w:hint="eastAsia" w:ascii="宋体" w:hAnsi="宋体" w:eastAsia="宋体" w:cs="宋体"/>
          <w:color w:val="auto"/>
          <w:sz w:val="24"/>
          <w:szCs w:val="24"/>
          <w:highlight w:val="none"/>
        </w:rPr>
        <w:t>注册造价工程师资格证书</w:t>
      </w:r>
    </w:p>
    <w:p>
      <w:pPr>
        <w:pageBreakBefore w:val="0"/>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）其他声明及文件材料</w:t>
      </w:r>
    </w:p>
    <w:p>
      <w:pPr>
        <w:pageBreakBefore w:val="0"/>
        <w:kinsoku/>
        <w:wordWrap/>
        <w:overflowPunct/>
        <w:autoSpaceDE w:val="0"/>
        <w:autoSpaceDN w:val="0"/>
        <w:bidi w:val="0"/>
        <w:adjustRightIn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三、商务文件</w:t>
      </w:r>
    </w:p>
    <w:p>
      <w:pPr>
        <w:pageBreakBefore w:val="0"/>
        <w:kinsoku/>
        <w:wordWrap/>
        <w:overflowPunct/>
        <w:autoSpaceDE w:val="0"/>
        <w:autoSpaceDN w:val="0"/>
        <w:bidi w:val="0"/>
        <w:adjustRightIn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(一)法定代表人资格证明书及法定代表人授权委托书</w:t>
      </w:r>
    </w:p>
    <w:p>
      <w:pPr>
        <w:pageBreakBefore w:val="0"/>
        <w:kinsoku/>
        <w:wordWrap/>
        <w:overflowPunct/>
        <w:autoSpaceDE w:val="0"/>
        <w:autoSpaceDN w:val="0"/>
        <w:bidi w:val="0"/>
        <w:adjustRightIn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一览表及报价明细表</w:t>
      </w:r>
    </w:p>
    <w:p>
      <w:pPr>
        <w:pageBreakBefore w:val="0"/>
        <w:kinsoku/>
        <w:wordWrap/>
        <w:overflowPunct/>
        <w:autoSpaceDE w:val="0"/>
        <w:autoSpaceDN w:val="0"/>
        <w:bidi w:val="0"/>
        <w:adjustRightIn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bookmarkStart w:id="410" w:name="_Hlk78745738"/>
      <w:r>
        <w:rPr>
          <w:rFonts w:hint="eastAsia" w:ascii="宋体" w:hAnsi="宋体" w:eastAsia="宋体" w:cs="宋体"/>
          <w:color w:val="auto"/>
          <w:sz w:val="24"/>
          <w:szCs w:val="24"/>
          <w:highlight w:val="none"/>
        </w:rPr>
        <w:t>合同、商务条款偏离说明表</w:t>
      </w:r>
    </w:p>
    <w:bookmarkEnd w:id="410"/>
    <w:p>
      <w:pPr>
        <w:pageBreakBefore w:val="0"/>
        <w:kinsoku/>
        <w:wordWrap/>
        <w:overflowPunct/>
        <w:autoSpaceDE w:val="0"/>
        <w:autoSpaceDN w:val="0"/>
        <w:bidi w:val="0"/>
        <w:adjustRightIn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(四)公司资质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p>
      <w:pPr>
        <w:pageBreakBefore w:val="0"/>
        <w:kinsoku/>
        <w:wordWrap/>
        <w:overflowPunct/>
        <w:autoSpaceDE w:val="0"/>
        <w:autoSpaceDN w:val="0"/>
        <w:bidi w:val="0"/>
        <w:adjustRightIn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基本情况及项目组成人员</w:t>
      </w:r>
    </w:p>
    <w:p>
      <w:pPr>
        <w:pageBreakBefore w:val="0"/>
        <w:kinsoku/>
        <w:wordWrap/>
        <w:overflowPunct/>
        <w:autoSpaceDE w:val="0"/>
        <w:autoSpaceDN w:val="0"/>
        <w:bidi w:val="0"/>
        <w:adjustRightIn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 财务状况</w:t>
      </w:r>
    </w:p>
    <w:p>
      <w:pPr>
        <w:pageBreakBefore w:val="0"/>
        <w:kinsoku/>
        <w:wordWrap/>
        <w:overflowPunct/>
        <w:autoSpaceDE w:val="0"/>
        <w:autoSpaceDN w:val="0"/>
        <w:bidi w:val="0"/>
        <w:adjustRightIn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)近年同类项目业绩</w:t>
      </w:r>
    </w:p>
    <w:p>
      <w:pPr>
        <w:pageBreakBefore w:val="0"/>
        <w:kinsoku/>
        <w:wordWrap/>
        <w:overflowPunct/>
        <w:autoSpaceDE w:val="0"/>
        <w:autoSpaceDN w:val="0"/>
        <w:bidi w:val="0"/>
        <w:adjustRightInd w:val="0"/>
        <w:spacing w:line="360" w:lineRule="auto"/>
        <w:ind w:left="0" w:leftChars="0" w:firstLine="480" w:firstLineChars="200"/>
        <w:jc w:val="left"/>
        <w:rPr>
          <w:rFonts w:hint="eastAsia" w:ascii="宋体" w:hAnsi="宋体" w:eastAsia="宋体" w:cs="宋体"/>
          <w:color w:val="auto"/>
          <w:sz w:val="24"/>
          <w:szCs w:val="24"/>
          <w:highlight w:val="none"/>
        </w:rPr>
      </w:pPr>
      <w:bookmarkStart w:id="411" w:name="_Hlk7874596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)中小微企业</w:t>
      </w:r>
      <w:r>
        <w:rPr>
          <w:rFonts w:hint="eastAsia" w:ascii="宋体" w:hAnsi="宋体" w:eastAsia="宋体" w:cs="宋体"/>
          <w:color w:val="auto"/>
          <w:sz w:val="24"/>
          <w:szCs w:val="24"/>
          <w:highlight w:val="none"/>
          <w:lang w:val="en-US" w:eastAsia="zh-CN"/>
        </w:rPr>
        <w:t>声明函（必须）</w:t>
      </w:r>
      <w:r>
        <w:rPr>
          <w:rFonts w:hint="eastAsia" w:ascii="宋体" w:hAnsi="宋体" w:eastAsia="宋体" w:cs="宋体"/>
          <w:color w:val="auto"/>
          <w:sz w:val="24"/>
          <w:szCs w:val="24"/>
          <w:highlight w:val="none"/>
        </w:rPr>
        <w:t>、残疾人福利性单位、监狱企业声明函（如有）</w:t>
      </w:r>
      <w:bookmarkEnd w:id="411"/>
    </w:p>
    <w:p>
      <w:pPr>
        <w:pageBreakBefore w:val="0"/>
        <w:kinsoku/>
        <w:wordWrap/>
        <w:overflowPunct/>
        <w:autoSpaceDE w:val="0"/>
        <w:autoSpaceDN w:val="0"/>
        <w:bidi w:val="0"/>
        <w:adjustRightIn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bookmarkStart w:id="412" w:name="_Hlk78745979"/>
      <w:r>
        <w:rPr>
          <w:rFonts w:hint="eastAsia" w:ascii="宋体" w:hAnsi="宋体" w:eastAsia="宋体" w:cs="宋体"/>
          <w:color w:val="auto"/>
          <w:sz w:val="24"/>
          <w:szCs w:val="24"/>
          <w:highlight w:val="none"/>
        </w:rPr>
        <w:t>节能、环保产品明细表（如有）</w:t>
      </w:r>
      <w:bookmarkEnd w:id="412"/>
    </w:p>
    <w:p>
      <w:pPr>
        <w:pageBreakBefore w:val="0"/>
        <w:kinsoku/>
        <w:wordWrap/>
        <w:overflowPunct/>
        <w:autoSpaceDE w:val="0"/>
        <w:autoSpaceDN w:val="0"/>
        <w:bidi w:val="0"/>
        <w:adjustRightIn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bookmarkStart w:id="413" w:name="_Hlk78745997"/>
      <w:r>
        <w:rPr>
          <w:rFonts w:hint="eastAsia" w:ascii="宋体" w:hAnsi="宋体" w:eastAsia="宋体" w:cs="宋体"/>
          <w:color w:val="auto"/>
          <w:sz w:val="24"/>
          <w:szCs w:val="24"/>
          <w:highlight w:val="none"/>
        </w:rPr>
        <w:t>供应商认为有必要提供的其他商务资料</w:t>
      </w:r>
    </w:p>
    <w:bookmarkEnd w:id="413"/>
    <w:p>
      <w:pPr>
        <w:pageBreakBefore w:val="0"/>
        <w:kinsoku/>
        <w:wordWrap/>
        <w:overflowPunct/>
        <w:autoSpaceDE w:val="0"/>
        <w:autoSpaceDN w:val="0"/>
        <w:bidi w:val="0"/>
        <w:adjustRightIn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四、技术文件</w:t>
      </w:r>
    </w:p>
    <w:p>
      <w:pPr>
        <w:pageBreakBefore w:val="0"/>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（一）、供应商自行编写的服务方案及相关文件</w:t>
      </w:r>
    </w:p>
    <w:p>
      <w:pPr>
        <w:pageBreakBefore w:val="0"/>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（二）、技术规范偏离表</w:t>
      </w:r>
    </w:p>
    <w:p>
      <w:pPr>
        <w:pageBreakBefore w:val="0"/>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（三）、供应商认为应该提供的有利于</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人的其他技术</w:t>
      </w:r>
      <w:r>
        <w:rPr>
          <w:rFonts w:hint="eastAsia" w:ascii="宋体" w:hAnsi="宋体" w:eastAsia="宋体" w:cs="宋体"/>
          <w:color w:val="auto"/>
          <w:sz w:val="24"/>
          <w:szCs w:val="24"/>
          <w:highlight w:val="none"/>
          <w:lang w:val="en-US" w:eastAsia="zh-CN"/>
        </w:rPr>
        <w:t>资料</w:t>
      </w:r>
    </w:p>
    <w:p>
      <w:pPr>
        <w:pageBreakBefore w:val="0"/>
        <w:kinsoku/>
        <w:wordWrap/>
        <w:overflowPunct/>
        <w:autoSpaceDE w:val="0"/>
        <w:autoSpaceDN w:val="0"/>
        <w:bidi w:val="0"/>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五、其他资料</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sectPr>
          <w:pgSz w:w="11906" w:h="16838"/>
          <w:pgMar w:top="2098" w:right="1474" w:bottom="1984" w:left="1587" w:header="851" w:footer="754" w:gutter="0"/>
          <w:pgBorders>
            <w:top w:val="none" w:sz="0" w:space="0"/>
            <w:left w:val="none" w:sz="0" w:space="0"/>
            <w:bottom w:val="none" w:sz="0" w:space="0"/>
            <w:right w:val="none" w:sz="0" w:space="0"/>
          </w:pgBorders>
          <w:cols w:space="0" w:num="1"/>
          <w:formProt w:val="0"/>
          <w:rtlGutter w:val="0"/>
          <w:docGrid w:type="lines" w:linePitch="319" w:charSpace="0"/>
        </w:sectPr>
      </w:pPr>
    </w:p>
    <w:p>
      <w:pPr>
        <w:pStyle w:val="11"/>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ageBreakBefore w:val="0"/>
        <w:kinsoku/>
        <w:wordWrap/>
        <w:overflowPunct/>
        <w:bidi w:val="0"/>
        <w:spacing w:line="360" w:lineRule="auto"/>
        <w:ind w:firstLine="482" w:firstLineChars="200"/>
        <w:jc w:val="left"/>
        <w:rPr>
          <w:rStyle w:val="47"/>
          <w:rFonts w:hint="eastAsia" w:ascii="宋体" w:hAnsi="宋体" w:eastAsia="宋体" w:cs="宋体"/>
          <w:color w:val="auto"/>
          <w:sz w:val="24"/>
          <w:szCs w:val="24"/>
          <w:highlight w:val="none"/>
        </w:rPr>
      </w:pPr>
      <w:bookmarkStart w:id="414" w:name="_Toc27756"/>
      <w:bookmarkStart w:id="415" w:name="_Toc7890"/>
      <w:bookmarkStart w:id="416" w:name="_Toc12503"/>
      <w:bookmarkStart w:id="417" w:name="_Toc4090"/>
      <w:bookmarkStart w:id="418" w:name="_Toc22374"/>
      <w:r>
        <w:rPr>
          <w:rStyle w:val="47"/>
          <w:rFonts w:hint="eastAsia" w:ascii="宋体" w:hAnsi="宋体" w:eastAsia="宋体" w:cs="宋体"/>
          <w:color w:val="auto"/>
          <w:sz w:val="24"/>
          <w:szCs w:val="24"/>
          <w:highlight w:val="none"/>
        </w:rPr>
        <w:t>一、响应书</w:t>
      </w:r>
    </w:p>
    <w:bookmarkEnd w:id="414"/>
    <w:bookmarkEnd w:id="415"/>
    <w:bookmarkEnd w:id="416"/>
    <w:bookmarkEnd w:id="417"/>
    <w:bookmarkEnd w:id="418"/>
    <w:p>
      <w:pPr>
        <w:pageBreakBefore w:val="0"/>
        <w:kinsoku/>
        <w:wordWrap/>
        <w:overflowPunct/>
        <w:bidi w:val="0"/>
        <w:spacing w:line="360" w:lineRule="auto"/>
        <w:ind w:firstLine="482" w:firstLineChars="200"/>
        <w:jc w:val="left"/>
        <w:rPr>
          <w:rFonts w:hint="eastAsia" w:ascii="宋体" w:hAnsi="宋体" w:eastAsia="宋体" w:cs="宋体"/>
          <w:b/>
          <w:bCs/>
          <w:color w:val="auto"/>
          <w:sz w:val="24"/>
          <w:szCs w:val="24"/>
          <w:highlight w:val="none"/>
        </w:rPr>
      </w:pPr>
      <w:bookmarkStart w:id="419" w:name="_Toc2115"/>
      <w:bookmarkStart w:id="420" w:name="_Hlk78744634"/>
      <w:bookmarkStart w:id="421" w:name="_Toc53602922"/>
      <w:r>
        <w:rPr>
          <w:rFonts w:hint="eastAsia" w:ascii="宋体" w:hAnsi="宋体" w:eastAsia="宋体" w:cs="宋体"/>
          <w:b/>
          <w:bCs/>
          <w:color w:val="auto"/>
          <w:sz w:val="24"/>
          <w:szCs w:val="24"/>
          <w:highlight w:val="none"/>
        </w:rPr>
        <w:t>响 应 书</w:t>
      </w:r>
      <w:bookmarkEnd w:id="419"/>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我们收到你们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项目名称、项目编号</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，经认真研究，我们决定参加本次</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。愿意按照</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规定的内容承担该项目的采购任务，严格执行我方所承诺的责任和义务。为此，我方郑重声明以下诸点，并负法律责任。</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⒈按照</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中的一切要求，提供采购服务，</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总价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元（用阿拉伯数字书写）人民币，明细见明细报价表。</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⒉如果我们的响应文件被接受，我们将履行</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 xml:space="preserve">  中规定的每一项要求，按期、按质、按量完成本次采购项目。</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bookmarkStart w:id="422" w:name="_Toc29726"/>
      <w:r>
        <w:rPr>
          <w:rFonts w:hint="eastAsia" w:ascii="宋体" w:hAnsi="宋体" w:eastAsia="宋体" w:cs="宋体"/>
          <w:color w:val="auto"/>
          <w:sz w:val="24"/>
          <w:szCs w:val="24"/>
          <w:highlight w:val="none"/>
        </w:rPr>
        <w:t>3.我方承诺提供服务的质保期为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bookmarkEnd w:id="422"/>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bookmarkStart w:id="423" w:name="_Toc6537"/>
      <w:r>
        <w:rPr>
          <w:rFonts w:hint="eastAsia" w:ascii="宋体" w:hAnsi="宋体" w:eastAsia="宋体" w:cs="宋体"/>
          <w:color w:val="auto"/>
          <w:sz w:val="24"/>
          <w:szCs w:val="24"/>
          <w:highlight w:val="none"/>
        </w:rPr>
        <w:t>4.我方承诺服务期限按照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bookmarkEnd w:id="423"/>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bookmarkStart w:id="424" w:name="_Toc8772"/>
      <w:r>
        <w:rPr>
          <w:rFonts w:hint="eastAsia" w:ascii="宋体" w:hAnsi="宋体" w:eastAsia="宋体" w:cs="宋体"/>
          <w:color w:val="auto"/>
          <w:sz w:val="24"/>
          <w:szCs w:val="24"/>
          <w:highlight w:val="none"/>
        </w:rPr>
        <w:t>5.我方承诺付款方式按照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bookmarkEnd w:id="424"/>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6.如果我方成交，我方将在</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规定的时间内签订委托合同并按采购要求提供履约担保。如果我方违约，除</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保证金不予退还外，贵方有权终止我方成交并选择其它成交供应商。</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7.如果我方成交，我方将在</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规定的时间内签订服务合同。如果我方违约，借故拒签合同或拖延签订的，则采购人将废除授标，</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保证金不予退还，给采购人造成的损失超过投保证金保数额的，还应当对超过部分予以赔偿，同时依法承担相应法律责任，采购人可另行选择成交单位。</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8.我方同意在</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有效期内遵守本响应文件，在此期限期满前的任何时间，本响应文件一直对我们具有约束力，本项目</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有效期为响应文件递交截止时间后</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9.我们愿意提供采购人在</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中要求的所有资料。</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10.我们认为采购人有选择或拒绝任何参与供应商成交的权力。我们理解，最低报价不是成交的唯一条件。</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11.我们愿按合同法履行自己的全部责任。</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12.我方愿意按照</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中规定的收费标准，承付成交服务费。</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13.该响应书在开标/</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后的全过程中保持有效，不作任何更改和变动。</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14.我们同意按</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规定，交纳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保证金。并同意在确定最终成交供应商、发出《成交通知书》之后5个工作日内退还我公司的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保证金。（如因特殊原因，在</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有效期之后确定成交供应商，本承诺依然有效。）</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15.综合说明：</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（1）设备的详细技术参数、技术条件、技术标准、拟达到的质量标准和保险期限。</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（2）易损件、配件及供应方式。</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（3）工程安装计划、组织机构及人员安排。</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（5）技术服务。</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（6）运输方式。</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（7）要求项目单位提供的配合。</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（8）对</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内容有不同意见的偏离说明。</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（9）其它。</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13.所有有关本响应书的函电，请按下列地址联系：</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       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二○二</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   月    日</w:t>
      </w:r>
    </w:p>
    <w:bookmarkEnd w:id="420"/>
    <w:p>
      <w:pPr>
        <w:pStyle w:val="46"/>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421"/>
      <w:bookmarkStart w:id="425" w:name="_Toc20960"/>
      <w:bookmarkStart w:id="426" w:name="_Toc8195"/>
      <w:bookmarkStart w:id="427" w:name="_Toc10119"/>
      <w:bookmarkStart w:id="428" w:name="_Toc4064"/>
      <w:bookmarkStart w:id="429" w:name="_Toc24798"/>
      <w:bookmarkStart w:id="430" w:name="_Toc25498"/>
      <w:r>
        <w:rPr>
          <w:rFonts w:hint="eastAsia" w:ascii="宋体" w:hAnsi="宋体" w:eastAsia="宋体" w:cs="宋体"/>
          <w:color w:val="auto"/>
          <w:sz w:val="24"/>
          <w:szCs w:val="24"/>
          <w:highlight w:val="none"/>
        </w:rPr>
        <w:t>二、资格证明文件</w:t>
      </w:r>
      <w:bookmarkEnd w:id="425"/>
      <w:bookmarkEnd w:id="426"/>
      <w:bookmarkEnd w:id="427"/>
      <w:bookmarkEnd w:id="428"/>
      <w:bookmarkEnd w:id="429"/>
      <w:bookmarkEnd w:id="430"/>
    </w:p>
    <w:p>
      <w:pPr>
        <w:pStyle w:val="46"/>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431" w:name="_Toc29475"/>
      <w:bookmarkStart w:id="432" w:name="_Toc8202"/>
      <w:bookmarkStart w:id="433" w:name="_Toc8229"/>
      <w:bookmarkStart w:id="434" w:name="_Toc29946"/>
      <w:bookmarkStart w:id="435" w:name="_Toc31792"/>
      <w:bookmarkStart w:id="436" w:name="_Toc5133"/>
      <w:r>
        <w:rPr>
          <w:rFonts w:hint="eastAsia" w:ascii="宋体" w:hAnsi="宋体" w:eastAsia="宋体" w:cs="宋体"/>
          <w:color w:val="auto"/>
          <w:sz w:val="24"/>
          <w:szCs w:val="24"/>
          <w:highlight w:val="none"/>
        </w:rPr>
        <w:t>（一）营业执照</w:t>
      </w:r>
      <w:bookmarkEnd w:id="431"/>
      <w:bookmarkEnd w:id="432"/>
      <w:bookmarkEnd w:id="433"/>
      <w:bookmarkEnd w:id="434"/>
      <w:bookmarkEnd w:id="435"/>
      <w:bookmarkEnd w:id="436"/>
    </w:p>
    <w:p>
      <w:pPr>
        <w:pStyle w:val="48"/>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供应商是企业（包括合伙企业），应提供在工商部门注册的有效“企业法人营业执照”或“营业执照”（三证或五证合一）；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pStyle w:val="49"/>
        <w:pageBreakBefore w:val="0"/>
        <w:kinsoku/>
        <w:wordWrap/>
        <w:overflowPunct/>
        <w:bidi w:val="0"/>
        <w:spacing w:line="360" w:lineRule="auto"/>
        <w:ind w:firstLine="482" w:firstLineChars="200"/>
        <w:jc w:val="left"/>
        <w:rPr>
          <w:rFonts w:hint="eastAsia" w:ascii="宋体" w:hAnsi="宋体" w:eastAsia="宋体" w:cs="宋体"/>
          <w:color w:val="auto"/>
          <w:sz w:val="24"/>
          <w:szCs w:val="24"/>
          <w:highlight w:val="none"/>
        </w:rPr>
      </w:pPr>
      <w:bookmarkStart w:id="437" w:name="_Toc256000045"/>
      <w:bookmarkStart w:id="438" w:name="_Toc256000058"/>
      <w:r>
        <w:rPr>
          <w:rFonts w:hint="eastAsia" w:ascii="宋体" w:hAnsi="宋体" w:eastAsia="宋体" w:cs="宋体"/>
          <w:color w:val="auto"/>
          <w:sz w:val="24"/>
          <w:szCs w:val="24"/>
          <w:highlight w:val="none"/>
        </w:rPr>
        <w:t>供应商基本情况表</w:t>
      </w:r>
      <w:bookmarkEnd w:id="437"/>
      <w:bookmarkEnd w:id="438"/>
    </w:p>
    <w:p>
      <w:pPr>
        <w:pStyle w:val="50"/>
        <w:pageBreakBefore w:val="0"/>
        <w:tabs>
          <w:tab w:val="left" w:pos="5570"/>
        </w:tabs>
        <w:kinsoku/>
        <w:wordWrap/>
        <w:overflowPunct/>
        <w:bidi w:val="0"/>
        <w:spacing w:before="123" w:line="360" w:lineRule="auto"/>
        <w:ind w:left="217"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Style w:val="50"/>
        <w:pageBreakBefore w:val="0"/>
        <w:tabs>
          <w:tab w:val="left" w:pos="5570"/>
        </w:tabs>
        <w:kinsoku/>
        <w:wordWrap/>
        <w:overflowPunct/>
        <w:bidi w:val="0"/>
        <w:spacing w:before="123" w:line="360" w:lineRule="auto"/>
        <w:ind w:left="217"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Style w:val="51"/>
        <w:pageBreakBefore w:val="0"/>
        <w:kinsoku/>
        <w:wordWrap/>
        <w:overflowPunct/>
        <w:bidi w:val="0"/>
        <w:spacing w:before="9" w:line="360" w:lineRule="auto"/>
        <w:ind w:firstLine="480" w:firstLineChars="200"/>
        <w:jc w:val="left"/>
        <w:rPr>
          <w:rFonts w:hint="eastAsia" w:ascii="宋体" w:hAnsi="宋体" w:eastAsia="宋体" w:cs="宋体"/>
          <w:color w:val="auto"/>
          <w:sz w:val="24"/>
          <w:szCs w:val="24"/>
          <w:highlight w:val="none"/>
        </w:rPr>
      </w:pPr>
    </w:p>
    <w:tbl>
      <w:tblPr>
        <w:tblStyle w:val="24"/>
        <w:tblW w:w="0" w:type="auto"/>
        <w:jc w:val="center"/>
        <w:tblLayout w:type="fixed"/>
        <w:tblCellMar>
          <w:top w:w="0" w:type="dxa"/>
          <w:left w:w="0" w:type="dxa"/>
          <w:bottom w:w="0" w:type="dxa"/>
          <w:right w:w="0" w:type="dxa"/>
        </w:tblCellMar>
      </w:tblPr>
      <w:tblGrid>
        <w:gridCol w:w="1986"/>
        <w:gridCol w:w="3577"/>
        <w:gridCol w:w="3556"/>
      </w:tblGrid>
      <w:tr>
        <w:tblPrEx>
          <w:tblCellMar>
            <w:top w:w="0" w:type="dxa"/>
            <w:left w:w="0" w:type="dxa"/>
            <w:bottom w:w="0" w:type="dxa"/>
            <w:right w:w="0" w:type="dxa"/>
          </w:tblCellMar>
        </w:tblPrEx>
        <w:trPr>
          <w:trHeight w:val="485"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bottom"/>
          </w:tcPr>
          <w:p>
            <w:pPr>
              <w:pStyle w:val="52"/>
              <w:keepNext w:val="0"/>
              <w:keepLines w:val="0"/>
              <w:pageBreakBefore w:val="0"/>
              <w:widowControl w:val="0"/>
              <w:kinsoku/>
              <w:wordWrap/>
              <w:overflowPunct/>
              <w:topLinePunct w:val="0"/>
              <w:autoSpaceDE/>
              <w:autoSpaceDN/>
              <w:bidi w:val="0"/>
              <w:adjustRightInd/>
              <w:snapToGrid/>
              <w:spacing w:before="84" w:line="360" w:lineRule="auto"/>
              <w:ind w:left="417" w:leftChars="26" w:hanging="362" w:hangingChars="151"/>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p>
        </w:tc>
        <w:tc>
          <w:tcPr>
            <w:tcW w:w="71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51"/>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86"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bottom"/>
          </w:tcPr>
          <w:p>
            <w:pPr>
              <w:pStyle w:val="52"/>
              <w:pageBreakBefore w:val="0"/>
              <w:kinsoku/>
              <w:wordWrap/>
              <w:overflowPunct/>
              <w:bidi w:val="0"/>
              <w:spacing w:before="86" w:line="360" w:lineRule="auto"/>
              <w:ind w:left="417" w:leftChars="26" w:hanging="362" w:hangingChars="15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联系地址</w:t>
            </w:r>
          </w:p>
        </w:tc>
        <w:tc>
          <w:tcPr>
            <w:tcW w:w="71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51"/>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2"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bottom"/>
          </w:tcPr>
          <w:p>
            <w:pPr>
              <w:pStyle w:val="52"/>
              <w:pageBreakBefore w:val="0"/>
              <w:kinsoku/>
              <w:wordWrap/>
              <w:overflowPunct/>
              <w:bidi w:val="0"/>
              <w:spacing w:before="84" w:line="360" w:lineRule="auto"/>
              <w:ind w:left="417" w:leftChars="26" w:hanging="362" w:hangingChars="15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供应商从业人员数量</w:t>
            </w:r>
          </w:p>
        </w:tc>
        <w:tc>
          <w:tcPr>
            <w:tcW w:w="71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51"/>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85"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bottom"/>
          </w:tcPr>
          <w:p>
            <w:pPr>
              <w:pStyle w:val="52"/>
              <w:pageBreakBefore w:val="0"/>
              <w:kinsoku/>
              <w:wordWrap/>
              <w:overflowPunct/>
              <w:bidi w:val="0"/>
              <w:spacing w:before="84" w:line="360" w:lineRule="auto"/>
              <w:ind w:left="417" w:leftChars="26" w:hanging="362" w:hangingChars="15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p>
        </w:tc>
        <w:tc>
          <w:tcPr>
            <w:tcW w:w="3577" w:type="dxa"/>
            <w:tcBorders>
              <w:top w:val="single" w:color="000000" w:sz="4" w:space="0"/>
              <w:left w:val="single" w:color="000000" w:sz="4" w:space="0"/>
              <w:bottom w:val="single" w:color="000000" w:sz="4" w:space="0"/>
              <w:right w:val="nil"/>
            </w:tcBorders>
            <w:noWrap w:val="0"/>
            <w:vAlign w:val="top"/>
          </w:tcPr>
          <w:p>
            <w:pPr>
              <w:pStyle w:val="52"/>
              <w:pageBreakBefore w:val="0"/>
              <w:kinsoku/>
              <w:wordWrap/>
              <w:overflowPunct/>
              <w:bidi w:val="0"/>
              <w:spacing w:before="84" w:line="360" w:lineRule="auto"/>
              <w:ind w:left="101"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      职务：    职称：</w:t>
            </w:r>
          </w:p>
        </w:tc>
        <w:tc>
          <w:tcPr>
            <w:tcW w:w="3556" w:type="dxa"/>
            <w:tcBorders>
              <w:top w:val="single" w:color="000000" w:sz="4" w:space="0"/>
              <w:left w:val="nil"/>
              <w:bottom w:val="single" w:color="000000" w:sz="4" w:space="0"/>
              <w:right w:val="single" w:color="000000" w:sz="4" w:space="0"/>
            </w:tcBorders>
            <w:noWrap w:val="0"/>
            <w:vAlign w:val="top"/>
          </w:tcPr>
          <w:p>
            <w:pPr>
              <w:pStyle w:val="52"/>
              <w:pageBreakBefore w:val="0"/>
              <w:kinsoku/>
              <w:wordWrap/>
              <w:overflowPunct/>
              <w:bidi w:val="0"/>
              <w:spacing w:before="84" w:line="360" w:lineRule="auto"/>
              <w:ind w:left="42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tblPrEx>
          <w:tblCellMar>
            <w:top w:w="0" w:type="dxa"/>
            <w:left w:w="0" w:type="dxa"/>
            <w:bottom w:w="0" w:type="dxa"/>
            <w:right w:w="0" w:type="dxa"/>
          </w:tblCellMar>
        </w:tblPrEx>
        <w:trPr>
          <w:trHeight w:val="486"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bottom"/>
          </w:tcPr>
          <w:p>
            <w:pPr>
              <w:pStyle w:val="52"/>
              <w:pageBreakBefore w:val="0"/>
              <w:kinsoku/>
              <w:wordWrap/>
              <w:overflowPunct/>
              <w:bidi w:val="0"/>
              <w:spacing w:before="86" w:line="360" w:lineRule="auto"/>
              <w:ind w:left="417" w:leftChars="26" w:hanging="362" w:hangingChars="15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技术负责人</w:t>
            </w:r>
          </w:p>
        </w:tc>
        <w:tc>
          <w:tcPr>
            <w:tcW w:w="3577" w:type="dxa"/>
            <w:tcBorders>
              <w:top w:val="single" w:color="000000" w:sz="4" w:space="0"/>
              <w:left w:val="single" w:color="000000" w:sz="4" w:space="0"/>
              <w:bottom w:val="single" w:color="000000" w:sz="4" w:space="0"/>
              <w:right w:val="nil"/>
            </w:tcBorders>
            <w:noWrap w:val="0"/>
            <w:vAlign w:val="top"/>
          </w:tcPr>
          <w:p>
            <w:pPr>
              <w:pStyle w:val="52"/>
              <w:pageBreakBefore w:val="0"/>
              <w:kinsoku/>
              <w:wordWrap/>
              <w:overflowPunct/>
              <w:bidi w:val="0"/>
              <w:spacing w:before="86" w:line="360" w:lineRule="auto"/>
              <w:ind w:left="101"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      职务：    职称：</w:t>
            </w:r>
          </w:p>
        </w:tc>
        <w:tc>
          <w:tcPr>
            <w:tcW w:w="3556" w:type="dxa"/>
            <w:tcBorders>
              <w:top w:val="single" w:color="000000" w:sz="4" w:space="0"/>
              <w:left w:val="nil"/>
              <w:bottom w:val="single" w:color="000000" w:sz="4" w:space="0"/>
              <w:right w:val="single" w:color="000000" w:sz="4" w:space="0"/>
            </w:tcBorders>
            <w:noWrap w:val="0"/>
            <w:vAlign w:val="top"/>
          </w:tcPr>
          <w:p>
            <w:pPr>
              <w:pStyle w:val="52"/>
              <w:pageBreakBefore w:val="0"/>
              <w:kinsoku/>
              <w:wordWrap/>
              <w:overflowPunct/>
              <w:bidi w:val="0"/>
              <w:spacing w:before="86" w:line="360" w:lineRule="auto"/>
              <w:ind w:left="42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tblPrEx>
          <w:tblCellMar>
            <w:top w:w="0" w:type="dxa"/>
            <w:left w:w="0" w:type="dxa"/>
            <w:bottom w:w="0" w:type="dxa"/>
            <w:right w:w="0" w:type="dxa"/>
          </w:tblCellMar>
        </w:tblPrEx>
        <w:trPr>
          <w:trHeight w:val="1031"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bottom"/>
          </w:tcPr>
          <w:p>
            <w:pPr>
              <w:pStyle w:val="52"/>
              <w:pageBreakBefore w:val="0"/>
              <w:kinsoku/>
              <w:wordWrap/>
              <w:overflowPunct/>
              <w:bidi w:val="0"/>
              <w:spacing w:before="5" w:line="360" w:lineRule="auto"/>
              <w:ind w:left="417" w:leftChars="26" w:hanging="362" w:hangingChars="151"/>
              <w:jc w:val="both"/>
              <w:rPr>
                <w:rFonts w:hint="eastAsia" w:ascii="宋体" w:hAnsi="宋体" w:eastAsia="宋体" w:cs="宋体"/>
                <w:color w:val="auto"/>
                <w:kern w:val="2"/>
                <w:sz w:val="24"/>
                <w:szCs w:val="24"/>
                <w:highlight w:val="none"/>
              </w:rPr>
            </w:pPr>
          </w:p>
          <w:p>
            <w:pPr>
              <w:pStyle w:val="52"/>
              <w:pageBreakBefore w:val="0"/>
              <w:kinsoku/>
              <w:wordWrap/>
              <w:overflowPunct/>
              <w:bidi w:val="0"/>
              <w:spacing w:line="360" w:lineRule="auto"/>
              <w:ind w:left="417" w:leftChars="26" w:hanging="362" w:hangingChars="15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7133" w:type="dxa"/>
            <w:gridSpan w:val="2"/>
            <w:tcBorders>
              <w:top w:val="single" w:color="000000" w:sz="4" w:space="0"/>
              <w:left w:val="single" w:color="000000" w:sz="4" w:space="0"/>
              <w:bottom w:val="single" w:color="000000" w:sz="4" w:space="0"/>
              <w:right w:val="single" w:color="000000" w:sz="4" w:space="0"/>
            </w:tcBorders>
            <w:noWrap w:val="0"/>
            <w:vAlign w:val="top"/>
          </w:tcPr>
          <w:p>
            <w:pPr>
              <w:pStyle w:val="52"/>
              <w:pageBreakBefore w:val="0"/>
              <w:tabs>
                <w:tab w:val="left" w:pos="3735"/>
              </w:tabs>
              <w:kinsoku/>
              <w:wordWrap/>
              <w:overflowPunct/>
              <w:bidi w:val="0"/>
              <w:spacing w:before="9" w:line="360" w:lineRule="auto"/>
              <w:ind w:left="101"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联系人：</w:t>
            </w:r>
            <w:r>
              <w:rPr>
                <w:rFonts w:hint="eastAsia" w:ascii="宋体" w:hAnsi="宋体" w:eastAsia="宋体" w:cs="宋体"/>
                <w:color w:val="auto"/>
                <w:kern w:val="2"/>
                <w:sz w:val="24"/>
                <w:szCs w:val="24"/>
                <w:highlight w:val="none"/>
                <w:lang w:eastAsia="zh-CN"/>
              </w:rPr>
              <w:tab/>
            </w:r>
            <w:r>
              <w:rPr>
                <w:rFonts w:hint="eastAsia" w:ascii="宋体" w:hAnsi="宋体" w:eastAsia="宋体" w:cs="宋体"/>
                <w:color w:val="auto"/>
                <w:kern w:val="2"/>
                <w:sz w:val="24"/>
                <w:szCs w:val="24"/>
                <w:highlight w:val="none"/>
                <w:lang w:eastAsia="zh-CN"/>
              </w:rPr>
              <w:t>电</w:t>
            </w:r>
            <w:r>
              <w:rPr>
                <w:rFonts w:hint="eastAsia" w:ascii="宋体" w:hAnsi="宋体" w:eastAsia="宋体" w:cs="宋体"/>
                <w:color w:val="auto"/>
                <w:spacing w:val="103"/>
                <w:kern w:val="2"/>
                <w:sz w:val="24"/>
                <w:szCs w:val="24"/>
                <w:highlight w:val="none"/>
                <w:lang w:eastAsia="zh-CN"/>
              </w:rPr>
              <w:t xml:space="preserve"> </w:t>
            </w:r>
            <w:r>
              <w:rPr>
                <w:rFonts w:hint="eastAsia" w:ascii="宋体" w:hAnsi="宋体" w:eastAsia="宋体" w:cs="宋体"/>
                <w:color w:val="auto"/>
                <w:kern w:val="2"/>
                <w:sz w:val="24"/>
                <w:szCs w:val="24"/>
                <w:highlight w:val="none"/>
                <w:lang w:eastAsia="zh-CN"/>
              </w:rPr>
              <w:t>话：</w:t>
            </w:r>
          </w:p>
          <w:p>
            <w:pPr>
              <w:pStyle w:val="52"/>
              <w:pageBreakBefore w:val="0"/>
              <w:tabs>
                <w:tab w:val="left" w:pos="3673"/>
              </w:tabs>
              <w:kinsoku/>
              <w:wordWrap/>
              <w:overflowPunct/>
              <w:bidi w:val="0"/>
              <w:spacing w:before="84" w:line="360" w:lineRule="auto"/>
              <w:ind w:left="102"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传  真：                      邮</w:t>
            </w:r>
            <w:r>
              <w:rPr>
                <w:rFonts w:hint="eastAsia" w:ascii="宋体" w:hAnsi="宋体" w:eastAsia="宋体" w:cs="宋体"/>
                <w:color w:val="auto"/>
                <w:kern w:val="2"/>
                <w:sz w:val="24"/>
                <w:szCs w:val="24"/>
                <w:highlight w:val="none"/>
                <w:lang w:eastAsia="zh-CN"/>
              </w:rPr>
              <w:tab/>
            </w:r>
            <w:r>
              <w:rPr>
                <w:rFonts w:hint="eastAsia" w:ascii="宋体" w:hAnsi="宋体" w:eastAsia="宋体" w:cs="宋体"/>
                <w:color w:val="auto"/>
                <w:kern w:val="2"/>
                <w:sz w:val="24"/>
                <w:szCs w:val="24"/>
                <w:highlight w:val="none"/>
                <w:lang w:eastAsia="zh-CN"/>
              </w:rPr>
              <w:t>箱：</w:t>
            </w:r>
          </w:p>
        </w:tc>
      </w:tr>
      <w:tr>
        <w:tblPrEx>
          <w:tblCellMar>
            <w:top w:w="0" w:type="dxa"/>
            <w:left w:w="0" w:type="dxa"/>
            <w:bottom w:w="0" w:type="dxa"/>
            <w:right w:w="0" w:type="dxa"/>
          </w:tblCellMar>
        </w:tblPrEx>
        <w:trPr>
          <w:trHeight w:val="627" w:hRule="exact"/>
          <w:jc w:val="center"/>
        </w:trPr>
        <w:tc>
          <w:tcPr>
            <w:tcW w:w="1986" w:type="dxa"/>
            <w:tcBorders>
              <w:top w:val="single" w:color="000000" w:sz="4" w:space="0"/>
              <w:left w:val="single" w:color="000000" w:sz="4" w:space="0"/>
              <w:bottom w:val="single" w:color="000000" w:sz="4" w:space="0"/>
              <w:right w:val="single" w:color="000000" w:sz="4" w:space="0"/>
            </w:tcBorders>
            <w:noWrap w:val="0"/>
            <w:vAlign w:val="bottom"/>
          </w:tcPr>
          <w:p>
            <w:pPr>
              <w:pStyle w:val="52"/>
              <w:pageBreakBefore w:val="0"/>
              <w:kinsoku/>
              <w:wordWrap/>
              <w:overflowPunct/>
              <w:bidi w:val="0"/>
              <w:spacing w:before="84" w:line="360" w:lineRule="auto"/>
              <w:ind w:left="417" w:leftChars="26" w:hanging="362" w:hangingChars="15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基本账户</w:t>
            </w:r>
          </w:p>
        </w:tc>
        <w:tc>
          <w:tcPr>
            <w:tcW w:w="3577" w:type="dxa"/>
            <w:tcBorders>
              <w:top w:val="single" w:color="000000" w:sz="4" w:space="0"/>
              <w:left w:val="single" w:color="000000" w:sz="4" w:space="0"/>
              <w:bottom w:val="single" w:color="000000" w:sz="4" w:space="0"/>
              <w:right w:val="nil"/>
            </w:tcBorders>
            <w:noWrap w:val="0"/>
            <w:vAlign w:val="top"/>
          </w:tcPr>
          <w:p>
            <w:pPr>
              <w:pStyle w:val="52"/>
              <w:pageBreakBefore w:val="0"/>
              <w:kinsoku/>
              <w:wordWrap/>
              <w:overflowPunct/>
              <w:bidi w:val="0"/>
              <w:spacing w:before="84" w:line="360" w:lineRule="auto"/>
              <w:ind w:left="101" w:leftChars="48"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  称：</w:t>
            </w:r>
          </w:p>
        </w:tc>
        <w:tc>
          <w:tcPr>
            <w:tcW w:w="3556" w:type="dxa"/>
            <w:tcBorders>
              <w:top w:val="single" w:color="000000" w:sz="4" w:space="0"/>
              <w:left w:val="nil"/>
              <w:bottom w:val="single" w:color="000000" w:sz="4" w:space="0"/>
              <w:right w:val="single" w:color="000000" w:sz="4" w:space="0"/>
            </w:tcBorders>
            <w:noWrap w:val="0"/>
            <w:vAlign w:val="top"/>
          </w:tcPr>
          <w:p>
            <w:pPr>
              <w:pStyle w:val="52"/>
              <w:pageBreakBefore w:val="0"/>
              <w:kinsoku/>
              <w:wordWrap/>
              <w:overflowPunct/>
              <w:bidi w:val="0"/>
              <w:spacing w:before="84" w:line="360" w:lineRule="auto"/>
              <w:ind w:left="105"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账号：</w:t>
            </w:r>
          </w:p>
        </w:tc>
      </w:tr>
      <w:tr>
        <w:tblPrEx>
          <w:tblCellMar>
            <w:top w:w="0" w:type="dxa"/>
            <w:left w:w="0" w:type="dxa"/>
            <w:bottom w:w="0" w:type="dxa"/>
            <w:right w:w="0" w:type="dxa"/>
          </w:tblCellMar>
        </w:tblPrEx>
        <w:trPr>
          <w:trHeight w:val="450" w:hRule="exact"/>
          <w:jc w:val="center"/>
        </w:trPr>
        <w:tc>
          <w:tcPr>
            <w:tcW w:w="198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52"/>
              <w:pageBreakBefore w:val="0"/>
              <w:kinsoku/>
              <w:wordWrap/>
              <w:overflowPunct/>
              <w:bidi w:val="0"/>
              <w:spacing w:line="360" w:lineRule="auto"/>
              <w:ind w:firstLine="480" w:firstLineChars="200"/>
              <w:jc w:val="left"/>
              <w:rPr>
                <w:rFonts w:hint="eastAsia" w:ascii="宋体" w:hAnsi="宋体" w:eastAsia="宋体" w:cs="宋体"/>
                <w:color w:val="auto"/>
                <w:kern w:val="2"/>
                <w:sz w:val="24"/>
                <w:szCs w:val="24"/>
                <w:highlight w:val="yellow"/>
              </w:rPr>
            </w:pPr>
          </w:p>
          <w:p>
            <w:pPr>
              <w:pStyle w:val="52"/>
              <w:pageBreakBefore w:val="0"/>
              <w:kinsoku/>
              <w:wordWrap/>
              <w:overflowPunct/>
              <w:bidi w:val="0"/>
              <w:spacing w:line="360" w:lineRule="auto"/>
              <w:ind w:firstLine="480" w:firstLineChars="200"/>
              <w:jc w:val="left"/>
              <w:rPr>
                <w:rFonts w:hint="eastAsia" w:ascii="宋体" w:hAnsi="宋体" w:eastAsia="宋体" w:cs="宋体"/>
                <w:color w:val="auto"/>
                <w:kern w:val="2"/>
                <w:sz w:val="24"/>
                <w:szCs w:val="24"/>
                <w:highlight w:val="yellow"/>
              </w:rPr>
            </w:pPr>
          </w:p>
          <w:p>
            <w:pPr>
              <w:pStyle w:val="52"/>
              <w:pageBreakBefore w:val="0"/>
              <w:kinsoku/>
              <w:wordWrap/>
              <w:overflowPunct/>
              <w:bidi w:val="0"/>
              <w:spacing w:line="360" w:lineRule="auto"/>
              <w:ind w:firstLine="480" w:firstLineChars="200"/>
              <w:jc w:val="left"/>
              <w:rPr>
                <w:rFonts w:hint="eastAsia" w:ascii="宋体" w:hAnsi="宋体" w:eastAsia="宋体" w:cs="宋体"/>
                <w:color w:val="auto"/>
                <w:kern w:val="2"/>
                <w:sz w:val="24"/>
                <w:szCs w:val="24"/>
                <w:highlight w:val="yellow"/>
              </w:rPr>
            </w:pPr>
          </w:p>
          <w:p>
            <w:pPr>
              <w:pStyle w:val="52"/>
              <w:pageBreakBefore w:val="0"/>
              <w:kinsoku/>
              <w:wordWrap/>
              <w:overflowPunct/>
              <w:bidi w:val="0"/>
              <w:spacing w:line="360" w:lineRule="auto"/>
              <w:ind w:firstLine="480" w:firstLineChars="200"/>
              <w:jc w:val="left"/>
              <w:rPr>
                <w:rFonts w:hint="eastAsia" w:ascii="宋体" w:hAnsi="宋体" w:eastAsia="宋体" w:cs="宋体"/>
                <w:color w:val="auto"/>
                <w:kern w:val="2"/>
                <w:sz w:val="24"/>
                <w:szCs w:val="24"/>
                <w:highlight w:val="yellow"/>
              </w:rPr>
            </w:pPr>
          </w:p>
          <w:p>
            <w:pPr>
              <w:pStyle w:val="52"/>
              <w:pageBreakBefore w:val="0"/>
              <w:kinsoku/>
              <w:wordWrap/>
              <w:overflowPunct/>
              <w:bidi w:val="0"/>
              <w:spacing w:line="360" w:lineRule="auto"/>
              <w:ind w:firstLine="480" w:firstLineChars="200"/>
              <w:jc w:val="left"/>
              <w:rPr>
                <w:rFonts w:hint="eastAsia" w:ascii="宋体" w:hAnsi="宋体" w:eastAsia="宋体" w:cs="宋体"/>
                <w:color w:val="auto"/>
                <w:kern w:val="2"/>
                <w:sz w:val="24"/>
                <w:szCs w:val="24"/>
                <w:highlight w:val="yellow"/>
              </w:rPr>
            </w:pPr>
          </w:p>
          <w:p>
            <w:pPr>
              <w:pStyle w:val="52"/>
              <w:pageBreakBefore w:val="0"/>
              <w:kinsoku/>
              <w:wordWrap/>
              <w:overflowPunct/>
              <w:bidi w:val="0"/>
              <w:spacing w:before="6" w:line="360" w:lineRule="auto"/>
              <w:ind w:firstLine="480" w:firstLineChars="200"/>
              <w:jc w:val="left"/>
              <w:rPr>
                <w:rFonts w:hint="eastAsia" w:ascii="宋体" w:hAnsi="宋体" w:eastAsia="宋体" w:cs="宋体"/>
                <w:color w:val="auto"/>
                <w:kern w:val="2"/>
                <w:sz w:val="24"/>
                <w:szCs w:val="24"/>
                <w:highlight w:val="yellow"/>
              </w:rPr>
            </w:pPr>
          </w:p>
          <w:p>
            <w:pPr>
              <w:pStyle w:val="52"/>
              <w:keepNext w:val="0"/>
              <w:keepLines w:val="0"/>
              <w:pageBreakBefore w:val="0"/>
              <w:widowControl w:val="0"/>
              <w:kinsoku/>
              <w:wordWrap/>
              <w:overflowPunct/>
              <w:topLinePunct w:val="0"/>
              <w:autoSpaceDE/>
              <w:autoSpaceDN/>
              <w:bidi w:val="0"/>
              <w:adjustRightInd/>
              <w:snapToGrid/>
              <w:spacing w:line="360" w:lineRule="auto"/>
              <w:ind w:left="108" w:firstLine="0" w:firstLineChars="0"/>
              <w:jc w:val="center"/>
              <w:textAlignment w:val="auto"/>
              <w:rPr>
                <w:rFonts w:hint="eastAsia" w:ascii="宋体" w:hAnsi="宋体" w:eastAsia="宋体" w:cs="宋体"/>
                <w:color w:val="auto"/>
                <w:kern w:val="2"/>
                <w:sz w:val="24"/>
                <w:szCs w:val="24"/>
                <w:highlight w:val="yellow"/>
              </w:rPr>
            </w:pPr>
            <w:r>
              <w:rPr>
                <w:rFonts w:hint="eastAsia" w:ascii="宋体" w:hAnsi="宋体" w:eastAsia="宋体" w:cs="宋体"/>
                <w:color w:val="auto"/>
                <w:kern w:val="2"/>
                <w:position w:val="-170"/>
                <w:sz w:val="24"/>
                <w:szCs w:val="24"/>
                <w:highlight w:val="none"/>
              </w:rPr>
              <w:t>供应商关联情况</w:t>
            </w:r>
          </w:p>
        </w:tc>
        <w:tc>
          <w:tcPr>
            <w:tcW w:w="7133" w:type="dxa"/>
            <w:gridSpan w:val="2"/>
            <w:tcBorders>
              <w:top w:val="single" w:color="000000" w:sz="4" w:space="0"/>
              <w:left w:val="single" w:color="000000" w:sz="4" w:space="0"/>
              <w:bottom w:val="nil"/>
              <w:right w:val="single" w:color="000000" w:sz="4" w:space="0"/>
            </w:tcBorders>
            <w:noWrap w:val="0"/>
            <w:vAlign w:val="top"/>
          </w:tcPr>
          <w:p>
            <w:pPr>
              <w:pStyle w:val="52"/>
              <w:pageBreakBefore w:val="0"/>
              <w:kinsoku/>
              <w:wordWrap/>
              <w:overflowPunct/>
              <w:bidi w:val="0"/>
              <w:spacing w:line="360" w:lineRule="auto"/>
              <w:ind w:left="101"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1：与我公司单位负责人为同一人的其他单位名称：</w:t>
            </w:r>
          </w:p>
        </w:tc>
      </w:tr>
      <w:tr>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7133" w:type="dxa"/>
            <w:gridSpan w:val="2"/>
            <w:tcBorders>
              <w:top w:val="nil"/>
              <w:left w:val="single" w:color="000000" w:sz="4" w:space="0"/>
              <w:bottom w:val="nil"/>
              <w:right w:val="single" w:color="000000" w:sz="4" w:space="0"/>
            </w:tcBorders>
            <w:noWrap w:val="0"/>
            <w:vAlign w:val="top"/>
          </w:tcPr>
          <w:p>
            <w:pPr>
              <w:pStyle w:val="52"/>
              <w:pageBreakBefore w:val="0"/>
              <w:kinsoku/>
              <w:wordWrap/>
              <w:overflowPunct/>
              <w:bidi w:val="0"/>
              <w:spacing w:line="360" w:lineRule="auto"/>
              <w:ind w:left="101"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w:t>
            </w:r>
          </w:p>
        </w:tc>
      </w:tr>
      <w:tr>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360" w:lineRule="auto"/>
              <w:ind w:firstLine="480" w:firstLineChars="200"/>
              <w:jc w:val="left"/>
              <w:rPr>
                <w:rFonts w:hint="eastAsia" w:ascii="宋体" w:hAnsi="宋体" w:eastAsia="宋体" w:cs="宋体"/>
                <w:color w:val="auto"/>
                <w:sz w:val="24"/>
                <w:szCs w:val="24"/>
                <w:highlight w:val="none"/>
                <w:lang w:eastAsia="en-US"/>
              </w:rPr>
            </w:pPr>
          </w:p>
        </w:tc>
        <w:tc>
          <w:tcPr>
            <w:tcW w:w="7133" w:type="dxa"/>
            <w:gridSpan w:val="2"/>
            <w:tcBorders>
              <w:top w:val="nil"/>
              <w:left w:val="single" w:color="000000" w:sz="4" w:space="0"/>
              <w:bottom w:val="nil"/>
              <w:right w:val="single" w:color="000000" w:sz="4" w:space="0"/>
            </w:tcBorders>
            <w:noWrap w:val="0"/>
            <w:vAlign w:val="top"/>
          </w:tcPr>
          <w:p>
            <w:pPr>
              <w:pStyle w:val="52"/>
              <w:pageBreakBefore w:val="0"/>
              <w:kinsoku/>
              <w:wordWrap/>
              <w:overflowPunct/>
              <w:bidi w:val="0"/>
              <w:spacing w:line="360" w:lineRule="auto"/>
              <w:ind w:left="101"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color="000000"/>
              </w:rPr>
              <w:t>□</w:t>
            </w:r>
            <w:r>
              <w:rPr>
                <w:rFonts w:hint="eastAsia" w:ascii="宋体" w:hAnsi="宋体" w:eastAsia="宋体" w:cs="宋体"/>
                <w:color w:val="auto"/>
                <w:kern w:val="2"/>
                <w:sz w:val="24"/>
                <w:szCs w:val="24"/>
                <w:highlight w:val="none"/>
              </w:rPr>
              <w:t xml:space="preserve">有：                                  </w:t>
            </w:r>
            <w:r>
              <w:rPr>
                <w:rFonts w:hint="eastAsia" w:ascii="宋体" w:hAnsi="宋体" w:eastAsia="宋体" w:cs="宋体"/>
                <w:color w:val="auto"/>
                <w:spacing w:val="68"/>
                <w:kern w:val="2"/>
                <w:sz w:val="24"/>
                <w:szCs w:val="24"/>
                <w:highlight w:val="none"/>
              </w:rPr>
              <w:t xml:space="preserve"> </w:t>
            </w:r>
            <w:r>
              <w:rPr>
                <w:rFonts w:hint="eastAsia" w:ascii="宋体" w:hAnsi="宋体" w:eastAsia="宋体" w:cs="宋体"/>
                <w:color w:val="auto"/>
                <w:kern w:val="2"/>
                <w:sz w:val="24"/>
                <w:szCs w:val="24"/>
                <w:highlight w:val="none"/>
              </w:rPr>
              <w:t>。</w:t>
            </w:r>
          </w:p>
        </w:tc>
      </w:tr>
      <w:tr>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360" w:lineRule="auto"/>
              <w:ind w:firstLine="480" w:firstLineChars="200"/>
              <w:jc w:val="left"/>
              <w:rPr>
                <w:rFonts w:hint="eastAsia" w:ascii="宋体" w:hAnsi="宋体" w:eastAsia="宋体" w:cs="宋体"/>
                <w:color w:val="auto"/>
                <w:sz w:val="24"/>
                <w:szCs w:val="24"/>
                <w:highlight w:val="none"/>
                <w:lang w:eastAsia="en-US"/>
              </w:rPr>
            </w:pPr>
          </w:p>
        </w:tc>
        <w:tc>
          <w:tcPr>
            <w:tcW w:w="7133" w:type="dxa"/>
            <w:gridSpan w:val="2"/>
            <w:tcBorders>
              <w:top w:val="nil"/>
              <w:left w:val="single" w:color="000000" w:sz="4" w:space="0"/>
              <w:bottom w:val="nil"/>
              <w:right w:val="single" w:color="000000" w:sz="4" w:space="0"/>
            </w:tcBorders>
            <w:noWrap w:val="0"/>
            <w:vAlign w:val="top"/>
          </w:tcPr>
          <w:p>
            <w:pPr>
              <w:pStyle w:val="52"/>
              <w:pageBreakBefore w:val="0"/>
              <w:kinsoku/>
              <w:wordWrap/>
              <w:overflowPunct/>
              <w:bidi w:val="0"/>
              <w:spacing w:line="360" w:lineRule="auto"/>
              <w:ind w:left="101"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2、与我公司存在控股、管理关系的其他单位的名称：</w:t>
            </w:r>
          </w:p>
        </w:tc>
      </w:tr>
      <w:tr>
        <w:tblPrEx>
          <w:tblCellMar>
            <w:top w:w="0" w:type="dxa"/>
            <w:left w:w="0" w:type="dxa"/>
            <w:bottom w:w="0" w:type="dxa"/>
            <w:right w:w="0" w:type="dxa"/>
          </w:tblCellMar>
        </w:tblPrEx>
        <w:trPr>
          <w:trHeight w:val="31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7133" w:type="dxa"/>
            <w:gridSpan w:val="2"/>
            <w:tcBorders>
              <w:top w:val="nil"/>
              <w:left w:val="single" w:color="000000" w:sz="4" w:space="0"/>
              <w:bottom w:val="nil"/>
              <w:right w:val="single" w:color="000000" w:sz="4" w:space="0"/>
            </w:tcBorders>
            <w:noWrap w:val="0"/>
            <w:vAlign w:val="top"/>
          </w:tcPr>
          <w:p>
            <w:pPr>
              <w:pStyle w:val="52"/>
              <w:pageBreakBefore w:val="0"/>
              <w:kinsoku/>
              <w:wordWrap/>
              <w:overflowPunct/>
              <w:bidi w:val="0"/>
              <w:spacing w:line="360" w:lineRule="auto"/>
              <w:ind w:left="101"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w:t>
            </w:r>
          </w:p>
        </w:tc>
      </w:tr>
      <w:tr>
        <w:tblPrEx>
          <w:tblCellMar>
            <w:top w:w="0" w:type="dxa"/>
            <w:left w:w="0" w:type="dxa"/>
            <w:bottom w:w="0" w:type="dxa"/>
            <w:right w:w="0" w:type="dxa"/>
          </w:tblCellMar>
        </w:tblPrEx>
        <w:trPr>
          <w:trHeight w:val="330"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360" w:lineRule="auto"/>
              <w:ind w:firstLine="480" w:firstLineChars="200"/>
              <w:jc w:val="left"/>
              <w:rPr>
                <w:rFonts w:hint="eastAsia" w:ascii="宋体" w:hAnsi="宋体" w:eastAsia="宋体" w:cs="宋体"/>
                <w:color w:val="auto"/>
                <w:sz w:val="24"/>
                <w:szCs w:val="24"/>
                <w:highlight w:val="none"/>
                <w:lang w:eastAsia="en-US"/>
              </w:rPr>
            </w:pPr>
          </w:p>
        </w:tc>
        <w:tc>
          <w:tcPr>
            <w:tcW w:w="7133" w:type="dxa"/>
            <w:gridSpan w:val="2"/>
            <w:tcBorders>
              <w:top w:val="nil"/>
              <w:left w:val="single" w:color="000000" w:sz="4" w:space="0"/>
              <w:bottom w:val="nil"/>
              <w:right w:val="single" w:color="000000" w:sz="4" w:space="0"/>
            </w:tcBorders>
            <w:noWrap w:val="0"/>
            <w:vAlign w:val="top"/>
          </w:tcPr>
          <w:p>
            <w:pPr>
              <w:pStyle w:val="52"/>
              <w:pageBreakBefore w:val="0"/>
              <w:kinsoku/>
              <w:wordWrap/>
              <w:overflowPunct/>
              <w:bidi w:val="0"/>
              <w:spacing w:line="360" w:lineRule="auto"/>
              <w:ind w:left="101"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color="000000"/>
              </w:rPr>
              <w:t>□</w:t>
            </w:r>
            <w:r>
              <w:rPr>
                <w:rFonts w:hint="eastAsia" w:ascii="宋体" w:hAnsi="宋体" w:eastAsia="宋体" w:cs="宋体"/>
                <w:color w:val="auto"/>
                <w:kern w:val="2"/>
                <w:sz w:val="24"/>
                <w:szCs w:val="24"/>
                <w:highlight w:val="none"/>
              </w:rPr>
              <w:t xml:space="preserve">有：                                   </w:t>
            </w:r>
            <w:r>
              <w:rPr>
                <w:rFonts w:hint="eastAsia" w:ascii="宋体" w:hAnsi="宋体" w:eastAsia="宋体" w:cs="宋体"/>
                <w:color w:val="auto"/>
                <w:spacing w:val="68"/>
                <w:kern w:val="2"/>
                <w:sz w:val="24"/>
                <w:szCs w:val="24"/>
                <w:highlight w:val="none"/>
              </w:rPr>
              <w:t xml:space="preserve"> </w:t>
            </w:r>
            <w:r>
              <w:rPr>
                <w:rFonts w:hint="eastAsia" w:ascii="宋体" w:hAnsi="宋体" w:eastAsia="宋体" w:cs="宋体"/>
                <w:color w:val="auto"/>
                <w:kern w:val="2"/>
                <w:sz w:val="24"/>
                <w:szCs w:val="24"/>
                <w:highlight w:val="none"/>
              </w:rPr>
              <w:t>。</w:t>
            </w:r>
          </w:p>
        </w:tc>
      </w:tr>
      <w:tr>
        <w:tblPrEx>
          <w:tblCellMar>
            <w:top w:w="0" w:type="dxa"/>
            <w:left w:w="0" w:type="dxa"/>
            <w:bottom w:w="0" w:type="dxa"/>
            <w:right w:w="0" w:type="dxa"/>
          </w:tblCellMar>
        </w:tblPrEx>
        <w:trPr>
          <w:trHeight w:val="353"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360" w:lineRule="auto"/>
              <w:ind w:firstLine="480" w:firstLineChars="200"/>
              <w:jc w:val="left"/>
              <w:rPr>
                <w:rFonts w:hint="eastAsia" w:ascii="宋体" w:hAnsi="宋体" w:eastAsia="宋体" w:cs="宋体"/>
                <w:color w:val="auto"/>
                <w:sz w:val="24"/>
                <w:szCs w:val="24"/>
                <w:highlight w:val="none"/>
                <w:lang w:eastAsia="en-US"/>
              </w:rPr>
            </w:pPr>
          </w:p>
        </w:tc>
        <w:tc>
          <w:tcPr>
            <w:tcW w:w="7133" w:type="dxa"/>
            <w:gridSpan w:val="2"/>
            <w:tcBorders>
              <w:top w:val="nil"/>
              <w:left w:val="single" w:color="000000" w:sz="4" w:space="0"/>
              <w:bottom w:val="nil"/>
              <w:right w:val="single" w:color="000000" w:sz="4" w:space="0"/>
            </w:tcBorders>
            <w:noWrap w:val="0"/>
            <w:vAlign w:val="top"/>
          </w:tcPr>
          <w:p>
            <w:pPr>
              <w:pStyle w:val="52"/>
              <w:pageBreakBefore w:val="0"/>
              <w:kinsoku/>
              <w:wordWrap/>
              <w:overflowPunct/>
              <w:bidi w:val="0"/>
              <w:spacing w:before="8" w:line="360" w:lineRule="auto"/>
              <w:ind w:left="101"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tblPrEx>
          <w:tblCellMar>
            <w:top w:w="0" w:type="dxa"/>
            <w:left w:w="0" w:type="dxa"/>
            <w:bottom w:w="0" w:type="dxa"/>
            <w:right w:w="0" w:type="dxa"/>
          </w:tblCellMar>
        </w:tblPrEx>
        <w:trPr>
          <w:trHeight w:val="358"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360" w:lineRule="auto"/>
              <w:ind w:firstLine="480" w:firstLineChars="200"/>
              <w:jc w:val="left"/>
              <w:rPr>
                <w:rFonts w:hint="eastAsia" w:ascii="宋体" w:hAnsi="宋体" w:eastAsia="宋体" w:cs="宋体"/>
                <w:color w:val="auto"/>
                <w:sz w:val="24"/>
                <w:szCs w:val="24"/>
                <w:highlight w:val="none"/>
                <w:lang w:eastAsia="en-US"/>
              </w:rPr>
            </w:pPr>
          </w:p>
        </w:tc>
        <w:tc>
          <w:tcPr>
            <w:tcW w:w="7133" w:type="dxa"/>
            <w:gridSpan w:val="2"/>
            <w:tcBorders>
              <w:top w:val="nil"/>
              <w:left w:val="single" w:color="000000" w:sz="4" w:space="0"/>
              <w:bottom w:val="nil"/>
              <w:right w:val="single" w:color="000000" w:sz="4" w:space="0"/>
            </w:tcBorders>
            <w:noWrap w:val="0"/>
            <w:vAlign w:val="top"/>
          </w:tcPr>
          <w:p>
            <w:pPr>
              <w:pStyle w:val="52"/>
              <w:pageBreakBefore w:val="0"/>
              <w:kinsoku/>
              <w:wordWrap/>
              <w:overflowPunct/>
              <w:bidi w:val="0"/>
              <w:spacing w:before="9" w:line="360" w:lineRule="auto"/>
              <w:ind w:left="101"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1、“单位负责人”是指单位法定代表人或者法律、行政法规规定代表</w:t>
            </w:r>
          </w:p>
        </w:tc>
      </w:tr>
      <w:tr>
        <w:tblPrEx>
          <w:tblCellMar>
            <w:top w:w="0" w:type="dxa"/>
            <w:left w:w="0" w:type="dxa"/>
            <w:bottom w:w="0" w:type="dxa"/>
            <w:right w:w="0" w:type="dxa"/>
          </w:tblCellMar>
        </w:tblPrEx>
        <w:trPr>
          <w:trHeight w:val="349"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7133" w:type="dxa"/>
            <w:gridSpan w:val="2"/>
            <w:tcBorders>
              <w:top w:val="nil"/>
              <w:left w:val="single" w:color="000000" w:sz="4" w:space="0"/>
              <w:bottom w:val="nil"/>
              <w:right w:val="single" w:color="000000" w:sz="4" w:space="0"/>
            </w:tcBorders>
            <w:noWrap w:val="0"/>
            <w:vAlign w:val="top"/>
          </w:tcPr>
          <w:p>
            <w:pPr>
              <w:pStyle w:val="52"/>
              <w:pageBreakBefore w:val="0"/>
              <w:kinsoku/>
              <w:wordWrap/>
              <w:overflowPunct/>
              <w:bidi w:val="0"/>
              <w:spacing w:before="4" w:line="360" w:lineRule="auto"/>
              <w:ind w:left="101"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单位行使职权的主要负责人。</w:t>
            </w:r>
          </w:p>
        </w:tc>
      </w:tr>
      <w:tr>
        <w:tblPrEx>
          <w:tblCellMar>
            <w:top w:w="0" w:type="dxa"/>
            <w:left w:w="0" w:type="dxa"/>
            <w:bottom w:w="0" w:type="dxa"/>
            <w:right w:w="0" w:type="dxa"/>
          </w:tblCellMar>
        </w:tblPrEx>
        <w:trPr>
          <w:trHeight w:val="358"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7133" w:type="dxa"/>
            <w:gridSpan w:val="2"/>
            <w:tcBorders>
              <w:top w:val="nil"/>
              <w:left w:val="single" w:color="000000" w:sz="4" w:space="0"/>
              <w:bottom w:val="nil"/>
              <w:right w:val="single" w:color="000000" w:sz="4" w:space="0"/>
            </w:tcBorders>
            <w:noWrap w:val="0"/>
            <w:vAlign w:val="top"/>
          </w:tcPr>
          <w:p>
            <w:pPr>
              <w:pStyle w:val="52"/>
              <w:pageBreakBefore w:val="0"/>
              <w:kinsoku/>
              <w:wordWrap/>
              <w:overflowPunct/>
              <w:bidi w:val="0"/>
              <w:spacing w:before="9" w:line="360" w:lineRule="auto"/>
              <w:ind w:left="102"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2、本条所规定的控股、管理关系仅限于直接控股、直接管理关系，不</w:t>
            </w:r>
          </w:p>
        </w:tc>
      </w:tr>
      <w:tr>
        <w:tblPrEx>
          <w:tblCellMar>
            <w:top w:w="0" w:type="dxa"/>
            <w:left w:w="0" w:type="dxa"/>
            <w:bottom w:w="0" w:type="dxa"/>
            <w:right w:w="0" w:type="dxa"/>
          </w:tblCellMar>
        </w:tblPrEx>
        <w:trPr>
          <w:trHeight w:val="372" w:hRule="atLeast"/>
          <w:jc w:val="center"/>
        </w:trPr>
        <w:tc>
          <w:tcPr>
            <w:tcW w:w="198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7133" w:type="dxa"/>
            <w:gridSpan w:val="2"/>
            <w:tcBorders>
              <w:top w:val="nil"/>
              <w:left w:val="single" w:color="000000" w:sz="4" w:space="0"/>
              <w:bottom w:val="single" w:color="000000" w:sz="4" w:space="0"/>
              <w:right w:val="single" w:color="000000" w:sz="4" w:space="0"/>
            </w:tcBorders>
            <w:noWrap w:val="0"/>
            <w:vAlign w:val="top"/>
          </w:tcPr>
          <w:p>
            <w:pPr>
              <w:pStyle w:val="52"/>
              <w:pageBreakBefore w:val="0"/>
              <w:kinsoku/>
              <w:wordWrap/>
              <w:overflowPunct/>
              <w:bidi w:val="0"/>
              <w:spacing w:before="4" w:line="360" w:lineRule="auto"/>
              <w:ind w:left="102"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包括间接的控股或管理关系。</w:t>
            </w:r>
          </w:p>
        </w:tc>
      </w:tr>
    </w:tbl>
    <w:p>
      <w:pPr>
        <w:pStyle w:val="53"/>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法定代表人（单位负责人）或其委托代理人（签字或签章）：</w:t>
      </w:r>
    </w:p>
    <w:p>
      <w:pPr>
        <w:pStyle w:val="53"/>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p>
    <w:p>
      <w:pPr>
        <w:pStyle w:val="5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pStyle w:val="46"/>
        <w:pageBreakBefore w:val="0"/>
        <w:kinsoku/>
        <w:overflowPunct/>
        <w:bidi w:val="0"/>
        <w:spacing w:line="360" w:lineRule="auto"/>
        <w:ind w:firstLine="482" w:firstLineChars="200"/>
        <w:jc w:val="left"/>
        <w:outlineLvl w:val="2"/>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br w:type="page"/>
      </w:r>
      <w:bookmarkStart w:id="439" w:name="_Toc6986"/>
      <w:bookmarkStart w:id="440" w:name="_Toc29676"/>
      <w:bookmarkStart w:id="441" w:name="_Toc31735"/>
      <w:bookmarkStart w:id="442" w:name="_Toc910"/>
      <w:bookmarkStart w:id="443" w:name="_Toc5596"/>
      <w:bookmarkStart w:id="444" w:name="_Toc12635"/>
      <w:r>
        <w:rPr>
          <w:rFonts w:hint="eastAsia" w:ascii="宋体" w:hAnsi="宋体" w:eastAsia="宋体" w:cs="宋体"/>
          <w:color w:val="auto"/>
          <w:sz w:val="24"/>
          <w:szCs w:val="24"/>
          <w:highlight w:val="none"/>
        </w:rPr>
        <w:t>（二）</w:t>
      </w:r>
      <w:bookmarkEnd w:id="439"/>
      <w:bookmarkEnd w:id="440"/>
      <w:bookmarkEnd w:id="441"/>
      <w:r>
        <w:rPr>
          <w:rFonts w:hint="eastAsia" w:ascii="宋体" w:hAnsi="宋体" w:eastAsia="宋体" w:cs="宋体"/>
          <w:sz w:val="24"/>
          <w:szCs w:val="24"/>
          <w:highlight w:val="none"/>
        </w:rPr>
        <w:t>兵团政府采购供应商信用承诺函</w:t>
      </w:r>
      <w:bookmarkEnd w:id="442"/>
      <w:bookmarkEnd w:id="443"/>
      <w:bookmarkEnd w:id="444"/>
    </w:p>
    <w:p>
      <w:pPr>
        <w:wordWrap w:val="0"/>
        <w:spacing w:line="560" w:lineRule="exact"/>
        <w:ind w:firstLine="960" w:firstLineChars="400"/>
        <w:jc w:val="center"/>
        <w:outlineLvl w:val="9"/>
        <w:rPr>
          <w:rFonts w:hint="eastAsia" w:ascii="宋体" w:hAnsi="宋体" w:eastAsia="宋体" w:cs="宋体"/>
          <w:kern w:val="0"/>
          <w:sz w:val="24"/>
          <w:szCs w:val="24"/>
        </w:rPr>
      </w:pPr>
      <w:bookmarkStart w:id="445" w:name="_Toc22426"/>
      <w:bookmarkStart w:id="446" w:name="_Toc215"/>
      <w:bookmarkStart w:id="447" w:name="_Toc13143"/>
      <w:bookmarkStart w:id="448" w:name="_Toc8490"/>
      <w:bookmarkStart w:id="449" w:name="_Toc10667"/>
      <w:bookmarkStart w:id="450" w:name="_Toc31932"/>
      <w:r>
        <w:rPr>
          <w:rFonts w:hint="eastAsia" w:ascii="宋体" w:hAnsi="宋体" w:eastAsia="宋体" w:cs="宋体"/>
          <w:kern w:val="0"/>
          <w:sz w:val="24"/>
          <w:szCs w:val="24"/>
        </w:rPr>
        <w:t>兵团政府采购</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信用承诺函</w:t>
      </w:r>
    </w:p>
    <w:p>
      <w:pPr>
        <w:wordWrap w:val="0"/>
        <w:spacing w:line="560" w:lineRule="exact"/>
        <w:rPr>
          <w:rFonts w:hint="eastAsia" w:ascii="宋体" w:hAnsi="宋体" w:eastAsia="宋体" w:cs="宋体"/>
          <w:kern w:val="0"/>
          <w:sz w:val="24"/>
          <w:szCs w:val="24"/>
        </w:rPr>
      </w:pPr>
    </w:p>
    <w:p>
      <w:pPr>
        <w:wordWrap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单位名称(自然人姓名)：</w:t>
      </w:r>
    </w:p>
    <w:p>
      <w:pPr>
        <w:wordWrap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统一社会信用代码(身份证号码)：</w:t>
      </w:r>
    </w:p>
    <w:p>
      <w:pPr>
        <w:wordWrap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法定代表人(负责人)：</w:t>
      </w:r>
    </w:p>
    <w:p>
      <w:pPr>
        <w:wordWrap w:val="0"/>
        <w:spacing w:line="560" w:lineRule="exact"/>
        <w:ind w:firstLine="480" w:firstLineChars="200"/>
        <w:rPr>
          <w:rFonts w:hint="eastAsia" w:ascii="宋体" w:hAnsi="宋体" w:eastAsia="宋体" w:cs="宋体"/>
          <w:kern w:val="0"/>
          <w:sz w:val="24"/>
          <w:szCs w:val="24"/>
        </w:rPr>
      </w:pP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我单位（本人）自愿参加本次政府采购活动，严格遵守《中华人民共和国政府采购法》及相关法律法规，坚守公开、公平、公正和诚实信用等原则，依法诚信经营，并郑重承诺：</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、我单位（本人）符合《 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（一）具有独立承担民事责任的能力；</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（二）具有良好的商业信誉和健全的财务会计制度；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（三）具有履行合同所必需的设备和专业技术能力；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（四）有依法缴纳税收和社会保障资金的良好记录；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（五）参加政府采购活动前三年内，在经营活动中没有重大违法记录；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（六）符合法律、行政法规规定的其他条件。</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二、我单位（本人）未被列入严重违法失信名单、失信被执行人名单、重大税收违法案件当事人名单、政府采购严重违法失信行为记录名单。</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三、如果本公司（本人）有幸中标（成交）</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在合同签订之前，采购单位有权要求本公司（本人）提供资格证明材料原件进行核验。</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四、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贵任；给他人造成损失的，并应依照有关民事法律规定承担民事责任。</w:t>
      </w:r>
    </w:p>
    <w:p>
      <w:pPr>
        <w:wordWrap w:val="0"/>
        <w:spacing w:line="560" w:lineRule="exact"/>
        <w:rPr>
          <w:rFonts w:hint="eastAsia" w:ascii="宋体" w:hAnsi="宋体" w:eastAsia="宋体" w:cs="宋体"/>
          <w:kern w:val="0"/>
          <w:sz w:val="24"/>
          <w:szCs w:val="24"/>
        </w:rPr>
      </w:pPr>
    </w:p>
    <w:p>
      <w:pPr>
        <w:wordWrap w:val="0"/>
        <w:spacing w:line="560" w:lineRule="exact"/>
        <w:rPr>
          <w:rFonts w:hint="eastAsia" w:ascii="宋体" w:hAnsi="宋体" w:eastAsia="宋体" w:cs="宋体"/>
          <w:kern w:val="0"/>
          <w:sz w:val="24"/>
          <w:szCs w:val="24"/>
        </w:rPr>
      </w:pPr>
    </w:p>
    <w:p>
      <w:pPr>
        <w:wordWrap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供应商（印章）：</w:t>
      </w:r>
    </w:p>
    <w:p>
      <w:pPr>
        <w:wordWrap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法定代表人、负责人、本人、或授权代表（签字或印章）：</w:t>
      </w:r>
    </w:p>
    <w:p>
      <w:pPr>
        <w:wordWrap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日期 ：</w:t>
      </w:r>
      <w:r>
        <w:rPr>
          <w:rFonts w:hint="eastAsia" w:ascii="宋体" w:hAnsi="宋体" w:eastAsia="宋体" w:cs="宋体"/>
          <w:kern w:val="0"/>
          <w:sz w:val="24"/>
          <w:szCs w:val="24"/>
        </w:rPr>
        <w:tab/>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年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日</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46"/>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）联合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协议书</w:t>
      </w:r>
      <w:bookmarkEnd w:id="445"/>
      <w:bookmarkEnd w:id="446"/>
      <w:bookmarkEnd w:id="447"/>
      <w:bookmarkEnd w:id="448"/>
      <w:bookmarkEnd w:id="449"/>
      <w:bookmarkEnd w:id="450"/>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本项目接受联合体响应</w:t>
      </w:r>
      <w:r>
        <w:rPr>
          <w:rFonts w:hint="eastAsia" w:ascii="宋体" w:hAnsi="宋体" w:eastAsia="宋体" w:cs="宋体"/>
          <w:color w:val="auto"/>
          <w:sz w:val="24"/>
          <w:szCs w:val="24"/>
          <w:highlight w:val="none"/>
          <w:lang w:eastAsia="zh-CN"/>
        </w:rPr>
        <w:t>）</w:t>
      </w:r>
    </w:p>
    <w:p>
      <w:pPr>
        <w:pStyle w:val="48"/>
        <w:pageBreakBefore w:val="0"/>
        <w:kinsoku/>
        <w:wordWrap/>
        <w:overflowPunct/>
        <w:bidi w:val="0"/>
        <w:spacing w:line="360" w:lineRule="auto"/>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联合</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协议书</w:t>
      </w:r>
    </w:p>
    <w:p>
      <w:pPr>
        <w:pStyle w:val="56"/>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。现就联合体</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事宜订立如下协议。</w:t>
      </w:r>
    </w:p>
    <w:p>
      <w:pPr>
        <w:pStyle w:val="56"/>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（联合体名称）牵头人。</w:t>
      </w:r>
    </w:p>
    <w:p>
      <w:pPr>
        <w:pStyle w:val="56"/>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活动，签署文件，提交和接收相关的资料、信息及指示，进行合同谈判活动，负责合同实施阶段的组织和协调工作，以及处理与本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项目有关的一切事宜。</w:t>
      </w:r>
    </w:p>
    <w:p>
      <w:pPr>
        <w:pStyle w:val="56"/>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3.联合体牵头人在本项目中签署的一切文件和处理的一切事宜，联合体各成员均予以承认。联合体各成员将严格按照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文件、响应文件和合同的要求全面履行义务，并向</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人承担连带责任。</w:t>
      </w:r>
    </w:p>
    <w:p>
      <w:pPr>
        <w:pStyle w:val="56"/>
        <w:pageBreakBefore w:val="0"/>
        <w:kinsoku/>
        <w:wordWrap/>
        <w:overflowPunct/>
        <w:topLinePunct/>
        <w:bidi w:val="0"/>
        <w:spacing w:line="360" w:lineRule="auto"/>
        <w:ind w:left="141" w:leftChars="67"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r>
        <w:rPr>
          <w:rFonts w:hint="eastAsia" w:ascii="宋体" w:hAnsi="宋体" w:eastAsia="宋体" w:cs="宋体"/>
          <w:color w:val="auto"/>
          <w:sz w:val="24"/>
          <w:szCs w:val="24"/>
          <w:highlight w:val="none"/>
          <w:u w:val="single"/>
        </w:rPr>
        <w:t>（牵头人名称）</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专业工程；</w:t>
      </w:r>
      <w:r>
        <w:rPr>
          <w:rFonts w:hint="eastAsia" w:ascii="宋体" w:hAnsi="宋体" w:eastAsia="宋体" w:cs="宋体"/>
          <w:color w:val="auto"/>
          <w:sz w:val="24"/>
          <w:szCs w:val="24"/>
          <w:highlight w:val="none"/>
          <w:u w:val="single"/>
        </w:rPr>
        <w:t>（成员一名称）</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专业工程；……。</w:t>
      </w:r>
    </w:p>
    <w:p>
      <w:pPr>
        <w:pStyle w:val="56"/>
        <w:pageBreakBefore w:val="0"/>
        <w:kinsoku/>
        <w:wordWrap/>
        <w:overflowPunct/>
        <w:topLine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工作和联合体在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后项目服务过程中的有关费用按各自承担的工作量分摊。</w:t>
      </w:r>
    </w:p>
    <w:p>
      <w:pPr>
        <w:pStyle w:val="56"/>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6.本协议书自所有成员单位法定代表人签字并加盖单位章之日起生效，合同履行完毕后自动失效。</w:t>
      </w:r>
    </w:p>
    <w:p>
      <w:pPr>
        <w:pStyle w:val="56"/>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份，联合体成员和</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人各执一份。</w:t>
      </w:r>
    </w:p>
    <w:p>
      <w:pPr>
        <w:pStyle w:val="56"/>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Style w:val="56"/>
        <w:pageBreakBefore w:val="0"/>
        <w:kinsoku/>
        <w:wordWrap/>
        <w:overflowPunct/>
        <w:topLine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pStyle w:val="56"/>
        <w:pageBreakBefore w:val="0"/>
        <w:kinsoku/>
        <w:wordWrap/>
        <w:overflowPunct/>
        <w:topLine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pStyle w:val="56"/>
        <w:pageBreakBefore w:val="0"/>
        <w:kinsoku/>
        <w:wordWrap/>
        <w:overflowPunct/>
        <w:topLinePunct/>
        <w:bidi w:val="0"/>
        <w:spacing w:line="360" w:lineRule="auto"/>
        <w:ind w:firstLine="480" w:firstLineChars="200"/>
        <w:jc w:val="left"/>
        <w:rPr>
          <w:rFonts w:hint="eastAsia" w:ascii="宋体" w:hAnsi="宋体" w:eastAsia="宋体" w:cs="宋体"/>
          <w:color w:val="auto"/>
          <w:sz w:val="24"/>
          <w:szCs w:val="24"/>
          <w:highlight w:val="none"/>
        </w:rPr>
      </w:pPr>
    </w:p>
    <w:p>
      <w:pPr>
        <w:pStyle w:val="56"/>
        <w:pageBreakBefore w:val="0"/>
        <w:kinsoku/>
        <w:wordWrap/>
        <w:overflowPunct/>
        <w:topLine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pStyle w:val="56"/>
        <w:pageBreakBefore w:val="0"/>
        <w:kinsoku/>
        <w:wordWrap/>
        <w:overflowPunct/>
        <w:topLine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pStyle w:val="56"/>
        <w:pageBreakBefore w:val="0"/>
        <w:kinsoku/>
        <w:wordWrap/>
        <w:overflowPunct/>
        <w:topLinePunct/>
        <w:bidi w:val="0"/>
        <w:spacing w:line="360" w:lineRule="auto"/>
        <w:ind w:firstLine="480" w:firstLineChars="200"/>
        <w:jc w:val="left"/>
        <w:rPr>
          <w:rFonts w:hint="eastAsia" w:ascii="宋体" w:hAnsi="宋体" w:eastAsia="宋体" w:cs="宋体"/>
          <w:color w:val="auto"/>
          <w:sz w:val="24"/>
          <w:szCs w:val="24"/>
          <w:highlight w:val="none"/>
        </w:rPr>
      </w:pPr>
    </w:p>
    <w:p>
      <w:pPr>
        <w:pStyle w:val="56"/>
        <w:pageBreakBefore w:val="0"/>
        <w:kinsoku/>
        <w:wordWrap/>
        <w:overflowPunct/>
        <w:topLine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pStyle w:val="56"/>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pStyle w:val="36"/>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b/>
          <w:color w:val="auto"/>
          <w:sz w:val="24"/>
          <w:szCs w:val="24"/>
          <w:highlight w:val="none"/>
          <w:lang w:val="en-US" w:eastAsia="zh-CN" w:bidi="ar-SA"/>
        </w:rPr>
      </w:pPr>
      <w:bookmarkStart w:id="451" w:name="_Toc19714"/>
      <w:bookmarkStart w:id="452" w:name="_Toc28173"/>
      <w:bookmarkStart w:id="453" w:name="_Toc14452"/>
      <w:bookmarkStart w:id="454" w:name="_Toc9806"/>
      <w:bookmarkStart w:id="455" w:name="_Toc30716"/>
      <w:bookmarkStart w:id="456" w:name="_Toc3381"/>
      <w:r>
        <w:rPr>
          <w:rFonts w:hint="eastAsia" w:ascii="宋体" w:hAnsi="宋体" w:eastAsia="宋体" w:cs="宋体"/>
          <w:b/>
          <w:color w:val="auto"/>
          <w:sz w:val="24"/>
          <w:szCs w:val="24"/>
          <w:highlight w:val="none"/>
          <w:lang w:val="en-US" w:eastAsia="zh-CN" w:bidi="ar-SA"/>
        </w:rPr>
        <w:br w:type="page"/>
      </w:r>
    </w:p>
    <w:p>
      <w:pPr>
        <w:pStyle w:val="46"/>
        <w:pageBreakBefore w:val="0"/>
        <w:numPr>
          <w:ilvl w:val="0"/>
          <w:numId w:val="0"/>
        </w:numPr>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bidi="ar-SA"/>
        </w:rPr>
        <w:t>(四)</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保证金</w:t>
      </w:r>
      <w:bookmarkEnd w:id="451"/>
      <w:bookmarkEnd w:id="452"/>
      <w:bookmarkEnd w:id="453"/>
      <w:r>
        <w:rPr>
          <w:rFonts w:hint="eastAsia" w:ascii="宋体" w:hAnsi="宋体" w:eastAsia="宋体" w:cs="宋体"/>
          <w:sz w:val="24"/>
          <w:szCs w:val="24"/>
          <w:highlight w:val="none"/>
          <w:lang w:val="en-US" w:eastAsia="zh-CN"/>
        </w:rPr>
        <w:t>（不缴纳的项目可不提供，本项目</w:t>
      </w:r>
      <w:bookmarkStart w:id="572" w:name="_GoBack"/>
      <w:bookmarkEnd w:id="572"/>
      <w:r>
        <w:rPr>
          <w:rFonts w:hint="eastAsia" w:ascii="宋体" w:hAnsi="宋体" w:eastAsia="宋体" w:cs="宋体"/>
          <w:sz w:val="24"/>
          <w:szCs w:val="24"/>
          <w:highlight w:val="none"/>
          <w:lang w:val="en-US" w:eastAsia="zh-CN"/>
        </w:rPr>
        <w:t>要求提交谈判保证金）</w:t>
      </w:r>
      <w:bookmarkEnd w:id="454"/>
      <w:bookmarkEnd w:id="455"/>
      <w:bookmarkEnd w:id="456"/>
    </w:p>
    <w:p>
      <w:pPr>
        <w:pStyle w:val="18"/>
        <w:pageBreakBefore w:val="0"/>
        <w:kinsoku/>
        <w:wordWrap/>
        <w:overflowPunct/>
        <w:bidi w:val="0"/>
        <w:spacing w:line="360" w:lineRule="auto"/>
        <w:ind w:firstLine="504" w:firstLineChars="200"/>
        <w:jc w:val="left"/>
        <w:rPr>
          <w:rFonts w:hint="eastAsia" w:ascii="宋体" w:hAnsi="宋体" w:eastAsia="宋体" w:cs="宋体"/>
          <w:color w:val="auto"/>
          <w:sz w:val="24"/>
          <w:szCs w:val="24"/>
          <w:highlight w:val="none"/>
        </w:rPr>
      </w:pPr>
      <w:r>
        <w:rPr>
          <w:rFonts w:hint="eastAsia" w:ascii="宋体" w:hAnsi="宋体" w:eastAsia="宋体" w:cs="宋体"/>
          <w:b w:val="0"/>
          <w:color w:val="auto"/>
          <w:spacing w:val="6"/>
          <w:sz w:val="24"/>
          <w:szCs w:val="24"/>
          <w:highlight w:val="none"/>
        </w:rPr>
        <w:t>说明：电汇、转账形式，附投</w:t>
      </w:r>
      <w:r>
        <w:rPr>
          <w:rFonts w:hint="eastAsia" w:ascii="宋体" w:hAnsi="宋体" w:eastAsia="宋体" w:cs="宋体"/>
          <w:b w:val="0"/>
          <w:color w:val="auto"/>
          <w:spacing w:val="6"/>
          <w:sz w:val="24"/>
          <w:szCs w:val="24"/>
          <w:highlight w:val="none"/>
          <w:lang w:eastAsia="zh-CN"/>
        </w:rPr>
        <w:t>谈判</w:t>
      </w:r>
      <w:r>
        <w:rPr>
          <w:rFonts w:hint="eastAsia" w:ascii="宋体" w:hAnsi="宋体" w:eastAsia="宋体" w:cs="宋体"/>
          <w:b w:val="0"/>
          <w:color w:val="auto"/>
          <w:spacing w:val="6"/>
          <w:sz w:val="24"/>
          <w:szCs w:val="24"/>
          <w:highlight w:val="none"/>
        </w:rPr>
        <w:t>证金汇款底单复印件（要求复印件内容清晰，能看清采购代理机构、</w:t>
      </w:r>
      <w:r>
        <w:rPr>
          <w:rFonts w:hint="eastAsia" w:ascii="宋体" w:hAnsi="宋体" w:eastAsia="宋体" w:cs="宋体"/>
          <w:b w:val="0"/>
          <w:color w:val="auto"/>
          <w:spacing w:val="6"/>
          <w:sz w:val="24"/>
          <w:szCs w:val="24"/>
          <w:highlight w:val="none"/>
          <w:lang w:eastAsia="zh-CN"/>
        </w:rPr>
        <w:t>供应商</w:t>
      </w:r>
      <w:r>
        <w:rPr>
          <w:rFonts w:hint="eastAsia" w:ascii="宋体" w:hAnsi="宋体" w:eastAsia="宋体" w:cs="宋体"/>
          <w:b w:val="0"/>
          <w:color w:val="auto"/>
          <w:spacing w:val="6"/>
          <w:sz w:val="24"/>
          <w:szCs w:val="24"/>
          <w:highlight w:val="none"/>
        </w:rPr>
        <w:t>的名称、账号、金额等）</w:t>
      </w:r>
      <w:r>
        <w:rPr>
          <w:rFonts w:hint="eastAsia" w:ascii="宋体" w:hAnsi="宋体" w:eastAsia="宋体" w:cs="宋体"/>
          <w:color w:val="auto"/>
          <w:sz w:val="24"/>
          <w:szCs w:val="24"/>
          <w:highlight w:val="none"/>
        </w:rPr>
        <w:br w:type="page"/>
      </w:r>
    </w:p>
    <w:p>
      <w:pPr>
        <w:pStyle w:val="46"/>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457" w:name="_Toc31877"/>
      <w:bookmarkStart w:id="458" w:name="_Toc31810"/>
      <w:bookmarkStart w:id="459" w:name="_Toc539"/>
      <w:bookmarkStart w:id="460" w:name="_Toc4246"/>
      <w:bookmarkStart w:id="461" w:name="_Toc3839"/>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）其他声明及文件材料</w:t>
      </w:r>
      <w:bookmarkEnd w:id="457"/>
      <w:bookmarkEnd w:id="458"/>
      <w:bookmarkEnd w:id="459"/>
      <w:bookmarkEnd w:id="460"/>
      <w:bookmarkEnd w:id="461"/>
    </w:p>
    <w:p>
      <w:pPr>
        <w:pageBreakBefore w:val="0"/>
        <w:kinsoku/>
        <w:wordWrap/>
        <w:overflowPunct/>
        <w:bidi w:val="0"/>
        <w:adjustRightInd w:val="0"/>
        <w:snapToGrid w:val="0"/>
        <w:spacing w:line="360" w:lineRule="auto"/>
        <w:ind w:firstLine="482" w:firstLineChars="200"/>
        <w:jc w:val="left"/>
        <w:rPr>
          <w:rFonts w:hint="eastAsia" w:ascii="宋体" w:hAnsi="宋体" w:eastAsia="宋体" w:cs="宋体"/>
          <w:b/>
          <w:color w:val="auto"/>
          <w:sz w:val="24"/>
          <w:szCs w:val="24"/>
          <w:highlight w:val="none"/>
        </w:rPr>
      </w:pPr>
    </w:p>
    <w:p>
      <w:pPr>
        <w:pageBreakBefore w:val="0"/>
        <w:kinsoku/>
        <w:wordWrap/>
        <w:overflowPunct/>
        <w:bidi w:val="0"/>
        <w:spacing w:line="360" w:lineRule="auto"/>
        <w:ind w:left="540" w:leftChars="257" w:firstLine="506" w:firstLineChars="200"/>
        <w:jc w:val="left"/>
        <w:rPr>
          <w:rFonts w:hint="eastAsia" w:ascii="宋体" w:hAnsi="宋体" w:eastAsia="宋体" w:cs="宋体"/>
          <w:color w:val="auto"/>
          <w:sz w:val="24"/>
          <w:szCs w:val="24"/>
          <w:highlight w:val="none"/>
        </w:rPr>
      </w:pPr>
      <w:bookmarkStart w:id="462" w:name="_Toc70004534"/>
      <w:bookmarkStart w:id="463" w:name="_Toc82686381"/>
      <w:r>
        <w:rPr>
          <w:rFonts w:hint="eastAsia" w:ascii="宋体" w:hAnsi="宋体" w:eastAsia="宋体" w:cs="宋体"/>
          <w:b/>
          <w:bCs/>
          <w:color w:val="auto"/>
          <w:spacing w:val="6"/>
          <w:kern w:val="0"/>
          <w:sz w:val="24"/>
          <w:szCs w:val="24"/>
          <w:highlight w:val="none"/>
        </w:rPr>
        <w:t>政府采购履约担保函（若有，成交后提供）</w:t>
      </w:r>
      <w:bookmarkEnd w:id="462"/>
      <w:bookmarkEnd w:id="463"/>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鉴于你方与（以下简称供应商）于  年   月   日签定编号为   的《政府采购合同》（以下简称主合同），且依据该合同的约定，供应商应在年</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月日前向你方交纳履约保证金，且可以履约担保函的形式交纳履约保证金。应供应商的申请，我方以保证的方式向你方提供如下履约保证金担保：</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一、保证责任的情形及保证金额</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（一）在供应商出现下列情形之一时，我方承担保证责任：</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项目转让给他人，或者在响应文件中未说明，且未经采购人同意，将</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项目分包给他人的；</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2．主合同约定的应当缴纳履约保证金的情形:</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（1）未按主合同约定的质量、数量和期限供应货物/提供服务/完成工程的；</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（二）我方的保证范围是主合同约定的合同价款总额的%数额为元（大写），币种为。（即主合同履约保证金金额）</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二、保证的方式及保证期间</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我方保证的方式为：连带责任保证。</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我方保证的期间为：自本合同生效之日起至供应商按照主合同约定的供货/完工期限届满后日内。</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如果供应商未按主合同约定向贵方供应货物/提供服务/完成工程的，由我方在保证金额内向你方支付上述款项。</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三、承担保证责任的程序</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1．你方要求我方承担保证责任的，应在本保函保证期间内向我方发出书面索赔通知。索赔通知应写明要求索赔的金额，支付款项应到达的帐号。并附有证明供应商违约事实的证明材料。</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我方收到你方的书面索赔通知及相应证明材料，在工作日内进行核定后按照本保函的承诺承担保证责任。</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四、保证责任的终止</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2．我方按照本保函向你方履行了保证责任后，自我方向你方支付款项（支付款项从我方账户划出）之日起，保证责任即终止。</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3．按照法律法规的规定或出现应终止我方保证责任的其它情形的，我方在本保函项下的保证责任亦终止。</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五、免责条款</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1．因你方违反主合同约定致使供应商不能履行义务的，我方不承担保证责任。</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2．依照法律法规的规定或你方与供应商的另行约定，全部或者部分免除供应商应缴纳的保证金义务的，我方亦免除相应的保证责任。</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3．因不可抗力造成供应商不能履行供货义务的，我方不承担保证责任。</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六、争议的解决</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因本保函发生的纠纷，由你我双方协商解决，协商不成的，通过诉讼程序解决，诉讼管辖地法院为法院。</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七、保函的生效</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本保函自我方加盖公章之日起生效。</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保证人：（公章）</w:t>
      </w:r>
    </w:p>
    <w:p>
      <w:pPr>
        <w:pStyle w:val="58"/>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年     月      日</w:t>
      </w:r>
      <w:r>
        <w:rPr>
          <w:rFonts w:hint="eastAsia" w:ascii="宋体" w:hAnsi="宋体" w:eastAsia="宋体" w:cs="宋体"/>
          <w:b w:val="0"/>
          <w:bCs/>
          <w:color w:val="auto"/>
          <w:sz w:val="24"/>
          <w:szCs w:val="24"/>
          <w:highlight w:val="none"/>
        </w:rPr>
        <w:br w:type="page"/>
      </w:r>
      <w:r>
        <w:rPr>
          <w:rFonts w:hint="eastAsia" w:ascii="宋体" w:hAnsi="宋体" w:eastAsia="宋体" w:cs="宋体"/>
          <w:color w:val="auto"/>
          <w:sz w:val="24"/>
          <w:szCs w:val="24"/>
          <w:highlight w:val="none"/>
        </w:rPr>
        <w:t>2、不参与围标串标承诺书</w:t>
      </w:r>
    </w:p>
    <w:p>
      <w:pPr>
        <w:pStyle w:val="59"/>
        <w:pageBreakBefore w:val="0"/>
        <w:kinsoku/>
        <w:wordWrap/>
        <w:overflowPunct/>
        <w:bidi w:val="0"/>
        <w:spacing w:line="360" w:lineRule="auto"/>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本人作为</w:t>
      </w:r>
      <w:r>
        <w:rPr>
          <w:rFonts w:hint="eastAsia" w:ascii="宋体" w:hAnsi="宋体" w:eastAsia="宋体" w:cs="宋体"/>
          <w:b w:val="0"/>
          <w:color w:val="auto"/>
          <w:sz w:val="24"/>
          <w:szCs w:val="24"/>
          <w:highlight w:val="none"/>
          <w:u w:val="single"/>
        </w:rPr>
        <w:t xml:space="preserve">（单位名称）                    </w:t>
      </w:r>
      <w:r>
        <w:rPr>
          <w:rFonts w:hint="eastAsia" w:ascii="宋体" w:hAnsi="宋体" w:eastAsia="宋体" w:cs="宋体"/>
          <w:b w:val="0"/>
          <w:color w:val="auto"/>
          <w:sz w:val="24"/>
          <w:szCs w:val="24"/>
          <w:highlight w:val="none"/>
        </w:rPr>
        <w:t>的法人，清楚知晓我公司本项目</w:t>
      </w:r>
      <w:r>
        <w:rPr>
          <w:rFonts w:hint="eastAsia" w:ascii="宋体" w:hAnsi="宋体" w:eastAsia="宋体" w:cs="宋体"/>
          <w:b w:val="0"/>
          <w:color w:val="auto"/>
          <w:sz w:val="24"/>
          <w:szCs w:val="24"/>
          <w:highlight w:val="none"/>
          <w:lang w:eastAsia="zh-CN"/>
        </w:rPr>
        <w:t>响应</w:t>
      </w:r>
      <w:r>
        <w:rPr>
          <w:rFonts w:hint="eastAsia" w:ascii="宋体" w:hAnsi="宋体" w:eastAsia="宋体" w:cs="宋体"/>
          <w:b w:val="0"/>
          <w:color w:val="auto"/>
          <w:sz w:val="24"/>
          <w:szCs w:val="24"/>
          <w:highlight w:val="none"/>
        </w:rPr>
        <w:t>活动，对以下事项作出承诺：</w:t>
      </w:r>
    </w:p>
    <w:p>
      <w:pPr>
        <w:pStyle w:val="59"/>
        <w:pageBreakBefore w:val="0"/>
        <w:kinsoku/>
        <w:wordWrap/>
        <w:overflowPunct/>
        <w:bidi w:val="0"/>
        <w:spacing w:line="360" w:lineRule="auto"/>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一、我单位遵循公开、公平、公正、诚实守信的原则，依法依规参与本项目竞标。</w:t>
      </w:r>
    </w:p>
    <w:p>
      <w:pPr>
        <w:pStyle w:val="59"/>
        <w:pageBreakBefore w:val="0"/>
        <w:kinsoku/>
        <w:wordWrap/>
        <w:overflowPunct/>
        <w:bidi w:val="0"/>
        <w:spacing w:line="360" w:lineRule="auto"/>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二、我单位在本项目</w:t>
      </w:r>
      <w:r>
        <w:rPr>
          <w:rFonts w:hint="eastAsia" w:ascii="宋体" w:hAnsi="宋体" w:eastAsia="宋体" w:cs="宋体"/>
          <w:b w:val="0"/>
          <w:color w:val="auto"/>
          <w:sz w:val="24"/>
          <w:szCs w:val="24"/>
          <w:highlight w:val="none"/>
          <w:lang w:eastAsia="zh-CN"/>
        </w:rPr>
        <w:t>采购</w:t>
      </w:r>
      <w:r>
        <w:rPr>
          <w:rFonts w:hint="eastAsia" w:ascii="宋体" w:hAnsi="宋体" w:eastAsia="宋体" w:cs="宋体"/>
          <w:b w:val="0"/>
          <w:color w:val="auto"/>
          <w:sz w:val="24"/>
          <w:szCs w:val="24"/>
          <w:highlight w:val="none"/>
        </w:rPr>
        <w:t>活动中，未参与围标串标。</w:t>
      </w:r>
    </w:p>
    <w:p>
      <w:pPr>
        <w:pStyle w:val="59"/>
        <w:pageBreakBefore w:val="0"/>
        <w:kinsoku/>
        <w:wordWrap/>
        <w:overflowPunct/>
        <w:bidi w:val="0"/>
        <w:spacing w:line="360" w:lineRule="auto"/>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三、我单位如被查实在本项目</w:t>
      </w:r>
      <w:r>
        <w:rPr>
          <w:rFonts w:hint="eastAsia" w:ascii="宋体" w:hAnsi="宋体" w:eastAsia="宋体" w:cs="宋体"/>
          <w:b w:val="0"/>
          <w:color w:val="auto"/>
          <w:sz w:val="24"/>
          <w:szCs w:val="24"/>
          <w:highlight w:val="none"/>
          <w:lang w:eastAsia="zh-CN"/>
        </w:rPr>
        <w:t>采购</w:t>
      </w:r>
      <w:r>
        <w:rPr>
          <w:rFonts w:hint="eastAsia" w:ascii="宋体" w:hAnsi="宋体" w:eastAsia="宋体" w:cs="宋体"/>
          <w:b w:val="0"/>
          <w:color w:val="auto"/>
          <w:sz w:val="24"/>
          <w:szCs w:val="24"/>
          <w:highlight w:val="none"/>
        </w:rPr>
        <w:t>活动中存在围标串标的，递交响应文件行为作为实施串通</w:t>
      </w:r>
      <w:r>
        <w:rPr>
          <w:rFonts w:hint="eastAsia" w:ascii="宋体" w:hAnsi="宋体" w:eastAsia="宋体" w:cs="宋体"/>
          <w:b w:val="0"/>
          <w:color w:val="auto"/>
          <w:sz w:val="24"/>
          <w:szCs w:val="24"/>
          <w:highlight w:val="none"/>
          <w:lang w:eastAsia="zh-CN"/>
        </w:rPr>
        <w:t>响应</w:t>
      </w:r>
      <w:r>
        <w:rPr>
          <w:rFonts w:hint="eastAsia" w:ascii="宋体" w:hAnsi="宋体" w:eastAsia="宋体" w:cs="宋体"/>
          <w:b w:val="0"/>
          <w:color w:val="auto"/>
          <w:sz w:val="24"/>
          <w:szCs w:val="24"/>
          <w:highlight w:val="none"/>
        </w:rPr>
        <w:t>违法行为的关键环节，本人承担直接责任人员法律责任，接受相应行政处罚和失信惩戒。</w:t>
      </w:r>
    </w:p>
    <w:p>
      <w:pPr>
        <w:pStyle w:val="59"/>
        <w:pageBreakBefore w:val="0"/>
        <w:kinsoku/>
        <w:wordWrap/>
        <w:overflowPunct/>
        <w:bidi w:val="0"/>
        <w:spacing w:line="360" w:lineRule="auto"/>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项目编号：</w:t>
      </w:r>
    </w:p>
    <w:p>
      <w:pPr>
        <w:pStyle w:val="59"/>
        <w:pageBreakBefore w:val="0"/>
        <w:kinsoku/>
        <w:wordWrap/>
        <w:overflowPunct/>
        <w:bidi w:val="0"/>
        <w:spacing w:line="360" w:lineRule="auto"/>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标段号：</w:t>
      </w:r>
    </w:p>
    <w:p>
      <w:pPr>
        <w:pStyle w:val="59"/>
        <w:pageBreakBefore w:val="0"/>
        <w:kinsoku/>
        <w:wordWrap/>
        <w:overflowPunct/>
        <w:bidi w:val="0"/>
        <w:spacing w:line="360" w:lineRule="auto"/>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供应商单位名称：</w:t>
      </w:r>
    </w:p>
    <w:p>
      <w:pPr>
        <w:pStyle w:val="59"/>
        <w:pageBreakBefore w:val="0"/>
        <w:kinsoku/>
        <w:wordWrap/>
        <w:overflowPunct/>
        <w:bidi w:val="0"/>
        <w:spacing w:line="360" w:lineRule="auto"/>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供应商法人签名：</w:t>
      </w:r>
    </w:p>
    <w:p>
      <w:pPr>
        <w:pStyle w:val="59"/>
        <w:pageBreakBefore w:val="0"/>
        <w:kinsoku/>
        <w:wordWrap/>
        <w:overflowPunct/>
        <w:bidi w:val="0"/>
        <w:spacing w:line="360" w:lineRule="auto"/>
        <w:ind w:firstLine="480" w:firstLineChars="200"/>
        <w:jc w:val="left"/>
        <w:rPr>
          <w:rFonts w:hint="eastAsia" w:ascii="宋体" w:hAnsi="宋体" w:eastAsia="宋体" w:cs="宋体"/>
          <w:b w:val="0"/>
          <w:color w:val="auto"/>
          <w:sz w:val="24"/>
          <w:szCs w:val="24"/>
          <w:highlight w:val="none"/>
        </w:rPr>
      </w:pPr>
    </w:p>
    <w:p>
      <w:pPr>
        <w:pStyle w:val="59"/>
        <w:pageBreakBefore w:val="0"/>
        <w:kinsoku/>
        <w:wordWrap/>
        <w:overflowPunct/>
        <w:bidi w:val="0"/>
        <w:spacing w:line="360" w:lineRule="auto"/>
        <w:ind w:firstLine="480" w:firstLineChars="200"/>
        <w:jc w:val="left"/>
        <w:rPr>
          <w:rFonts w:hint="eastAsia" w:ascii="宋体" w:hAnsi="宋体" w:eastAsia="宋体" w:cs="宋体"/>
          <w:b w:val="0"/>
          <w:color w:val="auto"/>
          <w:sz w:val="24"/>
          <w:szCs w:val="24"/>
          <w:highlight w:val="none"/>
        </w:rPr>
      </w:pPr>
    </w:p>
    <w:p>
      <w:pPr>
        <w:pStyle w:val="59"/>
        <w:pageBreakBefore w:val="0"/>
        <w:kinsoku/>
        <w:wordWrap/>
        <w:overflowPunct/>
        <w:bidi w:val="0"/>
        <w:spacing w:line="360" w:lineRule="auto"/>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盖  章</w:t>
      </w:r>
    </w:p>
    <w:p>
      <w:pPr>
        <w:pStyle w:val="59"/>
        <w:pageBreakBefore w:val="0"/>
        <w:kinsoku/>
        <w:wordWrap/>
        <w:overflowPunct/>
        <w:bidi w:val="0"/>
        <w:spacing w:line="360" w:lineRule="auto"/>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年   月   日</w:t>
      </w:r>
    </w:p>
    <w:p>
      <w:pPr>
        <w:pStyle w:val="60"/>
        <w:pageBreakBefore w:val="0"/>
        <w:kinsoku/>
        <w:wordWrap/>
        <w:overflowPunct/>
        <w:bidi w:val="0"/>
        <w:spacing w:line="360" w:lineRule="auto"/>
        <w:ind w:firstLine="482" w:firstLineChars="20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64" w:name="_Toc21378"/>
      <w:bookmarkStart w:id="465" w:name="_Toc19432"/>
      <w:bookmarkStart w:id="466" w:name="_Toc11235"/>
      <w:bookmarkStart w:id="467" w:name="_Toc14397"/>
      <w:bookmarkStart w:id="468" w:name="_Toc18984"/>
      <w:bookmarkStart w:id="469" w:name="_Toc82686382"/>
      <w:bookmarkStart w:id="470" w:name="_Toc560"/>
      <w:r>
        <w:rPr>
          <w:rFonts w:hint="eastAsia" w:ascii="宋体" w:hAnsi="宋体" w:eastAsia="宋体" w:cs="宋体"/>
          <w:color w:val="auto"/>
          <w:sz w:val="24"/>
          <w:szCs w:val="24"/>
          <w:highlight w:val="none"/>
        </w:rPr>
        <w:t>三、商务文件</w:t>
      </w:r>
      <w:bookmarkEnd w:id="464"/>
      <w:bookmarkEnd w:id="465"/>
      <w:bookmarkEnd w:id="466"/>
      <w:bookmarkEnd w:id="467"/>
      <w:bookmarkEnd w:id="468"/>
      <w:bookmarkEnd w:id="469"/>
      <w:bookmarkEnd w:id="470"/>
    </w:p>
    <w:p>
      <w:pPr>
        <w:pStyle w:val="61"/>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471" w:name="_Toc13160"/>
      <w:bookmarkStart w:id="472" w:name="_Toc28576"/>
      <w:bookmarkStart w:id="473" w:name="_Toc1700"/>
      <w:bookmarkStart w:id="474" w:name="_Toc19473"/>
      <w:bookmarkStart w:id="475" w:name="_Toc28191"/>
      <w:bookmarkStart w:id="476" w:name="_Toc31055"/>
      <w:r>
        <w:rPr>
          <w:rFonts w:hint="eastAsia" w:ascii="宋体" w:hAnsi="宋体" w:eastAsia="宋体" w:cs="宋体"/>
          <w:color w:val="auto"/>
          <w:sz w:val="24"/>
          <w:szCs w:val="24"/>
          <w:highlight w:val="none"/>
        </w:rPr>
        <w:t>（一）法定代表人身份证明及授权委托书</w:t>
      </w:r>
      <w:bookmarkEnd w:id="471"/>
      <w:bookmarkEnd w:id="472"/>
      <w:bookmarkEnd w:id="473"/>
      <w:bookmarkEnd w:id="474"/>
      <w:bookmarkEnd w:id="475"/>
      <w:bookmarkEnd w:id="476"/>
    </w:p>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法定代表人资格证明文件</w:t>
      </w:r>
    </w:p>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公司法定代表人，代表我公司办理一切社会公务事宜，具有法律效力。</w:t>
      </w:r>
    </w:p>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附法定代表人基本情况：</w:t>
      </w:r>
    </w:p>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p>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p>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p>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tbl>
      <w:tblPr>
        <w:tblStyle w:val="24"/>
        <w:tblW w:w="0" w:type="auto"/>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7449" w:type="dxa"/>
            <w:tcBorders>
              <w:top w:val="single" w:color="auto" w:sz="4" w:space="0"/>
              <w:left w:val="single" w:color="auto" w:sz="4" w:space="0"/>
              <w:bottom w:val="single" w:color="auto" w:sz="4" w:space="0"/>
              <w:right w:val="single" w:color="auto" w:sz="4" w:space="0"/>
            </w:tcBorders>
            <w:noWrap w:val="0"/>
            <w:vAlign w:val="top"/>
          </w:tcPr>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法定代表人《居民身份证》扫描件</w:t>
            </w:r>
          </w:p>
        </w:tc>
      </w:tr>
    </w:tbl>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pPr>
        <w:pStyle w:val="62"/>
        <w:pageBreakBefore w:val="0"/>
        <w:tabs>
          <w:tab w:val="left" w:pos="750"/>
        </w:tabs>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供应商名称（签章）：</w:t>
      </w:r>
    </w:p>
    <w:p>
      <w:pPr>
        <w:pStyle w:val="62"/>
        <w:pageBreakBefore w:val="0"/>
        <w:tabs>
          <w:tab w:val="left" w:pos="750"/>
        </w:tabs>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pPr>
        <w:pStyle w:val="62"/>
        <w:pageBreakBefore w:val="0"/>
        <w:tabs>
          <w:tab w:val="left" w:pos="750"/>
        </w:tabs>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p>
    <w:p>
      <w:pPr>
        <w:pStyle w:val="62"/>
        <w:pageBreakBefore w:val="0"/>
        <w:tabs>
          <w:tab w:val="left" w:pos="750"/>
        </w:tabs>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pPr>
        <w:pStyle w:val="62"/>
        <w:pageBreakBefore w:val="0"/>
        <w:tabs>
          <w:tab w:val="left" w:pos="750"/>
        </w:tabs>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63"/>
        <w:pageBreakBefore w:val="0"/>
        <w:kinsoku/>
        <w:wordWrap/>
        <w:overflowPunct/>
        <w:bidi w:val="0"/>
        <w:spacing w:line="360" w:lineRule="auto"/>
        <w:ind w:firstLine="482" w:firstLineChars="200"/>
        <w:jc w:val="left"/>
        <w:outlineLvl w:val="9"/>
        <w:rPr>
          <w:rFonts w:hint="eastAsia" w:ascii="宋体" w:hAnsi="宋体" w:eastAsia="宋体" w:cs="宋体"/>
          <w:color w:val="auto"/>
          <w:sz w:val="24"/>
          <w:szCs w:val="24"/>
          <w:highlight w:val="none"/>
        </w:rPr>
      </w:pPr>
    </w:p>
    <w:p>
      <w:pPr>
        <w:pStyle w:val="63"/>
        <w:pageBreakBefore w:val="0"/>
        <w:kinsoku/>
        <w:wordWrap/>
        <w:overflowPunct/>
        <w:bidi w:val="0"/>
        <w:spacing w:line="360" w:lineRule="auto"/>
        <w:ind w:firstLine="482" w:firstLineChars="200"/>
        <w:jc w:val="left"/>
        <w:outlineLvl w:val="9"/>
        <w:rPr>
          <w:rFonts w:hint="eastAsia" w:ascii="宋体" w:hAnsi="宋体" w:eastAsia="宋体" w:cs="宋体"/>
          <w:color w:val="auto"/>
          <w:sz w:val="24"/>
          <w:szCs w:val="24"/>
          <w:highlight w:val="none"/>
        </w:rPr>
      </w:pPr>
    </w:p>
    <w:p>
      <w:pPr>
        <w:pStyle w:val="62"/>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w:t>
      </w:r>
    </w:p>
    <w:p>
      <w:pPr>
        <w:pStyle w:val="62"/>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pPr>
        <w:pStyle w:val="62"/>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同志为我公司参加贵单位组织的编号为</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 目 名 称）</w:t>
      </w:r>
      <w:r>
        <w:rPr>
          <w:rFonts w:hint="eastAsia" w:ascii="宋体" w:hAnsi="宋体" w:eastAsia="宋体" w:cs="宋体"/>
          <w:color w:val="auto"/>
          <w:sz w:val="24"/>
          <w:szCs w:val="24"/>
          <w:highlight w:val="none"/>
        </w:rPr>
        <w:t>采购活动的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代表人，全权代表我公司处理在该项目采购活动中的一切事宜。代理期限从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pPr>
        <w:pStyle w:val="62"/>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Style w:val="62"/>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w:t>
      </w:r>
    </w:p>
    <w:p>
      <w:pPr>
        <w:pStyle w:val="62"/>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p>
    <w:p>
      <w:pPr>
        <w:pStyle w:val="62"/>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62"/>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Style w:val="62"/>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62"/>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代理人工作单位：</w:t>
      </w:r>
    </w:p>
    <w:p>
      <w:pPr>
        <w:pStyle w:val="62"/>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p>
    <w:p>
      <w:pPr>
        <w:pStyle w:val="62"/>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p>
    <w:p>
      <w:pPr>
        <w:pStyle w:val="62"/>
        <w:pageBreakBefore w:val="0"/>
        <w:tabs>
          <w:tab w:val="left" w:pos="750"/>
        </w:tabs>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法定代表人（单位负责人）或其委托代理人（签字或电子签章） ：</w:t>
      </w:r>
    </w:p>
    <w:p>
      <w:pPr>
        <w:pStyle w:val="62"/>
        <w:pageBreakBefore w:val="0"/>
        <w:kinsoku/>
        <w:wordWrap/>
        <w:overflowPunct/>
        <w:bidi w:val="0"/>
        <w:adjustRightInd w:val="0"/>
        <w:snapToGrid w:val="0"/>
        <w:spacing w:line="360" w:lineRule="auto"/>
        <w:ind w:left="-88" w:leftChars="-42" w:firstLine="480" w:firstLineChars="200"/>
        <w:jc w:val="left"/>
        <w:rPr>
          <w:rFonts w:hint="eastAsia" w:ascii="宋体" w:hAnsi="宋体" w:eastAsia="宋体" w:cs="宋体"/>
          <w:color w:val="auto"/>
          <w:sz w:val="24"/>
          <w:szCs w:val="24"/>
          <w:highlight w:val="none"/>
          <w:u w:val="single"/>
        </w:rPr>
      </w:pPr>
    </w:p>
    <w:tbl>
      <w:tblPr>
        <w:tblStyle w:val="24"/>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pPr>
              <w:pStyle w:val="62"/>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粘贴被授权人身份证（扫描件）</w:t>
            </w:r>
          </w:p>
        </w:tc>
      </w:tr>
    </w:tbl>
    <w:p>
      <w:pPr>
        <w:pStyle w:val="64"/>
        <w:pageBreakBefore w:val="0"/>
        <w:kinsoku/>
        <w:wordWrap/>
        <w:overflowPunct/>
        <w:bidi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61"/>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477" w:name="_Toc15811"/>
      <w:bookmarkStart w:id="478" w:name="_Toc12747"/>
      <w:bookmarkStart w:id="479" w:name="_Toc30292"/>
      <w:bookmarkStart w:id="480" w:name="_Toc27818"/>
      <w:bookmarkStart w:id="481" w:name="_Toc3152"/>
      <w:bookmarkStart w:id="482" w:name="_Toc14617"/>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一览表</w:t>
      </w:r>
      <w:bookmarkEnd w:id="477"/>
      <w:bookmarkEnd w:id="478"/>
      <w:bookmarkEnd w:id="479"/>
      <w:bookmarkEnd w:id="480"/>
      <w:bookmarkEnd w:id="481"/>
      <w:bookmarkEnd w:id="482"/>
    </w:p>
    <w:p>
      <w:pPr>
        <w:pStyle w:val="65"/>
        <w:pageBreakBefore w:val="0"/>
        <w:kinsoku/>
        <w:wordWrap/>
        <w:overflowPunct/>
        <w:bidi w:val="0"/>
        <w:spacing w:line="360" w:lineRule="auto"/>
        <w:ind w:firstLine="482" w:firstLineChars="200"/>
        <w:jc w:val="left"/>
        <w:rPr>
          <w:rFonts w:hint="eastAsia" w:ascii="宋体" w:hAnsi="宋体" w:eastAsia="宋体" w:cs="宋体"/>
          <w:b/>
          <w:bCs/>
          <w:color w:val="auto"/>
          <w:kern w:val="44"/>
          <w:sz w:val="24"/>
          <w:szCs w:val="24"/>
          <w:highlight w:val="none"/>
        </w:rPr>
      </w:pPr>
    </w:p>
    <w:p>
      <w:pPr>
        <w:pStyle w:val="65"/>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项目编号、包号：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415" w:type="dxa"/>
            <w:tcBorders>
              <w:top w:val="single" w:color="auto" w:sz="4" w:space="0"/>
              <w:left w:val="single" w:color="auto" w:sz="4" w:space="0"/>
              <w:bottom w:val="single" w:color="auto" w:sz="4" w:space="0"/>
              <w:right w:val="single" w:color="auto" w:sz="4" w:space="0"/>
            </w:tcBorders>
            <w:noWrap w:val="0"/>
            <w:vAlign w:val="center"/>
          </w:tcPr>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项目名称</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6" w:hRule="atLeast"/>
          <w:jc w:val="center"/>
        </w:trPr>
        <w:tc>
          <w:tcPr>
            <w:tcW w:w="2415" w:type="dxa"/>
            <w:tcBorders>
              <w:top w:val="single" w:color="auto" w:sz="4" w:space="0"/>
              <w:left w:val="single" w:color="auto" w:sz="4" w:space="0"/>
              <w:bottom w:val="single" w:color="auto" w:sz="4" w:space="0"/>
              <w:right w:val="single" w:color="auto" w:sz="4" w:space="0"/>
            </w:tcBorders>
            <w:noWrap w:val="0"/>
            <w:vAlign w:val="center"/>
          </w:tcPr>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响 应 </w:t>
            </w:r>
            <w:r>
              <w:rPr>
                <w:rFonts w:hint="eastAsia" w:ascii="宋体" w:hAnsi="宋体" w:eastAsia="宋体" w:cs="宋体"/>
                <w:bCs/>
                <w:color w:val="auto"/>
                <w:sz w:val="24"/>
                <w:szCs w:val="24"/>
                <w:highlight w:val="none"/>
              </w:rPr>
              <w:t>报 价（元）</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p>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p>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415" w:type="dxa"/>
            <w:tcBorders>
              <w:top w:val="single" w:color="auto" w:sz="4" w:space="0"/>
              <w:left w:val="single" w:color="auto" w:sz="4" w:space="0"/>
              <w:bottom w:val="single" w:color="auto" w:sz="4" w:space="0"/>
              <w:right w:val="single" w:color="auto" w:sz="4" w:space="0"/>
            </w:tcBorders>
            <w:noWrap w:val="0"/>
            <w:vAlign w:val="center"/>
          </w:tcPr>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服务地点</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415" w:type="dxa"/>
            <w:tcBorders>
              <w:top w:val="single" w:color="auto" w:sz="4" w:space="0"/>
              <w:left w:val="single" w:color="auto" w:sz="4" w:space="0"/>
              <w:bottom w:val="single" w:color="auto" w:sz="4" w:space="0"/>
              <w:right w:val="single" w:color="auto" w:sz="4" w:space="0"/>
            </w:tcBorders>
            <w:noWrap w:val="0"/>
            <w:vAlign w:val="center"/>
          </w:tcPr>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合同履约期限</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415" w:type="dxa"/>
            <w:tcBorders>
              <w:top w:val="single" w:color="auto" w:sz="4" w:space="0"/>
              <w:left w:val="single" w:color="auto" w:sz="4" w:space="0"/>
              <w:bottom w:val="single" w:color="auto" w:sz="4" w:space="0"/>
              <w:right w:val="single" w:color="auto" w:sz="4" w:space="0"/>
            </w:tcBorders>
            <w:noWrap w:val="0"/>
            <w:vAlign w:val="center"/>
          </w:tcPr>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付款方式</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9199" w:type="dxa"/>
            <w:gridSpan w:val="2"/>
            <w:tcBorders>
              <w:top w:val="single" w:color="auto" w:sz="4" w:space="0"/>
              <w:left w:val="single" w:color="auto" w:sz="4" w:space="0"/>
              <w:bottom w:val="single" w:color="auto" w:sz="4" w:space="0"/>
              <w:right w:val="single" w:color="auto" w:sz="4" w:space="0"/>
            </w:tcBorders>
            <w:noWrap w:val="0"/>
            <w:vAlign w:val="center"/>
          </w:tcPr>
          <w:p>
            <w:pPr>
              <w:pStyle w:val="65"/>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备注：</w:t>
            </w:r>
          </w:p>
        </w:tc>
      </w:tr>
    </w:tbl>
    <w:p>
      <w:pPr>
        <w:pStyle w:val="65"/>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65"/>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1、供应商严格按照规定的格式填写。</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报价为优惠后报价，并作为评审及定标的依据。</w:t>
      </w:r>
    </w:p>
    <w:p>
      <w:pPr>
        <w:pStyle w:val="65"/>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2、任何有选择或有条件的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报价或表中某一包填写多个报价，均将导致</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被拒绝。</w:t>
      </w:r>
    </w:p>
    <w:p>
      <w:pPr>
        <w:pStyle w:val="65"/>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3、报价一经涂改，应在涂改处加盖单位公章或者由法定代表人或授权委托人签字或盖章，否则其</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作无效处理。</w:t>
      </w:r>
    </w:p>
    <w:p>
      <w:pPr>
        <w:pStyle w:val="65"/>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4、须附详细的报价明细表，报价明细表中总金额和报价表金额一致。</w:t>
      </w:r>
    </w:p>
    <w:p>
      <w:pPr>
        <w:pStyle w:val="65"/>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供应商（盖单位章）：</w:t>
      </w:r>
    </w:p>
    <w:p>
      <w:pPr>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法定代表人或其委托代理人（签字或签章）：</w:t>
      </w:r>
    </w:p>
    <w:p>
      <w:pPr>
        <w:pStyle w:val="65"/>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66"/>
        <w:pageBreakBefore w:val="0"/>
        <w:kinsoku/>
        <w:wordWrap/>
        <w:overflowPunct/>
        <w:bidi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67"/>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483" w:name="_Toc19489"/>
      <w:bookmarkStart w:id="484" w:name="_Toc18707"/>
      <w:bookmarkStart w:id="485" w:name="_Toc7918"/>
      <w:bookmarkStart w:id="486" w:name="_Toc16102"/>
      <w:bookmarkStart w:id="487" w:name="_Toc5031"/>
      <w:bookmarkStart w:id="488" w:name="_Toc24369"/>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报价明细表</w:t>
      </w:r>
      <w:bookmarkEnd w:id="483"/>
      <w:bookmarkEnd w:id="484"/>
      <w:bookmarkEnd w:id="485"/>
      <w:bookmarkEnd w:id="486"/>
      <w:bookmarkEnd w:id="487"/>
      <w:bookmarkEnd w:id="488"/>
    </w:p>
    <w:p>
      <w:pPr>
        <w:pStyle w:val="68"/>
        <w:pageBreakBefore w:val="0"/>
        <w:kinsoku/>
        <w:wordWrap/>
        <w:overflowPunct/>
        <w:bidi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项目编号、包号：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价格单位：元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87"/>
        <w:gridCol w:w="1701"/>
        <w:gridCol w:w="1560"/>
        <w:gridCol w:w="2163"/>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9" w:type="dxa"/>
            <w:noWrap w:val="0"/>
            <w:vAlign w:val="center"/>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87" w:type="dxa"/>
            <w:noWrap w:val="0"/>
            <w:vAlign w:val="center"/>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报价项目</w:t>
            </w:r>
          </w:p>
        </w:tc>
        <w:tc>
          <w:tcPr>
            <w:tcW w:w="1701" w:type="dxa"/>
            <w:noWrap w:val="0"/>
            <w:vAlign w:val="center"/>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560" w:type="dxa"/>
            <w:noWrap w:val="0"/>
            <w:vAlign w:val="center"/>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163" w:type="dxa"/>
            <w:noWrap w:val="0"/>
            <w:vAlign w:val="center"/>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取费标准</w:t>
            </w:r>
          </w:p>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28" w:type="dxa"/>
            <w:noWrap w:val="0"/>
            <w:vAlign w:val="center"/>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9"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87"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1701"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1560"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163"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728"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87"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1701"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1560"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163"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728"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87"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1701"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1560"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163"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728"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87"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1701"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1560"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163"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728"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87"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1701"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1560"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163"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728" w:type="dxa"/>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noWrap w:val="0"/>
            <w:vAlign w:val="center"/>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w:t>
            </w:r>
          </w:p>
        </w:tc>
        <w:tc>
          <w:tcPr>
            <w:tcW w:w="6152" w:type="dxa"/>
            <w:gridSpan w:val="4"/>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noWrap w:val="0"/>
            <w:vAlign w:val="center"/>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总价</w:t>
            </w:r>
          </w:p>
        </w:tc>
        <w:tc>
          <w:tcPr>
            <w:tcW w:w="6152" w:type="dxa"/>
            <w:gridSpan w:val="4"/>
            <w:noWrap w:val="0"/>
            <w:vAlign w:val="center"/>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noWrap w:val="0"/>
            <w:vAlign w:val="center"/>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152" w:type="dxa"/>
            <w:gridSpan w:val="4"/>
            <w:noWrap w:val="0"/>
            <w:vAlign w:val="top"/>
          </w:tcPr>
          <w:p>
            <w:pPr>
              <w:pStyle w:val="69"/>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color w:val="auto"/>
                <w:sz w:val="24"/>
                <w:szCs w:val="24"/>
                <w:highlight w:val="none"/>
              </w:rPr>
            </w:pPr>
          </w:p>
        </w:tc>
      </w:tr>
    </w:tbl>
    <w:p>
      <w:pPr>
        <w:pStyle w:val="69"/>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w:t>
      </w:r>
      <w:r>
        <w:rPr>
          <w:rFonts w:hint="eastAsia" w:ascii="宋体" w:hAnsi="宋体" w:eastAsia="宋体" w:cs="宋体"/>
          <w:bCs/>
          <w:color w:val="auto"/>
          <w:sz w:val="24"/>
          <w:szCs w:val="24"/>
          <w:highlight w:val="none"/>
        </w:rPr>
        <w:t>供应商必须填写</w:t>
      </w:r>
      <w:r>
        <w:rPr>
          <w:rFonts w:hint="eastAsia" w:ascii="宋体" w:hAnsi="宋体" w:eastAsia="宋体" w:cs="宋体"/>
          <w:color w:val="auto"/>
          <w:sz w:val="24"/>
          <w:szCs w:val="24"/>
          <w:highlight w:val="none"/>
        </w:rPr>
        <w:t>报价明细表</w:t>
      </w:r>
      <w:r>
        <w:rPr>
          <w:rFonts w:hint="eastAsia" w:ascii="宋体" w:hAnsi="宋体" w:eastAsia="宋体" w:cs="宋体"/>
          <w:bCs/>
          <w:color w:val="auto"/>
          <w:sz w:val="24"/>
          <w:szCs w:val="24"/>
          <w:highlight w:val="none"/>
        </w:rPr>
        <w:t>，否则将导致</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被拒绝。</w:t>
      </w:r>
    </w:p>
    <w:p>
      <w:pPr>
        <w:pStyle w:val="69"/>
        <w:pageBreakBefore w:val="0"/>
        <w:kinsoku/>
        <w:wordWrap/>
        <w:overflowPunct/>
        <w:bidi w:val="0"/>
        <w:spacing w:line="360" w:lineRule="auto"/>
        <w:ind w:left="72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2、报价分析表中的“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总价”应等于“开标一览表”中的“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总价”。</w:t>
      </w:r>
    </w:p>
    <w:p>
      <w:pPr>
        <w:pStyle w:val="69"/>
        <w:pageBreakBefore w:val="0"/>
        <w:kinsoku/>
        <w:wordWrap/>
        <w:overflowPunct/>
        <w:bidi w:val="0"/>
        <w:spacing w:line="360" w:lineRule="auto"/>
        <w:ind w:left="72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3、报价项目填报不下的，可自行扩展。</w:t>
      </w:r>
    </w:p>
    <w:p>
      <w:pPr>
        <w:pStyle w:val="69"/>
        <w:pageBreakBefore w:val="0"/>
        <w:kinsoku/>
        <w:wordWrap/>
        <w:overflowPunct/>
        <w:bidi w:val="0"/>
        <w:spacing w:line="360" w:lineRule="auto"/>
        <w:ind w:left="720" w:firstLine="480" w:firstLineChars="200"/>
        <w:jc w:val="left"/>
        <w:rPr>
          <w:rFonts w:hint="eastAsia" w:ascii="宋体" w:hAnsi="宋体" w:eastAsia="宋体" w:cs="宋体"/>
          <w:color w:val="auto"/>
          <w:sz w:val="24"/>
          <w:szCs w:val="24"/>
          <w:highlight w:val="none"/>
        </w:rPr>
      </w:pPr>
    </w:p>
    <w:p>
      <w:pPr>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供应商（盖单位章）：</w:t>
      </w:r>
    </w:p>
    <w:p>
      <w:pPr>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法定代表人或其委托代理人（签字或签章）：</w:t>
      </w:r>
    </w:p>
    <w:p>
      <w:pPr>
        <w:pStyle w:val="65"/>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69"/>
        <w:pageBreakBefore w:val="0"/>
        <w:kinsoku/>
        <w:wordWrap/>
        <w:overflowPunct/>
        <w:bidi w:val="0"/>
        <w:spacing w:line="360" w:lineRule="auto"/>
        <w:ind w:left="720" w:firstLine="480" w:firstLineChars="200"/>
        <w:jc w:val="left"/>
        <w:rPr>
          <w:rFonts w:hint="eastAsia" w:ascii="宋体" w:hAnsi="宋体" w:eastAsia="宋体" w:cs="宋体"/>
          <w:color w:val="auto"/>
          <w:sz w:val="24"/>
          <w:szCs w:val="24"/>
          <w:highlight w:val="none"/>
        </w:rPr>
        <w:sectPr>
          <w:footerReference r:id="rId9" w:type="default"/>
          <w:pgSz w:w="11906" w:h="16838"/>
          <w:pgMar w:top="2098" w:right="1474" w:bottom="1984" w:left="1587" w:header="851" w:footer="754" w:gutter="0"/>
          <w:pgBorders>
            <w:top w:val="none" w:sz="0" w:space="0"/>
            <w:left w:val="none" w:sz="0" w:space="0"/>
            <w:bottom w:val="none" w:sz="0" w:space="0"/>
            <w:right w:val="none" w:sz="0" w:space="0"/>
          </w:pgBorders>
          <w:cols w:space="0" w:num="1"/>
          <w:rtlGutter w:val="0"/>
          <w:docGrid w:type="lines" w:linePitch="319" w:charSpace="0"/>
        </w:sectPr>
      </w:pPr>
    </w:p>
    <w:p>
      <w:pPr>
        <w:pStyle w:val="61"/>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489" w:name="_Toc256000072"/>
      <w:bookmarkStart w:id="490" w:name="_Toc5111"/>
      <w:bookmarkStart w:id="491" w:name="_Toc11629"/>
      <w:bookmarkStart w:id="492" w:name="_Toc20059"/>
      <w:bookmarkStart w:id="493" w:name="_Toc27646"/>
      <w:bookmarkStart w:id="494" w:name="_Toc9182"/>
      <w:bookmarkStart w:id="495" w:name="_Toc5884"/>
      <w:r>
        <w:rPr>
          <w:rFonts w:hint="eastAsia" w:ascii="宋体" w:hAnsi="宋体" w:eastAsia="宋体" w:cs="宋体"/>
          <w:color w:val="auto"/>
          <w:sz w:val="24"/>
          <w:szCs w:val="24"/>
          <w:highlight w:val="none"/>
        </w:rPr>
        <w:t>（三）</w:t>
      </w:r>
      <w:bookmarkEnd w:id="489"/>
      <w:bookmarkStart w:id="496" w:name="_Toc256000073"/>
      <w:r>
        <w:rPr>
          <w:rFonts w:hint="eastAsia" w:ascii="宋体" w:hAnsi="宋体" w:eastAsia="宋体" w:cs="宋体"/>
          <w:color w:val="auto"/>
          <w:sz w:val="24"/>
          <w:szCs w:val="24"/>
          <w:highlight w:val="none"/>
        </w:rPr>
        <w:t>合同、商务条款偏离说明表</w:t>
      </w:r>
      <w:bookmarkEnd w:id="490"/>
      <w:bookmarkEnd w:id="491"/>
      <w:bookmarkEnd w:id="492"/>
      <w:bookmarkEnd w:id="493"/>
      <w:bookmarkEnd w:id="494"/>
      <w:bookmarkEnd w:id="495"/>
      <w:bookmarkEnd w:id="496"/>
    </w:p>
    <w:p>
      <w:pPr>
        <w:pStyle w:val="70"/>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合同、商务响应偏离说明表</w:t>
      </w:r>
    </w:p>
    <w:p>
      <w:pPr>
        <w:pStyle w:val="70"/>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p>
    <w:p>
      <w:pPr>
        <w:pStyle w:val="70"/>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服务</w:t>
            </w:r>
          </w:p>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bl>
    <w:p>
      <w:pPr>
        <w:pStyle w:val="70"/>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pPr>
        <w:pStyle w:val="70"/>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法定代表人（单位负责人）或其委托代理人（签字或签章）：</w:t>
      </w:r>
    </w:p>
    <w:p>
      <w:pPr>
        <w:pStyle w:val="70"/>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p>
    <w:p>
      <w:pPr>
        <w:pStyle w:val="70"/>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pStyle w:val="71"/>
        <w:pageBreakBefore w:val="0"/>
        <w:kinsoku/>
        <w:wordWrap/>
        <w:overflowPunct/>
        <w:bidi w:val="0"/>
        <w:spacing w:after="0" w:line="360" w:lineRule="auto"/>
        <w:ind w:firstLine="480" w:firstLineChars="200"/>
        <w:jc w:val="left"/>
        <w:rPr>
          <w:rFonts w:hint="eastAsia" w:ascii="宋体" w:hAnsi="宋体" w:eastAsia="宋体" w:cs="宋体"/>
          <w:color w:val="auto"/>
          <w:sz w:val="24"/>
          <w:szCs w:val="24"/>
          <w:highlight w:val="none"/>
        </w:rPr>
        <w:sectPr>
          <w:pgSz w:w="11906" w:h="16838"/>
          <w:pgMar w:top="2098" w:right="1474" w:bottom="1984" w:left="1587" w:header="851" w:footer="754" w:gutter="0"/>
          <w:pgBorders>
            <w:top w:val="none" w:sz="0" w:space="0"/>
            <w:left w:val="none" w:sz="0" w:space="0"/>
            <w:bottom w:val="none" w:sz="0" w:space="0"/>
            <w:right w:val="none" w:sz="0" w:space="0"/>
          </w:pgBorders>
          <w:cols w:space="0" w:num="1"/>
          <w:rtlGutter w:val="0"/>
          <w:docGrid w:type="lines" w:linePitch="319" w:charSpace="0"/>
        </w:sectPr>
      </w:pPr>
    </w:p>
    <w:p>
      <w:pPr>
        <w:pStyle w:val="61"/>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497" w:name="_Toc1059"/>
      <w:bookmarkStart w:id="498" w:name="_Toc17807"/>
      <w:bookmarkStart w:id="499" w:name="_Toc3290"/>
      <w:bookmarkStart w:id="500" w:name="_Toc19695"/>
      <w:bookmarkStart w:id="501" w:name="_Toc17109"/>
      <w:bookmarkStart w:id="502" w:name="_Toc3742"/>
      <w:r>
        <w:rPr>
          <w:rFonts w:hint="eastAsia" w:ascii="宋体" w:hAnsi="宋体" w:eastAsia="宋体" w:cs="宋体"/>
          <w:color w:val="auto"/>
          <w:sz w:val="24"/>
          <w:szCs w:val="24"/>
          <w:highlight w:val="none"/>
        </w:rPr>
        <w:t>（四）、公司资质</w:t>
      </w:r>
      <w:bookmarkEnd w:id="497"/>
      <w:bookmarkEnd w:id="498"/>
      <w:bookmarkEnd w:id="499"/>
      <w:bookmarkEnd w:id="500"/>
      <w:bookmarkEnd w:id="501"/>
      <w:bookmarkEnd w:id="502"/>
    </w:p>
    <w:p>
      <w:pPr>
        <w:pageBreakBefore w:val="0"/>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sectPr>
          <w:pgSz w:w="11906" w:h="16838"/>
          <w:pgMar w:top="2098" w:right="1474" w:bottom="1984" w:left="1587" w:header="851" w:footer="754" w:gutter="0"/>
          <w:pgBorders>
            <w:top w:val="none" w:sz="0" w:space="0"/>
            <w:left w:val="none" w:sz="0" w:space="0"/>
            <w:bottom w:val="none" w:sz="0" w:space="0"/>
            <w:right w:val="none" w:sz="0" w:space="0"/>
          </w:pgBorders>
          <w:cols w:space="0" w:num="1"/>
          <w:rtlGutter w:val="0"/>
          <w:docGrid w:type="lines" w:linePitch="319" w:charSpace="0"/>
        </w:sectPr>
      </w:pPr>
      <w:r>
        <w:rPr>
          <w:rFonts w:hint="eastAsia" w:ascii="宋体" w:hAnsi="宋体" w:eastAsia="宋体" w:cs="宋体"/>
          <w:color w:val="auto"/>
          <w:sz w:val="24"/>
          <w:szCs w:val="24"/>
          <w:highlight w:val="none"/>
        </w:rPr>
        <w:t>建议按照评审标准提供相应资料</w:t>
      </w:r>
    </w:p>
    <w:p>
      <w:pPr>
        <w:pStyle w:val="61"/>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503" w:name="_Toc8777"/>
      <w:bookmarkStart w:id="504" w:name="_Toc15560"/>
      <w:bookmarkStart w:id="505" w:name="_Toc13064"/>
      <w:bookmarkStart w:id="506" w:name="_Toc8204"/>
      <w:bookmarkStart w:id="507" w:name="_Toc2728"/>
      <w:bookmarkStart w:id="508" w:name="_Toc19461"/>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项目经理</w:t>
      </w:r>
      <w:r>
        <w:rPr>
          <w:rFonts w:hint="eastAsia" w:ascii="宋体" w:hAnsi="宋体" w:eastAsia="宋体" w:cs="宋体"/>
          <w:color w:val="auto"/>
          <w:sz w:val="24"/>
          <w:szCs w:val="24"/>
          <w:highlight w:val="none"/>
        </w:rPr>
        <w:t>信息表、项目组成人员信息</w:t>
      </w:r>
      <w:bookmarkEnd w:id="503"/>
      <w:bookmarkEnd w:id="504"/>
      <w:bookmarkEnd w:id="505"/>
      <w:bookmarkEnd w:id="506"/>
      <w:bookmarkEnd w:id="507"/>
      <w:bookmarkEnd w:id="508"/>
    </w:p>
    <w:p>
      <w:pPr>
        <w:pStyle w:val="70"/>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人员基本信息、资质证书、人员业绩等内容，格式自拟</w:t>
      </w:r>
    </w:p>
    <w:p>
      <w:pPr>
        <w:pStyle w:val="70"/>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（建议按照评审标准提供相应资料）。</w:t>
      </w:r>
    </w:p>
    <w:p>
      <w:pPr>
        <w:pStyle w:val="73"/>
        <w:pageBreakBefore w:val="0"/>
        <w:kinsoku/>
        <w:wordWrap/>
        <w:overflowPunct/>
        <w:bidi w:val="0"/>
        <w:spacing w:line="360" w:lineRule="auto"/>
        <w:ind w:firstLine="482" w:firstLineChars="200"/>
        <w:jc w:val="left"/>
        <w:outlineLvl w:val="1"/>
        <w:rPr>
          <w:rFonts w:hint="eastAsia" w:ascii="宋体" w:hAnsi="宋体" w:eastAsia="宋体" w:cs="宋体"/>
          <w:color w:val="auto"/>
          <w:sz w:val="24"/>
          <w:szCs w:val="24"/>
          <w:highlight w:val="none"/>
        </w:rPr>
        <w:sectPr>
          <w:pgSz w:w="11906" w:h="16838"/>
          <w:pgMar w:top="2098" w:right="1474" w:bottom="1984" w:left="1587" w:header="851" w:footer="754" w:gutter="0"/>
          <w:pgBorders>
            <w:top w:val="none" w:sz="0" w:space="0"/>
            <w:left w:val="none" w:sz="0" w:space="0"/>
            <w:bottom w:val="none" w:sz="0" w:space="0"/>
            <w:right w:val="none" w:sz="0" w:space="0"/>
          </w:pgBorders>
          <w:cols w:space="0" w:num="1"/>
          <w:rtlGutter w:val="0"/>
          <w:docGrid w:type="lines" w:linePitch="319" w:charSpace="0"/>
        </w:sectPr>
      </w:pPr>
    </w:p>
    <w:p>
      <w:pPr>
        <w:pStyle w:val="61"/>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509" w:name="_Toc6463"/>
      <w:bookmarkStart w:id="510" w:name="_Toc23479"/>
      <w:bookmarkStart w:id="511" w:name="_Toc13041"/>
      <w:bookmarkStart w:id="512" w:name="_Toc25202"/>
      <w:bookmarkStart w:id="513" w:name="_Toc25548"/>
      <w:bookmarkStart w:id="514" w:name="_Toc20772"/>
      <w:r>
        <w:rPr>
          <w:rFonts w:hint="eastAsia" w:ascii="宋体" w:hAnsi="宋体" w:eastAsia="宋体" w:cs="宋体"/>
          <w:color w:val="auto"/>
          <w:sz w:val="24"/>
          <w:szCs w:val="24"/>
          <w:highlight w:val="none"/>
        </w:rPr>
        <w:t>（六）、财务状况</w:t>
      </w:r>
      <w:bookmarkEnd w:id="509"/>
      <w:bookmarkEnd w:id="510"/>
      <w:bookmarkEnd w:id="511"/>
      <w:bookmarkEnd w:id="512"/>
      <w:bookmarkEnd w:id="513"/>
      <w:bookmarkEnd w:id="514"/>
    </w:p>
    <w:p>
      <w:pPr>
        <w:pageBreakBefore w:val="0"/>
        <w:kinsoku/>
        <w:wordWrap/>
        <w:overflowPunct/>
        <w:autoSpaceDE w:val="0"/>
        <w:autoSpaceDN w:val="0"/>
        <w:bidi w:val="0"/>
        <w:adjustRightInd w:val="0"/>
        <w:spacing w:line="360" w:lineRule="auto"/>
        <w:ind w:firstLine="480" w:firstLineChars="200"/>
        <w:jc w:val="left"/>
        <w:rPr>
          <w:rFonts w:hint="eastAsia" w:ascii="宋体" w:hAnsi="宋体" w:eastAsia="宋体" w:cs="宋体"/>
          <w:color w:val="auto"/>
          <w:sz w:val="24"/>
          <w:szCs w:val="24"/>
          <w:highlight w:val="none"/>
        </w:rPr>
        <w:sectPr>
          <w:pgSz w:w="11906" w:h="16838"/>
          <w:pgMar w:top="2098" w:right="1474" w:bottom="1984" w:left="1587" w:header="851" w:footer="754" w:gutter="0"/>
          <w:pgBorders>
            <w:top w:val="none" w:sz="0" w:space="0"/>
            <w:left w:val="none" w:sz="0" w:space="0"/>
            <w:bottom w:val="none" w:sz="0" w:space="0"/>
            <w:right w:val="none" w:sz="0" w:space="0"/>
          </w:pgBorders>
          <w:cols w:space="0" w:num="1"/>
          <w:rtlGutter w:val="0"/>
          <w:docGrid w:type="lines" w:linePitch="319" w:charSpace="0"/>
        </w:sectPr>
      </w:pPr>
      <w:r>
        <w:rPr>
          <w:rFonts w:hint="eastAsia" w:ascii="宋体" w:hAnsi="宋体" w:eastAsia="宋体" w:cs="宋体"/>
          <w:color w:val="auto"/>
          <w:sz w:val="24"/>
          <w:szCs w:val="24"/>
          <w:highlight w:val="none"/>
        </w:rPr>
        <w:t>（建议按照评审标准提供相应资料）</w:t>
      </w:r>
    </w:p>
    <w:p>
      <w:pPr>
        <w:pStyle w:val="61"/>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515" w:name="_Toc14146"/>
      <w:bookmarkStart w:id="516" w:name="_Toc24915"/>
      <w:bookmarkStart w:id="517" w:name="_Toc19580"/>
      <w:bookmarkStart w:id="518" w:name="_Toc6185"/>
      <w:bookmarkStart w:id="519" w:name="_Toc13312"/>
      <w:bookmarkStart w:id="520" w:name="_Toc30633"/>
      <w:r>
        <w:rPr>
          <w:rFonts w:hint="eastAsia" w:ascii="宋体" w:hAnsi="宋体" w:eastAsia="宋体" w:cs="宋体"/>
          <w:color w:val="auto"/>
          <w:sz w:val="24"/>
          <w:szCs w:val="24"/>
          <w:highlight w:val="none"/>
        </w:rPr>
        <w:t>（七）、近年同类项目业绩</w:t>
      </w:r>
      <w:bookmarkEnd w:id="515"/>
      <w:bookmarkEnd w:id="516"/>
      <w:bookmarkEnd w:id="517"/>
      <w:bookmarkEnd w:id="518"/>
      <w:bookmarkEnd w:id="519"/>
      <w:bookmarkEnd w:id="520"/>
    </w:p>
    <w:p>
      <w:pPr>
        <w:pStyle w:val="53"/>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附：类似项目业绩表（建议按照评审标准提供相应资料）</w:t>
      </w:r>
    </w:p>
    <w:p>
      <w:pPr>
        <w:pStyle w:val="53"/>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p>
    <w:p>
      <w:pPr>
        <w:pStyle w:val="53"/>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00" w:type="dxa"/>
            <w:noWrap w:val="0"/>
            <w:vAlign w:val="top"/>
          </w:tcPr>
          <w:p>
            <w:pPr>
              <w:pStyle w:val="53"/>
              <w:keepNext w:val="0"/>
              <w:keepLines w:val="0"/>
              <w:pageBreakBefore w:val="0"/>
              <w:widowControl w:val="0"/>
              <w:tabs>
                <w:tab w:val="left" w:pos="2265"/>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项目单位名称</w:t>
            </w:r>
          </w:p>
        </w:tc>
        <w:tc>
          <w:tcPr>
            <w:tcW w:w="7200" w:type="dxa"/>
            <w:noWrap w:val="0"/>
            <w:vAlign w:val="top"/>
          </w:tcPr>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项目单位联系人姓名及联系方式</w:t>
            </w:r>
          </w:p>
        </w:tc>
        <w:tc>
          <w:tcPr>
            <w:tcW w:w="7200" w:type="dxa"/>
            <w:noWrap w:val="0"/>
            <w:vAlign w:val="top"/>
          </w:tcPr>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7200" w:type="dxa"/>
            <w:noWrap w:val="0"/>
            <w:vAlign w:val="top"/>
          </w:tcPr>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200" w:type="dxa"/>
            <w:noWrap w:val="0"/>
            <w:vAlign w:val="top"/>
          </w:tcPr>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项目实施时间</w:t>
            </w:r>
          </w:p>
        </w:tc>
        <w:tc>
          <w:tcPr>
            <w:tcW w:w="7200" w:type="dxa"/>
            <w:noWrap w:val="0"/>
            <w:vAlign w:val="top"/>
          </w:tcPr>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项目内容说明</w:t>
            </w:r>
          </w:p>
        </w:tc>
        <w:tc>
          <w:tcPr>
            <w:tcW w:w="7200" w:type="dxa"/>
            <w:noWrap w:val="0"/>
            <w:vAlign w:val="top"/>
          </w:tcPr>
          <w:p>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p>
        </w:tc>
      </w:tr>
    </w:tbl>
    <w:p>
      <w:pPr>
        <w:pStyle w:val="53"/>
        <w:pageBreakBefore w:val="0"/>
        <w:kinsoku/>
        <w:wordWrap/>
        <w:overflowPunct/>
        <w:autoSpaceDE w:val="0"/>
        <w:autoSpaceDN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说明：1．每个合同须单独附表，并附上相关证明材料，否则专家在评审时将不予采信；</w:t>
      </w:r>
    </w:p>
    <w:p>
      <w:pPr>
        <w:pStyle w:val="5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2．项目内容请简单说明所承担的具体工作内容；</w:t>
      </w:r>
    </w:p>
    <w:p>
      <w:pPr>
        <w:pStyle w:val="53"/>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法定代表人（单位负责人）或其委托代理人（签字或签章）：</w:t>
      </w:r>
    </w:p>
    <w:p>
      <w:pPr>
        <w:pStyle w:val="53"/>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供应商名称（签章）：</w:t>
      </w:r>
    </w:p>
    <w:p>
      <w:pPr>
        <w:pStyle w:val="5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pStyle w:val="49"/>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sectPr>
          <w:pgSz w:w="11906" w:h="16838"/>
          <w:pgMar w:top="2098" w:right="1474" w:bottom="1984" w:left="1587" w:header="851" w:footer="754" w:gutter="0"/>
          <w:pgBorders>
            <w:top w:val="none" w:sz="0" w:space="0"/>
            <w:left w:val="none" w:sz="0" w:space="0"/>
            <w:bottom w:val="none" w:sz="0" w:space="0"/>
            <w:right w:val="none" w:sz="0" w:space="0"/>
          </w:pgBorders>
          <w:cols w:space="0" w:num="1"/>
          <w:rtlGutter w:val="0"/>
          <w:docGrid w:type="lines" w:linePitch="319" w:charSpace="0"/>
        </w:sectPr>
      </w:pPr>
      <w:bookmarkStart w:id="521" w:name="_Toc256000075"/>
    </w:p>
    <w:p>
      <w:pPr>
        <w:pStyle w:val="49"/>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522" w:name="_Toc3852"/>
      <w:bookmarkStart w:id="523" w:name="_Toc14041"/>
      <w:bookmarkStart w:id="524" w:name="_Toc8075"/>
      <w:bookmarkStart w:id="525" w:name="_Toc2309"/>
      <w:bookmarkStart w:id="526" w:name="_Toc8269"/>
      <w:bookmarkStart w:id="527" w:name="_Toc3137"/>
      <w:r>
        <w:rPr>
          <w:rFonts w:hint="eastAsia" w:ascii="宋体" w:hAnsi="宋体" w:eastAsia="宋体" w:cs="宋体"/>
          <w:color w:val="auto"/>
          <w:sz w:val="24"/>
          <w:szCs w:val="24"/>
          <w:highlight w:val="none"/>
        </w:rPr>
        <w:t>（八）、中小微企业</w:t>
      </w:r>
      <w:r>
        <w:rPr>
          <w:rFonts w:hint="eastAsia" w:ascii="宋体" w:hAnsi="宋体" w:eastAsia="宋体" w:cs="宋体"/>
          <w:color w:val="auto"/>
          <w:sz w:val="24"/>
          <w:szCs w:val="24"/>
          <w:highlight w:val="none"/>
          <w:lang w:val="en-US" w:eastAsia="zh-CN"/>
        </w:rPr>
        <w:t>声明函（必须）</w:t>
      </w:r>
      <w:r>
        <w:rPr>
          <w:rFonts w:hint="eastAsia" w:ascii="宋体" w:hAnsi="宋体" w:eastAsia="宋体" w:cs="宋体"/>
          <w:color w:val="auto"/>
          <w:sz w:val="24"/>
          <w:szCs w:val="24"/>
          <w:highlight w:val="none"/>
        </w:rPr>
        <w:t>、残疾人福利性单位、监狱企业声明函（如有）</w:t>
      </w:r>
      <w:bookmarkEnd w:id="522"/>
      <w:bookmarkEnd w:id="523"/>
      <w:bookmarkEnd w:id="524"/>
      <w:bookmarkEnd w:id="525"/>
      <w:bookmarkEnd w:id="526"/>
      <w:bookmarkEnd w:id="527"/>
    </w:p>
    <w:p>
      <w:pPr>
        <w:pStyle w:val="21"/>
        <w:pageBreakBefore w:val="0"/>
        <w:shd w:val="clear" w:color="auto" w:fill="FFFFFF"/>
        <w:kinsoku/>
        <w:wordWrap/>
        <w:overflowPunct/>
        <w:bidi w:val="0"/>
        <w:spacing w:line="360" w:lineRule="auto"/>
        <w:ind w:firstLine="482" w:firstLineChars="200"/>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1、中小企业声明函</w:t>
      </w:r>
    </w:p>
    <w:p>
      <w:pPr>
        <w:pStyle w:val="21"/>
        <w:pageBreakBefore w:val="0"/>
        <w:shd w:val="clear" w:color="auto" w:fill="FFFFFF"/>
        <w:kinsoku/>
        <w:wordWrap/>
        <w:overflowPunct/>
        <w:bidi w:val="0"/>
        <w:spacing w:line="360" w:lineRule="auto"/>
        <w:ind w:firstLine="480" w:firstLineChars="200"/>
        <w:jc w:val="left"/>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本公司（联合体）郑重声明，根据《政府采购促进中小企业发展管理办法》（财库﹝2020﹞46 号）的规定，本公司（联合体）参加</w:t>
      </w:r>
      <w:r>
        <w:rPr>
          <w:rFonts w:hint="eastAsia" w:ascii="宋体" w:hAnsi="宋体" w:eastAsia="宋体" w:cs="宋体"/>
          <w:bCs/>
          <w:color w:val="auto"/>
          <w:sz w:val="24"/>
          <w:szCs w:val="24"/>
          <w:highlight w:val="none"/>
          <w:u w:val="single"/>
          <w:shd w:val="clear" w:color="auto" w:fill="FFFFFF"/>
        </w:rPr>
        <w:t>（单位名称）</w:t>
      </w:r>
      <w:r>
        <w:rPr>
          <w:rFonts w:hint="eastAsia" w:ascii="宋体" w:hAnsi="宋体" w:eastAsia="宋体" w:cs="宋体"/>
          <w:bCs/>
          <w:color w:val="auto"/>
          <w:sz w:val="24"/>
          <w:szCs w:val="24"/>
          <w:highlight w:val="none"/>
          <w:shd w:val="clear" w:color="auto" w:fill="FFFFFF"/>
        </w:rPr>
        <w:t>的</w:t>
      </w:r>
      <w:r>
        <w:rPr>
          <w:rFonts w:hint="eastAsia" w:ascii="宋体" w:hAnsi="宋体" w:eastAsia="宋体" w:cs="宋体"/>
          <w:bCs/>
          <w:color w:val="auto"/>
          <w:sz w:val="24"/>
          <w:szCs w:val="24"/>
          <w:highlight w:val="none"/>
          <w:u w:val="single"/>
          <w:shd w:val="clear" w:color="auto" w:fill="FFFFFF"/>
        </w:rPr>
        <w:t>（项目名称）</w:t>
      </w:r>
      <w:r>
        <w:rPr>
          <w:rFonts w:hint="eastAsia" w:ascii="宋体" w:hAnsi="宋体" w:eastAsia="宋体" w:cs="宋体"/>
          <w:bCs/>
          <w:color w:val="auto"/>
          <w:sz w:val="24"/>
          <w:szCs w:val="24"/>
          <w:highlight w:val="none"/>
          <w:shd w:val="clear" w:color="auto" w:fill="FFFFFF"/>
        </w:rPr>
        <w:t>采购活动，提供的货物全部由符合政策要求的中小企业制造。相关企业（含联合体中的中小企业、签订分包意向协议的中小企业） 的具体情况如下：</w:t>
      </w:r>
    </w:p>
    <w:p>
      <w:pPr>
        <w:pStyle w:val="21"/>
        <w:pageBreakBefore w:val="0"/>
        <w:shd w:val="clear" w:color="auto" w:fill="FFFFFF"/>
        <w:kinsoku/>
        <w:wordWrap/>
        <w:overflowPunct/>
        <w:bidi w:val="0"/>
        <w:spacing w:line="360" w:lineRule="auto"/>
        <w:ind w:firstLine="480" w:firstLineChars="200"/>
        <w:jc w:val="left"/>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bCs/>
          <w:color w:val="auto"/>
          <w:sz w:val="24"/>
          <w:szCs w:val="24"/>
          <w:highlight w:val="none"/>
          <w:u w:val="single"/>
          <w:shd w:val="clear" w:color="auto" w:fill="FFFFFF"/>
        </w:rPr>
        <w:t>（标的名称）</w:t>
      </w:r>
      <w:r>
        <w:rPr>
          <w:rFonts w:hint="eastAsia" w:ascii="宋体" w:hAnsi="宋体" w:eastAsia="宋体" w:cs="宋体"/>
          <w:bCs/>
          <w:color w:val="auto"/>
          <w:sz w:val="24"/>
          <w:szCs w:val="24"/>
          <w:highlight w:val="none"/>
          <w:shd w:val="clear" w:color="auto" w:fill="FFFFFF"/>
        </w:rPr>
        <w:t>，属于</w:t>
      </w:r>
      <w:r>
        <w:rPr>
          <w:rFonts w:hint="eastAsia" w:ascii="宋体" w:hAnsi="宋体" w:eastAsia="宋体" w:cs="宋体"/>
          <w:bCs/>
          <w:color w:val="auto"/>
          <w:sz w:val="24"/>
          <w:szCs w:val="24"/>
          <w:highlight w:val="none"/>
          <w:u w:val="single"/>
          <w:shd w:val="clear" w:color="auto" w:fill="FFFFFF"/>
        </w:rPr>
        <w:t>（采购文件中明确的所属行业）行业</w:t>
      </w:r>
      <w:r>
        <w:rPr>
          <w:rFonts w:hint="eastAsia" w:ascii="宋体" w:hAnsi="宋体" w:eastAsia="宋体" w:cs="宋体"/>
          <w:bCs/>
          <w:color w:val="auto"/>
          <w:sz w:val="24"/>
          <w:szCs w:val="24"/>
          <w:highlight w:val="none"/>
          <w:shd w:val="clear" w:color="auto" w:fill="FFFFFF"/>
        </w:rPr>
        <w:t>；制造商为</w:t>
      </w:r>
      <w:r>
        <w:rPr>
          <w:rFonts w:hint="eastAsia" w:ascii="宋体" w:hAnsi="宋体" w:eastAsia="宋体" w:cs="宋体"/>
          <w:bCs/>
          <w:color w:val="auto"/>
          <w:sz w:val="24"/>
          <w:szCs w:val="24"/>
          <w:highlight w:val="none"/>
          <w:u w:val="single"/>
          <w:shd w:val="clear" w:color="auto" w:fill="FFFFFF"/>
        </w:rPr>
        <w:t>（企业名称）</w:t>
      </w:r>
      <w:r>
        <w:rPr>
          <w:rFonts w:hint="eastAsia" w:ascii="宋体" w:hAnsi="宋体" w:eastAsia="宋体" w:cs="宋体"/>
          <w:bCs/>
          <w:color w:val="auto"/>
          <w:sz w:val="24"/>
          <w:szCs w:val="24"/>
          <w:highlight w:val="none"/>
          <w:shd w:val="clear" w:color="auto" w:fill="FFFFFF"/>
        </w:rPr>
        <w:t>，从业人员</w:t>
      </w:r>
      <w:r>
        <w:rPr>
          <w:rFonts w:hint="eastAsia" w:ascii="宋体" w:hAnsi="宋体" w:eastAsia="宋体" w:cs="宋体"/>
          <w:bCs/>
          <w:color w:val="auto"/>
          <w:sz w:val="24"/>
          <w:szCs w:val="24"/>
          <w:highlight w:val="none"/>
          <w:u w:val="single"/>
          <w:shd w:val="clear" w:color="auto" w:fill="FFFFFF"/>
        </w:rPr>
        <w:t xml:space="preserve">    </w:t>
      </w:r>
      <w:r>
        <w:rPr>
          <w:rFonts w:hint="eastAsia" w:ascii="宋体" w:hAnsi="宋体" w:eastAsia="宋体" w:cs="宋体"/>
          <w:bCs/>
          <w:color w:val="auto"/>
          <w:sz w:val="24"/>
          <w:szCs w:val="24"/>
          <w:highlight w:val="none"/>
          <w:shd w:val="clear" w:color="auto" w:fill="FFFFFF"/>
        </w:rPr>
        <w:t>人，营业收入为</w:t>
      </w:r>
      <w:r>
        <w:rPr>
          <w:rFonts w:hint="eastAsia" w:ascii="宋体" w:hAnsi="宋体" w:eastAsia="宋体" w:cs="宋体"/>
          <w:bCs/>
          <w:color w:val="auto"/>
          <w:sz w:val="24"/>
          <w:szCs w:val="24"/>
          <w:highlight w:val="none"/>
          <w:u w:val="single"/>
          <w:shd w:val="clear" w:color="auto" w:fill="FFFFFF"/>
        </w:rPr>
        <w:t xml:space="preserve">    </w:t>
      </w:r>
      <w:r>
        <w:rPr>
          <w:rFonts w:hint="eastAsia" w:ascii="宋体" w:hAnsi="宋体" w:eastAsia="宋体" w:cs="宋体"/>
          <w:bCs/>
          <w:color w:val="auto"/>
          <w:sz w:val="24"/>
          <w:szCs w:val="24"/>
          <w:highlight w:val="none"/>
          <w:shd w:val="clear" w:color="auto" w:fill="FFFFFF"/>
        </w:rPr>
        <w:t>万元，资产总额为</w:t>
      </w:r>
      <w:r>
        <w:rPr>
          <w:rFonts w:hint="eastAsia" w:ascii="宋体" w:hAnsi="宋体" w:eastAsia="宋体" w:cs="宋体"/>
          <w:bCs/>
          <w:color w:val="auto"/>
          <w:sz w:val="24"/>
          <w:szCs w:val="24"/>
          <w:highlight w:val="none"/>
          <w:u w:val="single"/>
          <w:shd w:val="clear" w:color="auto" w:fill="FFFFFF"/>
        </w:rPr>
        <w:t xml:space="preserve">    </w:t>
      </w:r>
      <w:r>
        <w:rPr>
          <w:rFonts w:hint="eastAsia" w:ascii="宋体" w:hAnsi="宋体" w:eastAsia="宋体" w:cs="宋体"/>
          <w:bCs/>
          <w:color w:val="auto"/>
          <w:sz w:val="24"/>
          <w:szCs w:val="24"/>
          <w:highlight w:val="none"/>
          <w:shd w:val="clear" w:color="auto" w:fill="FFFFFF"/>
        </w:rPr>
        <w:t>万元，属于</w:t>
      </w:r>
      <w:r>
        <w:rPr>
          <w:rFonts w:hint="eastAsia" w:ascii="宋体" w:hAnsi="宋体" w:eastAsia="宋体" w:cs="宋体"/>
          <w:bCs/>
          <w:color w:val="auto"/>
          <w:sz w:val="24"/>
          <w:szCs w:val="24"/>
          <w:highlight w:val="none"/>
          <w:u w:val="single"/>
          <w:shd w:val="clear" w:color="auto" w:fill="FFFFFF"/>
        </w:rPr>
        <w:t>（中型企业、小型企业、微型企业）</w:t>
      </w:r>
      <w:r>
        <w:rPr>
          <w:rFonts w:hint="eastAsia" w:ascii="宋体" w:hAnsi="宋体" w:eastAsia="宋体" w:cs="宋体"/>
          <w:bCs/>
          <w:color w:val="auto"/>
          <w:sz w:val="24"/>
          <w:szCs w:val="24"/>
          <w:highlight w:val="none"/>
          <w:shd w:val="clear" w:color="auto" w:fill="FFFFFF"/>
        </w:rPr>
        <w:t>；</w:t>
      </w:r>
    </w:p>
    <w:p>
      <w:pPr>
        <w:pStyle w:val="21"/>
        <w:pageBreakBefore w:val="0"/>
        <w:shd w:val="clear" w:color="auto" w:fill="FFFFFF"/>
        <w:kinsoku/>
        <w:wordWrap/>
        <w:overflowPunct/>
        <w:bidi w:val="0"/>
        <w:spacing w:line="360" w:lineRule="auto"/>
        <w:ind w:firstLine="480" w:firstLineChars="200"/>
        <w:jc w:val="left"/>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2.</w:t>
      </w:r>
      <w:r>
        <w:rPr>
          <w:rFonts w:hint="eastAsia" w:ascii="宋体" w:hAnsi="宋体" w:eastAsia="宋体" w:cs="宋体"/>
          <w:bCs/>
          <w:color w:val="auto"/>
          <w:sz w:val="24"/>
          <w:szCs w:val="24"/>
          <w:highlight w:val="none"/>
          <w:u w:val="single"/>
          <w:shd w:val="clear" w:color="auto" w:fill="FFFFFF"/>
        </w:rPr>
        <w:t>（标的名称）</w:t>
      </w:r>
      <w:r>
        <w:rPr>
          <w:rFonts w:hint="eastAsia" w:ascii="宋体" w:hAnsi="宋体" w:eastAsia="宋体" w:cs="宋体"/>
          <w:bCs/>
          <w:color w:val="auto"/>
          <w:sz w:val="24"/>
          <w:szCs w:val="24"/>
          <w:highlight w:val="none"/>
          <w:shd w:val="clear" w:color="auto" w:fill="FFFFFF"/>
        </w:rPr>
        <w:t>，属于</w:t>
      </w:r>
      <w:r>
        <w:rPr>
          <w:rFonts w:hint="eastAsia" w:ascii="宋体" w:hAnsi="宋体" w:eastAsia="宋体" w:cs="宋体"/>
          <w:bCs/>
          <w:color w:val="auto"/>
          <w:sz w:val="24"/>
          <w:szCs w:val="24"/>
          <w:highlight w:val="none"/>
          <w:u w:val="single"/>
          <w:shd w:val="clear" w:color="auto" w:fill="FFFFFF"/>
        </w:rPr>
        <w:t>（采购文件中明确的所属行业）行业</w:t>
      </w:r>
      <w:r>
        <w:rPr>
          <w:rFonts w:hint="eastAsia" w:ascii="宋体" w:hAnsi="宋体" w:eastAsia="宋体" w:cs="宋体"/>
          <w:bCs/>
          <w:color w:val="auto"/>
          <w:sz w:val="24"/>
          <w:szCs w:val="24"/>
          <w:highlight w:val="none"/>
          <w:shd w:val="clear" w:color="auto" w:fill="FFFFFF"/>
        </w:rPr>
        <w:t>；制造商为</w:t>
      </w:r>
      <w:r>
        <w:rPr>
          <w:rFonts w:hint="eastAsia" w:ascii="宋体" w:hAnsi="宋体" w:eastAsia="宋体" w:cs="宋体"/>
          <w:bCs/>
          <w:color w:val="auto"/>
          <w:sz w:val="24"/>
          <w:szCs w:val="24"/>
          <w:highlight w:val="none"/>
          <w:u w:val="single"/>
          <w:shd w:val="clear" w:color="auto" w:fill="FFFFFF"/>
        </w:rPr>
        <w:t>（企业名称）</w:t>
      </w:r>
      <w:r>
        <w:rPr>
          <w:rFonts w:hint="eastAsia" w:ascii="宋体" w:hAnsi="宋体" w:eastAsia="宋体" w:cs="宋体"/>
          <w:bCs/>
          <w:color w:val="auto"/>
          <w:sz w:val="24"/>
          <w:szCs w:val="24"/>
          <w:highlight w:val="none"/>
          <w:shd w:val="clear" w:color="auto" w:fill="FFFFFF"/>
        </w:rPr>
        <w:t>，从业人员</w:t>
      </w:r>
      <w:r>
        <w:rPr>
          <w:rFonts w:hint="eastAsia" w:ascii="宋体" w:hAnsi="宋体" w:eastAsia="宋体" w:cs="宋体"/>
          <w:bCs/>
          <w:color w:val="auto"/>
          <w:sz w:val="24"/>
          <w:szCs w:val="24"/>
          <w:highlight w:val="none"/>
          <w:u w:val="single"/>
          <w:shd w:val="clear" w:color="auto" w:fill="FFFFFF"/>
        </w:rPr>
        <w:t xml:space="preserve">    </w:t>
      </w:r>
      <w:r>
        <w:rPr>
          <w:rFonts w:hint="eastAsia" w:ascii="宋体" w:hAnsi="宋体" w:eastAsia="宋体" w:cs="宋体"/>
          <w:bCs/>
          <w:color w:val="auto"/>
          <w:sz w:val="24"/>
          <w:szCs w:val="24"/>
          <w:highlight w:val="none"/>
          <w:shd w:val="clear" w:color="auto" w:fill="FFFFFF"/>
        </w:rPr>
        <w:t>人，营业收入为</w:t>
      </w:r>
      <w:r>
        <w:rPr>
          <w:rFonts w:hint="eastAsia" w:ascii="宋体" w:hAnsi="宋体" w:eastAsia="宋体" w:cs="宋体"/>
          <w:bCs/>
          <w:color w:val="auto"/>
          <w:sz w:val="24"/>
          <w:szCs w:val="24"/>
          <w:highlight w:val="none"/>
          <w:u w:val="single"/>
          <w:shd w:val="clear" w:color="auto" w:fill="FFFFFF"/>
        </w:rPr>
        <w:t xml:space="preserve">    </w:t>
      </w:r>
      <w:r>
        <w:rPr>
          <w:rFonts w:hint="eastAsia" w:ascii="宋体" w:hAnsi="宋体" w:eastAsia="宋体" w:cs="宋体"/>
          <w:bCs/>
          <w:color w:val="auto"/>
          <w:sz w:val="24"/>
          <w:szCs w:val="24"/>
          <w:highlight w:val="none"/>
          <w:shd w:val="clear" w:color="auto" w:fill="FFFFFF"/>
        </w:rPr>
        <w:t>万元，资产总额为</w:t>
      </w:r>
      <w:r>
        <w:rPr>
          <w:rFonts w:hint="eastAsia" w:ascii="宋体" w:hAnsi="宋体" w:eastAsia="宋体" w:cs="宋体"/>
          <w:bCs/>
          <w:color w:val="auto"/>
          <w:sz w:val="24"/>
          <w:szCs w:val="24"/>
          <w:highlight w:val="none"/>
          <w:u w:val="single"/>
          <w:shd w:val="clear" w:color="auto" w:fill="FFFFFF"/>
        </w:rPr>
        <w:t xml:space="preserve">    </w:t>
      </w:r>
      <w:r>
        <w:rPr>
          <w:rFonts w:hint="eastAsia" w:ascii="宋体" w:hAnsi="宋体" w:eastAsia="宋体" w:cs="宋体"/>
          <w:bCs/>
          <w:color w:val="auto"/>
          <w:sz w:val="24"/>
          <w:szCs w:val="24"/>
          <w:highlight w:val="none"/>
          <w:shd w:val="clear" w:color="auto" w:fill="FFFFFF"/>
        </w:rPr>
        <w:t>万元，属于</w:t>
      </w:r>
      <w:r>
        <w:rPr>
          <w:rFonts w:hint="eastAsia" w:ascii="宋体" w:hAnsi="宋体" w:eastAsia="宋体" w:cs="宋体"/>
          <w:bCs/>
          <w:color w:val="auto"/>
          <w:sz w:val="24"/>
          <w:szCs w:val="24"/>
          <w:highlight w:val="none"/>
          <w:u w:val="single"/>
          <w:shd w:val="clear" w:color="auto" w:fill="FFFFFF"/>
        </w:rPr>
        <w:t>（中型企业、小型企业、微型企业）</w:t>
      </w:r>
      <w:r>
        <w:rPr>
          <w:rFonts w:hint="eastAsia" w:ascii="宋体" w:hAnsi="宋体" w:eastAsia="宋体" w:cs="宋体"/>
          <w:bCs/>
          <w:color w:val="auto"/>
          <w:sz w:val="24"/>
          <w:szCs w:val="24"/>
          <w:highlight w:val="none"/>
          <w:shd w:val="clear" w:color="auto" w:fill="FFFFFF"/>
        </w:rPr>
        <w:t>；</w:t>
      </w:r>
    </w:p>
    <w:p>
      <w:pPr>
        <w:pStyle w:val="21"/>
        <w:pageBreakBefore w:val="0"/>
        <w:shd w:val="clear" w:color="auto" w:fill="FFFFFF"/>
        <w:kinsoku/>
        <w:wordWrap/>
        <w:overflowPunct/>
        <w:bidi w:val="0"/>
        <w:spacing w:line="360" w:lineRule="auto"/>
        <w:ind w:firstLine="480" w:firstLineChars="200"/>
        <w:jc w:val="left"/>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w:t>
      </w:r>
    </w:p>
    <w:p>
      <w:pPr>
        <w:pStyle w:val="21"/>
        <w:pageBreakBefore w:val="0"/>
        <w:shd w:val="clear" w:color="auto" w:fill="FFFFFF"/>
        <w:kinsoku/>
        <w:wordWrap/>
        <w:overflowPunct/>
        <w:bidi w:val="0"/>
        <w:spacing w:line="360" w:lineRule="auto"/>
        <w:ind w:firstLine="480" w:firstLineChars="200"/>
        <w:jc w:val="left"/>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以上企业，不属于大企业的分支机构，不存在控股股东为大企业的情形，也不存在与大企业的负责人为同一人的情形。</w:t>
      </w:r>
    </w:p>
    <w:p>
      <w:pPr>
        <w:pStyle w:val="21"/>
        <w:pageBreakBefore w:val="0"/>
        <w:shd w:val="clear" w:color="auto" w:fill="FFFFFF"/>
        <w:kinsoku/>
        <w:wordWrap/>
        <w:overflowPunct/>
        <w:bidi w:val="0"/>
        <w:spacing w:line="360" w:lineRule="auto"/>
        <w:ind w:firstLine="480" w:firstLineChars="200"/>
        <w:jc w:val="left"/>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本企业对上述声明内容的真实性负责。如有虚假，将依法承担相应责任。</w:t>
      </w:r>
    </w:p>
    <w:p>
      <w:pPr>
        <w:pStyle w:val="21"/>
        <w:pageBreakBefore w:val="0"/>
        <w:shd w:val="clear" w:color="auto" w:fill="FFFFFF"/>
        <w:kinsoku/>
        <w:wordWrap/>
        <w:overflowPunct/>
        <w:bidi w:val="0"/>
        <w:spacing w:line="360" w:lineRule="auto"/>
        <w:ind w:firstLine="480" w:firstLineChars="200"/>
        <w:jc w:val="left"/>
        <w:rPr>
          <w:rFonts w:hint="eastAsia" w:ascii="宋体" w:hAnsi="宋体" w:eastAsia="宋体" w:cs="宋体"/>
          <w:bCs/>
          <w:color w:val="auto"/>
          <w:sz w:val="24"/>
          <w:szCs w:val="24"/>
          <w:highlight w:val="none"/>
          <w:shd w:val="clear" w:color="auto" w:fill="FFFFFF"/>
        </w:rPr>
      </w:pPr>
    </w:p>
    <w:p>
      <w:pPr>
        <w:pStyle w:val="21"/>
        <w:pageBreakBefore w:val="0"/>
        <w:shd w:val="clear" w:color="auto" w:fill="FFFFFF"/>
        <w:kinsoku/>
        <w:wordWrap/>
        <w:overflowPunct/>
        <w:bidi w:val="0"/>
        <w:spacing w:line="360" w:lineRule="auto"/>
        <w:ind w:right="480" w:firstLine="480" w:firstLineChars="200"/>
        <w:jc w:val="left"/>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企业名称（盖章）：</w:t>
      </w:r>
    </w:p>
    <w:p>
      <w:pPr>
        <w:pStyle w:val="21"/>
        <w:pageBreakBefore w:val="0"/>
        <w:shd w:val="clear" w:color="auto" w:fill="FFFFFF"/>
        <w:kinsoku/>
        <w:wordWrap/>
        <w:overflowPunct/>
        <w:bidi w:val="0"/>
        <w:spacing w:line="360" w:lineRule="auto"/>
        <w:ind w:right="1785" w:firstLine="480" w:firstLineChars="200"/>
        <w:jc w:val="left"/>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日期：</w:t>
      </w:r>
    </w:p>
    <w:p>
      <w:pPr>
        <w:pStyle w:val="21"/>
        <w:pageBreakBefore w:val="0"/>
        <w:shd w:val="clear" w:color="auto" w:fill="FFFFFF"/>
        <w:kinsoku/>
        <w:wordWrap/>
        <w:overflowPunct/>
        <w:bidi w:val="0"/>
        <w:spacing w:line="360" w:lineRule="auto"/>
        <w:ind w:firstLine="480" w:firstLineChars="200"/>
        <w:jc w:val="left"/>
        <w:rPr>
          <w:rFonts w:hint="eastAsia" w:ascii="宋体" w:hAnsi="宋体" w:eastAsia="宋体" w:cs="宋体"/>
          <w:bCs/>
          <w:color w:val="auto"/>
          <w:sz w:val="24"/>
          <w:szCs w:val="24"/>
          <w:highlight w:val="none"/>
          <w:shd w:val="clear" w:color="auto" w:fill="FFFFFF"/>
        </w:rPr>
      </w:pPr>
    </w:p>
    <w:p>
      <w:pPr>
        <w:pStyle w:val="21"/>
        <w:pageBreakBefore w:val="0"/>
        <w:shd w:val="clear" w:color="auto" w:fill="FFFFFF"/>
        <w:kinsoku/>
        <w:wordWrap/>
        <w:overflowPunct/>
        <w:bidi w:val="0"/>
        <w:spacing w:line="360" w:lineRule="auto"/>
        <w:ind w:firstLine="480" w:firstLineChars="200"/>
        <w:jc w:val="left"/>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注：从业人员、营业收入、资产总额填报上一年度数据，无上一年度数据的新成立企业可不填报。</w:t>
      </w:r>
    </w:p>
    <w:p>
      <w:pPr>
        <w:pStyle w:val="74"/>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说明：1、填写前请认真阅读</w:t>
      </w:r>
      <w:r>
        <w:rPr>
          <w:rFonts w:hint="eastAsia" w:ascii="宋体" w:hAnsi="宋体" w:eastAsia="宋体" w:cs="宋体"/>
          <w:color w:val="auto"/>
          <w:spacing w:val="6"/>
          <w:kern w:val="0"/>
          <w:sz w:val="24"/>
          <w:szCs w:val="24"/>
          <w:highlight w:val="none"/>
        </w:rPr>
        <w:t>《工业和信息化部、国家统计局、国家发展和改革委员会、财政部关于印发中小企业划型标准规定的通知》（工信部联企业</w:t>
      </w:r>
      <w:r>
        <w:rPr>
          <w:rFonts w:hint="eastAsia" w:ascii="宋体" w:hAnsi="宋体" w:eastAsia="宋体" w:cs="宋体"/>
          <w:color w:val="auto"/>
          <w:spacing w:val="6"/>
          <w:sz w:val="24"/>
          <w:szCs w:val="24"/>
          <w:highlight w:val="none"/>
        </w:rPr>
        <w:t>〔2011〕</w:t>
      </w:r>
      <w:r>
        <w:rPr>
          <w:rFonts w:hint="eastAsia" w:ascii="宋体" w:hAnsi="宋体" w:eastAsia="宋体" w:cs="宋体"/>
          <w:color w:val="auto"/>
          <w:spacing w:val="6"/>
          <w:kern w:val="0"/>
          <w:sz w:val="24"/>
          <w:szCs w:val="24"/>
          <w:highlight w:val="none"/>
        </w:rPr>
        <w:t>300号）和</w:t>
      </w:r>
      <w:r>
        <w:rPr>
          <w:rFonts w:hint="eastAsia" w:ascii="宋体" w:hAnsi="宋体" w:eastAsia="宋体" w:cs="宋体"/>
          <w:color w:val="auto"/>
          <w:spacing w:val="6"/>
          <w:sz w:val="24"/>
          <w:szCs w:val="24"/>
          <w:highlight w:val="none"/>
        </w:rPr>
        <w:t>财政部、工业和信息化部《关于印发&lt;政府采购促进中小企业发展管理办法&gt;的通知》（财库〔2020〕46号）</w:t>
      </w:r>
      <w:r>
        <w:rPr>
          <w:rFonts w:hint="eastAsia" w:ascii="宋体" w:hAnsi="宋体" w:eastAsia="宋体" w:cs="宋体"/>
          <w:color w:val="auto"/>
          <w:sz w:val="24"/>
          <w:szCs w:val="24"/>
          <w:highlight w:val="none"/>
        </w:rPr>
        <w:t>相关规定。</w:t>
      </w:r>
    </w:p>
    <w:p>
      <w:pPr>
        <w:pStyle w:val="74"/>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2、中小企业部分提供其他中小企业制造货物的应另附说明，并与后面的报价一栏表保持一致。</w:t>
      </w:r>
    </w:p>
    <w:p>
      <w:pPr>
        <w:pStyle w:val="74"/>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3、未按上述要求提供、填写的，评审时不予以考虑。</w:t>
      </w:r>
    </w:p>
    <w:p>
      <w:pPr>
        <w:pStyle w:val="75"/>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Style w:val="74"/>
        <w:pageBreakBefore w:val="0"/>
        <w:kinsoku/>
        <w:wordWrap/>
        <w:overflowPunct/>
        <w:bidi w:val="0"/>
        <w:spacing w:line="360" w:lineRule="auto"/>
        <w:ind w:firstLine="506" w:firstLineChars="200"/>
        <w:jc w:val="left"/>
        <w:rPr>
          <w:rFonts w:hint="eastAsia" w:ascii="宋体" w:hAnsi="宋体" w:eastAsia="宋体" w:cs="宋体"/>
          <w:b/>
          <w:bCs/>
          <w:color w:val="auto"/>
          <w:spacing w:val="6"/>
          <w:kern w:val="0"/>
          <w:sz w:val="24"/>
          <w:szCs w:val="24"/>
          <w:highlight w:val="none"/>
        </w:rPr>
        <w:sectPr>
          <w:pgSz w:w="11906" w:h="16838"/>
          <w:pgMar w:top="2098" w:right="1474" w:bottom="1984" w:left="1587" w:header="851" w:footer="754" w:gutter="0"/>
          <w:pgBorders>
            <w:top w:val="none" w:sz="0" w:space="0"/>
            <w:left w:val="none" w:sz="0" w:space="0"/>
            <w:bottom w:val="none" w:sz="0" w:space="0"/>
            <w:right w:val="none" w:sz="0" w:space="0"/>
          </w:pgBorders>
          <w:cols w:space="0" w:num="1"/>
          <w:rtlGutter w:val="0"/>
          <w:docGrid w:type="lines" w:linePitch="319" w:charSpace="0"/>
        </w:sectPr>
      </w:pPr>
    </w:p>
    <w:p>
      <w:pPr>
        <w:pStyle w:val="74"/>
        <w:pageBreakBefore w:val="0"/>
        <w:kinsoku/>
        <w:wordWrap/>
        <w:overflowPunct/>
        <w:bidi w:val="0"/>
        <w:spacing w:line="360" w:lineRule="auto"/>
        <w:ind w:firstLine="506" w:firstLineChars="200"/>
        <w:jc w:val="left"/>
        <w:rPr>
          <w:rFonts w:hint="eastAsia" w:ascii="宋体" w:hAnsi="宋体" w:eastAsia="宋体" w:cs="宋体"/>
          <w:b/>
          <w:bCs/>
          <w:color w:val="auto"/>
          <w:spacing w:val="6"/>
          <w:kern w:val="0"/>
          <w:sz w:val="24"/>
          <w:szCs w:val="24"/>
          <w:highlight w:val="none"/>
        </w:rPr>
      </w:pPr>
      <w:r>
        <w:rPr>
          <w:rFonts w:hint="eastAsia" w:ascii="宋体" w:hAnsi="宋体" w:eastAsia="宋体" w:cs="宋体"/>
          <w:b/>
          <w:bCs/>
          <w:color w:val="auto"/>
          <w:spacing w:val="6"/>
          <w:kern w:val="0"/>
          <w:sz w:val="24"/>
          <w:szCs w:val="24"/>
          <w:highlight w:val="none"/>
        </w:rPr>
        <w:t>2、残疾人福利性单位声明函</w:t>
      </w:r>
    </w:p>
    <w:p>
      <w:pPr>
        <w:pStyle w:val="75"/>
        <w:pageBreakBefore w:val="0"/>
        <w:kinsoku/>
        <w:wordWrap/>
        <w:overflowPunct/>
        <w:bidi w:val="0"/>
        <w:spacing w:line="360" w:lineRule="auto"/>
        <w:ind w:firstLine="506" w:firstLineChars="200"/>
        <w:jc w:val="left"/>
        <w:rPr>
          <w:rFonts w:hint="eastAsia" w:ascii="宋体" w:hAnsi="宋体" w:eastAsia="宋体" w:cs="宋体"/>
          <w:b/>
          <w:color w:val="auto"/>
          <w:spacing w:val="6"/>
          <w:sz w:val="24"/>
          <w:szCs w:val="24"/>
          <w:highlight w:val="none"/>
        </w:rPr>
      </w:pPr>
    </w:p>
    <w:p>
      <w:pPr>
        <w:pStyle w:val="75"/>
        <w:pageBreakBefore w:val="0"/>
        <w:widowControl/>
        <w:kinsoku/>
        <w:wordWrap/>
        <w:overflowPunct/>
        <w:bidi w:val="0"/>
        <w:adjustRightInd w:val="0"/>
        <w:snapToGrid w:val="0"/>
        <w:spacing w:before="156" w:beforeLines="50" w:line="360" w:lineRule="auto"/>
        <w:ind w:firstLine="504"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75"/>
        <w:pageBreakBefore w:val="0"/>
        <w:widowControl/>
        <w:kinsoku/>
        <w:wordWrap/>
        <w:overflowPunct/>
        <w:bidi w:val="0"/>
        <w:adjustRightInd w:val="0"/>
        <w:snapToGrid w:val="0"/>
        <w:spacing w:before="156" w:beforeLines="50" w:line="360" w:lineRule="auto"/>
        <w:ind w:firstLine="504"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本单位对上述声明的真实性负责。如有虚假，将依法承担相应责任。</w:t>
      </w:r>
    </w:p>
    <w:p>
      <w:pPr>
        <w:pStyle w:val="75"/>
        <w:pageBreakBefore w:val="0"/>
        <w:kinsoku/>
        <w:wordWrap/>
        <w:overflowPunct/>
        <w:bidi w:val="0"/>
        <w:spacing w:line="360" w:lineRule="auto"/>
        <w:ind w:firstLine="504" w:firstLineChars="200"/>
        <w:jc w:val="left"/>
        <w:rPr>
          <w:rFonts w:hint="eastAsia" w:ascii="宋体" w:hAnsi="宋体" w:eastAsia="宋体" w:cs="宋体"/>
          <w:color w:val="auto"/>
          <w:spacing w:val="6"/>
          <w:sz w:val="24"/>
          <w:szCs w:val="24"/>
          <w:highlight w:val="none"/>
        </w:rPr>
      </w:pPr>
    </w:p>
    <w:p>
      <w:pPr>
        <w:pStyle w:val="75"/>
        <w:pageBreakBefore w:val="0"/>
        <w:widowControl/>
        <w:kinsoku/>
        <w:wordWrap/>
        <w:overflowPunct/>
        <w:bidi w:val="0"/>
        <w:adjustRightInd w:val="0"/>
        <w:snapToGrid w:val="0"/>
        <w:spacing w:line="360" w:lineRule="auto"/>
        <w:ind w:firstLine="504" w:firstLineChars="200"/>
        <w:jc w:val="left"/>
        <w:rPr>
          <w:rFonts w:hint="eastAsia" w:ascii="宋体" w:hAnsi="宋体" w:eastAsia="宋体" w:cs="宋体"/>
          <w:color w:val="auto"/>
          <w:spacing w:val="6"/>
          <w:sz w:val="24"/>
          <w:szCs w:val="24"/>
          <w:highlight w:val="none"/>
        </w:rPr>
      </w:pPr>
    </w:p>
    <w:p>
      <w:pPr>
        <w:pStyle w:val="75"/>
        <w:pageBreakBefore w:val="0"/>
        <w:widowControl/>
        <w:kinsoku/>
        <w:wordWrap/>
        <w:overflowPunct/>
        <w:bidi w:val="0"/>
        <w:adjustRightInd w:val="0"/>
        <w:snapToGrid w:val="0"/>
        <w:spacing w:line="360" w:lineRule="auto"/>
        <w:ind w:firstLine="504"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供应商名称（盖单位章）：</w:t>
      </w:r>
    </w:p>
    <w:p>
      <w:pPr>
        <w:pStyle w:val="75"/>
        <w:pageBreakBefore w:val="0"/>
        <w:kinsoku/>
        <w:wordWrap/>
        <w:overflowPunct/>
        <w:bidi w:val="0"/>
        <w:spacing w:line="360" w:lineRule="auto"/>
        <w:ind w:right="504" w:firstLine="504"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74"/>
        <w:pageBreakBefore w:val="0"/>
        <w:kinsoku/>
        <w:wordWrap/>
        <w:overflowPunct/>
        <w:bidi w:val="0"/>
        <w:adjustRightInd w:val="0"/>
        <w:snapToGrid w:val="0"/>
        <w:spacing w:line="360" w:lineRule="auto"/>
        <w:ind w:right="24" w:firstLine="482" w:firstLineChars="200"/>
        <w:jc w:val="left"/>
        <w:rPr>
          <w:rFonts w:hint="eastAsia" w:ascii="宋体" w:hAnsi="宋体" w:eastAsia="宋体" w:cs="宋体"/>
          <w:b/>
          <w:color w:val="auto"/>
          <w:sz w:val="24"/>
          <w:szCs w:val="24"/>
          <w:highlight w:val="none"/>
        </w:rPr>
      </w:pPr>
    </w:p>
    <w:p>
      <w:pPr>
        <w:pStyle w:val="74"/>
        <w:pageBreakBefore w:val="0"/>
        <w:kinsoku/>
        <w:wordWrap/>
        <w:overflowPunct/>
        <w:bidi w:val="0"/>
        <w:spacing w:line="360" w:lineRule="auto"/>
        <w:ind w:firstLine="482" w:firstLineChars="200"/>
        <w:jc w:val="left"/>
        <w:rPr>
          <w:rFonts w:hint="eastAsia" w:ascii="宋体" w:hAnsi="宋体" w:eastAsia="宋体" w:cs="宋体"/>
          <w:b/>
          <w:color w:val="auto"/>
          <w:sz w:val="24"/>
          <w:szCs w:val="24"/>
          <w:highlight w:val="none"/>
        </w:rPr>
      </w:pPr>
    </w:p>
    <w:p>
      <w:pPr>
        <w:pStyle w:val="74"/>
        <w:pageBreakBefore w:val="0"/>
        <w:kinsoku/>
        <w:wordWrap/>
        <w:overflowPunct/>
        <w:bidi w:val="0"/>
        <w:spacing w:line="360" w:lineRule="auto"/>
        <w:ind w:firstLine="506" w:firstLineChars="200"/>
        <w:jc w:val="left"/>
        <w:rPr>
          <w:rFonts w:hint="eastAsia" w:ascii="宋体" w:hAnsi="宋体" w:eastAsia="宋体" w:cs="宋体"/>
          <w:b/>
          <w:bCs/>
          <w:color w:val="auto"/>
          <w:spacing w:val="6"/>
          <w:kern w:val="0"/>
          <w:sz w:val="24"/>
          <w:szCs w:val="24"/>
          <w:highlight w:val="none"/>
        </w:rPr>
        <w:sectPr>
          <w:pgSz w:w="11906" w:h="16838"/>
          <w:pgMar w:top="2098" w:right="1474" w:bottom="1984" w:left="1587" w:header="851" w:footer="754" w:gutter="0"/>
          <w:pgBorders>
            <w:top w:val="none" w:sz="0" w:space="0"/>
            <w:left w:val="none" w:sz="0" w:space="0"/>
            <w:bottom w:val="none" w:sz="0" w:space="0"/>
            <w:right w:val="none" w:sz="0" w:space="0"/>
          </w:pgBorders>
          <w:cols w:space="0" w:num="1"/>
          <w:rtlGutter w:val="0"/>
          <w:docGrid w:type="lines" w:linePitch="319" w:charSpace="0"/>
        </w:sectPr>
      </w:pPr>
    </w:p>
    <w:p>
      <w:pPr>
        <w:pStyle w:val="74"/>
        <w:pageBreakBefore w:val="0"/>
        <w:kinsoku/>
        <w:wordWrap/>
        <w:overflowPunct/>
        <w:bidi w:val="0"/>
        <w:spacing w:line="360" w:lineRule="auto"/>
        <w:ind w:firstLine="506" w:firstLineChars="200"/>
        <w:jc w:val="left"/>
        <w:rPr>
          <w:rFonts w:hint="eastAsia" w:ascii="宋体" w:hAnsi="宋体" w:eastAsia="宋体" w:cs="宋体"/>
          <w:b/>
          <w:color w:val="auto"/>
          <w:sz w:val="24"/>
          <w:szCs w:val="24"/>
          <w:highlight w:val="none"/>
        </w:rPr>
      </w:pPr>
      <w:r>
        <w:rPr>
          <w:rFonts w:hint="eastAsia" w:ascii="宋体" w:hAnsi="宋体" w:eastAsia="宋体" w:cs="宋体"/>
          <w:b/>
          <w:bCs/>
          <w:color w:val="auto"/>
          <w:spacing w:val="6"/>
          <w:kern w:val="0"/>
          <w:sz w:val="24"/>
          <w:szCs w:val="24"/>
          <w:highlight w:val="none"/>
        </w:rPr>
        <w:t>3、监狱企业证明材料</w:t>
      </w:r>
    </w:p>
    <w:p>
      <w:pPr>
        <w:pStyle w:val="74"/>
        <w:pageBreakBefore w:val="0"/>
        <w:kinsoku/>
        <w:wordWrap/>
        <w:overflowPunct/>
        <w:bidi w:val="0"/>
        <w:spacing w:line="360" w:lineRule="auto"/>
        <w:ind w:firstLine="482" w:firstLineChars="200"/>
        <w:jc w:val="left"/>
        <w:rPr>
          <w:rFonts w:hint="eastAsia" w:ascii="宋体" w:hAnsi="宋体" w:eastAsia="宋体" w:cs="宋体"/>
          <w:b/>
          <w:color w:val="auto"/>
          <w:sz w:val="24"/>
          <w:szCs w:val="24"/>
          <w:highlight w:val="none"/>
        </w:rPr>
      </w:pPr>
    </w:p>
    <w:p>
      <w:pPr>
        <w:pStyle w:val="74"/>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1.如属于监狱企业，需提供由省级以上监狱管理局、戒毒管理局（含新疆生产建设兵团）出具的属于监狱企业的证明文件；</w:t>
      </w:r>
    </w:p>
    <w:p>
      <w:pPr>
        <w:pStyle w:val="74"/>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2.证明材料加盖供应商公章。</w:t>
      </w:r>
    </w:p>
    <w:p>
      <w:pPr>
        <w:pStyle w:val="49"/>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sectPr>
          <w:pgSz w:w="11906" w:h="16838"/>
          <w:pgMar w:top="2098" w:right="1474" w:bottom="1984" w:left="1587" w:header="851" w:footer="754" w:gutter="0"/>
          <w:pgBorders>
            <w:top w:val="none" w:sz="0" w:space="0"/>
            <w:left w:val="none" w:sz="0" w:space="0"/>
            <w:bottom w:val="none" w:sz="0" w:space="0"/>
            <w:right w:val="none" w:sz="0" w:space="0"/>
          </w:pgBorders>
          <w:cols w:space="0" w:num="1"/>
          <w:rtlGutter w:val="0"/>
          <w:docGrid w:type="lines" w:linePitch="319" w:charSpace="0"/>
        </w:sectPr>
      </w:pPr>
    </w:p>
    <w:p>
      <w:pPr>
        <w:pStyle w:val="49"/>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528" w:name="_Toc2727"/>
      <w:bookmarkStart w:id="529" w:name="_Toc18986"/>
      <w:bookmarkStart w:id="530" w:name="_Toc10368"/>
      <w:bookmarkStart w:id="531" w:name="_Toc242"/>
      <w:bookmarkStart w:id="532" w:name="_Toc28611"/>
      <w:bookmarkStart w:id="533" w:name="_Toc18485"/>
      <w:r>
        <w:rPr>
          <w:rFonts w:hint="eastAsia" w:ascii="宋体" w:hAnsi="宋体" w:eastAsia="宋体" w:cs="宋体"/>
          <w:color w:val="auto"/>
          <w:sz w:val="24"/>
          <w:szCs w:val="24"/>
          <w:highlight w:val="none"/>
        </w:rPr>
        <w:t>（九）、节能、环保产品明细表（如有）</w:t>
      </w:r>
      <w:bookmarkEnd w:id="528"/>
      <w:bookmarkEnd w:id="529"/>
      <w:bookmarkEnd w:id="530"/>
      <w:bookmarkEnd w:id="531"/>
      <w:bookmarkEnd w:id="532"/>
      <w:bookmarkEnd w:id="533"/>
    </w:p>
    <w:p>
      <w:pPr>
        <w:pStyle w:val="74"/>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sectPr>
          <w:pgSz w:w="11906" w:h="16838"/>
          <w:pgMar w:top="2098" w:right="1474" w:bottom="1984" w:left="1587" w:header="851" w:footer="754" w:gutter="0"/>
          <w:pgBorders>
            <w:top w:val="none" w:sz="0" w:space="0"/>
            <w:left w:val="none" w:sz="0" w:space="0"/>
            <w:bottom w:val="none" w:sz="0" w:space="0"/>
            <w:right w:val="none" w:sz="0" w:space="0"/>
          </w:pgBorders>
          <w:cols w:space="0" w:num="1"/>
          <w:rtlGutter w:val="0"/>
          <w:docGrid w:type="lines" w:linePitch="319" w:charSpace="0"/>
        </w:sectPr>
      </w:pPr>
      <w:r>
        <w:rPr>
          <w:rFonts w:hint="eastAsia" w:ascii="宋体" w:hAnsi="宋体" w:eastAsia="宋体" w:cs="宋体"/>
          <w:color w:val="auto"/>
          <w:sz w:val="24"/>
          <w:szCs w:val="24"/>
          <w:highlight w:val="none"/>
        </w:rPr>
        <w:t>格式自拟</w:t>
      </w:r>
    </w:p>
    <w:p>
      <w:pPr>
        <w:pStyle w:val="49"/>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534" w:name="_Toc14291"/>
      <w:bookmarkStart w:id="535" w:name="_Toc17785"/>
      <w:bookmarkStart w:id="536" w:name="_Toc25422"/>
      <w:bookmarkStart w:id="537" w:name="_Toc628"/>
      <w:bookmarkStart w:id="538" w:name="_Toc9733"/>
      <w:bookmarkStart w:id="539" w:name="_Toc2958"/>
      <w:r>
        <w:rPr>
          <w:rFonts w:hint="eastAsia" w:ascii="宋体" w:hAnsi="宋体" w:eastAsia="宋体" w:cs="宋体"/>
          <w:color w:val="auto"/>
          <w:sz w:val="24"/>
          <w:szCs w:val="24"/>
          <w:highlight w:val="none"/>
        </w:rPr>
        <w:t>（十）、供应商认为有必要提供的其他商务资料</w:t>
      </w:r>
      <w:bookmarkEnd w:id="534"/>
      <w:bookmarkEnd w:id="535"/>
      <w:bookmarkEnd w:id="536"/>
      <w:bookmarkEnd w:id="537"/>
      <w:bookmarkEnd w:id="538"/>
      <w:bookmarkEnd w:id="539"/>
    </w:p>
    <w:p>
      <w:pPr>
        <w:pStyle w:val="21"/>
        <w:pageBreakBefore w:val="0"/>
        <w:shd w:val="clear" w:color="auto" w:fill="FFFFFF"/>
        <w:kinsoku/>
        <w:wordWrap/>
        <w:overflowPunct/>
        <w:bidi w:val="0"/>
        <w:spacing w:line="360" w:lineRule="auto"/>
        <w:ind w:firstLine="480" w:firstLineChars="200"/>
        <w:jc w:val="left"/>
        <w:rPr>
          <w:rFonts w:hint="eastAsia" w:ascii="宋体" w:hAnsi="宋体" w:eastAsia="宋体" w:cs="宋体"/>
          <w:color w:val="auto"/>
          <w:sz w:val="24"/>
          <w:szCs w:val="24"/>
          <w:highlight w:val="none"/>
        </w:rPr>
        <w:sectPr>
          <w:pgSz w:w="11906" w:h="16838"/>
          <w:pgMar w:top="2098" w:right="1474" w:bottom="1984" w:left="1587" w:header="851" w:footer="754" w:gutter="0"/>
          <w:pgBorders>
            <w:top w:val="none" w:sz="0" w:space="0"/>
            <w:left w:val="none" w:sz="0" w:space="0"/>
            <w:bottom w:val="none" w:sz="0" w:space="0"/>
            <w:right w:val="none" w:sz="0" w:space="0"/>
          </w:pgBorders>
          <w:cols w:space="0" w:num="1"/>
          <w:rtlGutter w:val="0"/>
          <w:docGrid w:type="lines" w:linePitch="319" w:charSpace="0"/>
        </w:sectPr>
      </w:pPr>
      <w:r>
        <w:rPr>
          <w:rFonts w:hint="eastAsia" w:ascii="宋体" w:hAnsi="宋体" w:eastAsia="宋体" w:cs="宋体"/>
          <w:color w:val="auto"/>
          <w:sz w:val="24"/>
          <w:szCs w:val="24"/>
          <w:highlight w:val="none"/>
        </w:rPr>
        <w:t>格式自拟</w:t>
      </w:r>
    </w:p>
    <w:p>
      <w:pPr>
        <w:pStyle w:val="60"/>
        <w:pageBreakBefore w:val="0"/>
        <w:kinsoku/>
        <w:wordWrap/>
        <w:overflowPunct/>
        <w:bidi w:val="0"/>
        <w:spacing w:line="360" w:lineRule="auto"/>
        <w:ind w:firstLine="482" w:firstLineChars="200"/>
        <w:jc w:val="left"/>
        <w:outlineLvl w:val="1"/>
        <w:rPr>
          <w:rFonts w:hint="eastAsia" w:ascii="宋体" w:hAnsi="宋体" w:eastAsia="宋体" w:cs="宋体"/>
          <w:color w:val="auto"/>
          <w:sz w:val="24"/>
          <w:szCs w:val="24"/>
          <w:highlight w:val="none"/>
        </w:rPr>
      </w:pPr>
      <w:bookmarkStart w:id="540" w:name="_Toc1382"/>
      <w:bookmarkStart w:id="541" w:name="_Toc17036"/>
      <w:bookmarkStart w:id="542" w:name="_Toc3923"/>
      <w:bookmarkStart w:id="543" w:name="_Toc20097"/>
      <w:bookmarkStart w:id="544" w:name="_Toc21249"/>
      <w:bookmarkStart w:id="545" w:name="_Toc18309"/>
      <w:r>
        <w:rPr>
          <w:rFonts w:hint="eastAsia" w:ascii="宋体" w:hAnsi="宋体" w:eastAsia="宋体" w:cs="宋体"/>
          <w:color w:val="auto"/>
          <w:sz w:val="24"/>
          <w:szCs w:val="24"/>
          <w:highlight w:val="none"/>
        </w:rPr>
        <w:t>四、技术文件</w:t>
      </w:r>
      <w:bookmarkEnd w:id="540"/>
      <w:bookmarkEnd w:id="541"/>
      <w:bookmarkEnd w:id="542"/>
      <w:bookmarkEnd w:id="543"/>
      <w:bookmarkEnd w:id="544"/>
      <w:bookmarkEnd w:id="545"/>
    </w:p>
    <w:p>
      <w:pPr>
        <w:pStyle w:val="49"/>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546" w:name="_Toc2410"/>
      <w:bookmarkStart w:id="547" w:name="_Toc29923"/>
      <w:bookmarkStart w:id="548" w:name="_Toc4673"/>
      <w:bookmarkStart w:id="549" w:name="_Toc961"/>
      <w:bookmarkStart w:id="550" w:name="_Toc28471"/>
      <w:bookmarkStart w:id="551" w:name="_Toc29400"/>
      <w:r>
        <w:rPr>
          <w:rFonts w:hint="eastAsia" w:ascii="宋体" w:hAnsi="宋体" w:eastAsia="宋体" w:cs="宋体"/>
          <w:color w:val="auto"/>
          <w:sz w:val="24"/>
          <w:szCs w:val="24"/>
          <w:highlight w:val="none"/>
        </w:rPr>
        <w:t>（一）、</w:t>
      </w:r>
      <w:bookmarkEnd w:id="521"/>
      <w:bookmarkStart w:id="552" w:name="_Hlk78746225"/>
      <w:r>
        <w:rPr>
          <w:rFonts w:hint="eastAsia" w:ascii="宋体" w:hAnsi="宋体" w:eastAsia="宋体" w:cs="宋体"/>
          <w:color w:val="auto"/>
          <w:sz w:val="24"/>
          <w:szCs w:val="24"/>
          <w:highlight w:val="none"/>
        </w:rPr>
        <w:t>供应商自行编写的服务方案及相关文件</w:t>
      </w:r>
      <w:bookmarkEnd w:id="546"/>
      <w:bookmarkEnd w:id="547"/>
      <w:bookmarkEnd w:id="548"/>
      <w:bookmarkEnd w:id="549"/>
      <w:bookmarkEnd w:id="550"/>
      <w:bookmarkEnd w:id="551"/>
      <w:bookmarkEnd w:id="552"/>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包括但不限于以下内容、</w:t>
      </w:r>
      <w:r>
        <w:rPr>
          <w:rFonts w:hint="eastAsia" w:ascii="宋体" w:hAnsi="宋体" w:eastAsia="宋体" w:cs="宋体"/>
          <w:b/>
          <w:color w:val="auto"/>
          <w:sz w:val="24"/>
          <w:szCs w:val="24"/>
          <w:highlight w:val="none"/>
          <w:u w:val="single"/>
        </w:rPr>
        <w:t>建议按照评审标准提供相应资料</w:t>
      </w: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①针对本项目的项目需求理解（含项目背景、现状及存在问题、业务需求理解等）；</w:t>
      </w: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②简单方案说明及总体方案设计（按照技术服务要求提供整体及分项方案）；</w:t>
      </w: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③项目组织和管理；</w:t>
      </w: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④质量、进度、安全相关保障措施；</w:t>
      </w: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⑤项目管理机构：要求提供项目管理机构框图、人员配备方案及岗位职责和职业资格（含管理层的设置，主要技术人员的人数和职责，各部门的设置、职责和拟安排的人数）；</w:t>
      </w: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⑥完成服务所需的工具、设备等资源配置；</w:t>
      </w:r>
    </w:p>
    <w:p>
      <w:pPr>
        <w:pStyle w:val="77"/>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⑦后续服务的程序、内容、措施以及合理化建议；</w:t>
      </w:r>
    </w:p>
    <w:p>
      <w:pPr>
        <w:pStyle w:val="77"/>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⑧响应时间和技术支持情况；</w:t>
      </w: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pPr>
    </w:p>
    <w:p>
      <w:pPr>
        <w:pStyle w:val="76"/>
        <w:pageBreakBefore w:val="0"/>
        <w:kinsoku/>
        <w:wordWrap/>
        <w:overflowPunct/>
        <w:bidi w:val="0"/>
        <w:spacing w:line="360" w:lineRule="auto"/>
        <w:ind w:firstLine="480" w:firstLineChars="200"/>
        <w:jc w:val="left"/>
        <w:rPr>
          <w:rFonts w:hint="eastAsia" w:ascii="宋体" w:hAnsi="宋体" w:eastAsia="宋体" w:cs="宋体"/>
          <w:bCs/>
          <w:color w:val="auto"/>
          <w:sz w:val="24"/>
          <w:szCs w:val="24"/>
          <w:highlight w:val="none"/>
        </w:rPr>
        <w:sectPr>
          <w:pgSz w:w="11906" w:h="16838"/>
          <w:pgMar w:top="2098" w:right="1474" w:bottom="1984" w:left="1587" w:header="851" w:footer="754" w:gutter="0"/>
          <w:pgBorders>
            <w:top w:val="none" w:sz="0" w:space="0"/>
            <w:left w:val="none" w:sz="0" w:space="0"/>
            <w:bottom w:val="none" w:sz="0" w:space="0"/>
            <w:right w:val="none" w:sz="0" w:space="0"/>
          </w:pgBorders>
          <w:cols w:space="0" w:num="1"/>
          <w:formProt w:val="0"/>
          <w:rtlGutter w:val="0"/>
          <w:docGrid w:type="lines" w:linePitch="319" w:charSpace="0"/>
        </w:sectPr>
      </w:pPr>
    </w:p>
    <w:p>
      <w:pPr>
        <w:pStyle w:val="49"/>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bookmarkStart w:id="553" w:name="_Toc17005"/>
      <w:bookmarkStart w:id="554" w:name="_Toc26542"/>
      <w:bookmarkStart w:id="555" w:name="_Toc18269"/>
      <w:bookmarkStart w:id="556" w:name="_Toc13009"/>
      <w:bookmarkStart w:id="557" w:name="_Toc18053"/>
      <w:bookmarkStart w:id="558" w:name="_Toc14789"/>
      <w:r>
        <w:rPr>
          <w:rFonts w:hint="eastAsia" w:ascii="宋体" w:hAnsi="宋体" w:eastAsia="宋体" w:cs="宋体"/>
          <w:color w:val="auto"/>
          <w:sz w:val="24"/>
          <w:szCs w:val="24"/>
          <w:highlight w:val="none"/>
        </w:rPr>
        <w:t>（二）、</w:t>
      </w:r>
      <w:bookmarkStart w:id="559" w:name="_Hlk78746508"/>
      <w:r>
        <w:rPr>
          <w:rFonts w:hint="eastAsia" w:ascii="宋体" w:hAnsi="宋体" w:eastAsia="宋体" w:cs="宋体"/>
          <w:color w:val="auto"/>
          <w:sz w:val="24"/>
          <w:szCs w:val="24"/>
          <w:highlight w:val="none"/>
        </w:rPr>
        <w:t>技术规范偏离表</w:t>
      </w:r>
      <w:bookmarkEnd w:id="559"/>
      <w:r>
        <w:rPr>
          <w:rFonts w:hint="eastAsia" w:ascii="宋体" w:hAnsi="宋体" w:eastAsia="宋体" w:cs="宋体"/>
          <w:color w:val="auto"/>
          <w:sz w:val="24"/>
          <w:szCs w:val="24"/>
          <w:highlight w:val="none"/>
        </w:rPr>
        <w:t>；</w:t>
      </w:r>
      <w:bookmarkEnd w:id="553"/>
      <w:bookmarkEnd w:id="554"/>
      <w:bookmarkEnd w:id="555"/>
      <w:bookmarkEnd w:id="556"/>
      <w:bookmarkEnd w:id="557"/>
      <w:bookmarkEnd w:id="558"/>
    </w:p>
    <w:p>
      <w:pPr>
        <w:pStyle w:val="78"/>
        <w:pageBreakBefore w:val="0"/>
        <w:kinsoku/>
        <w:wordWrap/>
        <w:overflowPunct/>
        <w:bidi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项目编号、包号：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noWrap w:val="0"/>
            <w:vAlign w:val="top"/>
          </w:tcPr>
          <w:p>
            <w:pPr>
              <w:pStyle w:val="76"/>
              <w:pageBreakBefore w:val="0"/>
              <w:tabs>
                <w:tab w:val="left" w:pos="1337"/>
              </w:tabs>
              <w:kinsoku/>
              <w:wordWrap/>
              <w:overflowPunct/>
              <w:bidi w:val="0"/>
              <w:spacing w:line="360" w:lineRule="auto"/>
              <w:jc w:val="both"/>
              <w:rPr>
                <w:rFonts w:hint="eastAsia" w:ascii="宋体" w:hAnsi="宋体" w:eastAsia="宋体" w:cs="宋体"/>
                <w:bCs/>
                <w:color w:val="auto"/>
                <w:sz w:val="24"/>
                <w:szCs w:val="24"/>
                <w:highlight w:val="none"/>
              </w:rPr>
            </w:pPr>
          </w:p>
          <w:p>
            <w:pPr>
              <w:pStyle w:val="76"/>
              <w:pageBreakBefore w:val="0"/>
              <w:tabs>
                <w:tab w:val="left" w:pos="1337"/>
              </w:tabs>
              <w:kinsoku/>
              <w:wordWrap/>
              <w:overflowPunct/>
              <w:bidi w:val="0"/>
              <w:spacing w:line="360" w:lineRule="auto"/>
              <w:jc w:val="both"/>
              <w:rPr>
                <w:rFonts w:hint="eastAsia" w:ascii="宋体" w:hAnsi="宋体" w:eastAsia="宋体" w:cs="宋体"/>
                <w:bCs/>
                <w:color w:val="auto"/>
                <w:position w:val="-170"/>
                <w:sz w:val="24"/>
                <w:szCs w:val="24"/>
                <w:highlight w:val="none"/>
              </w:rPr>
            </w:pPr>
            <w:r>
              <w:rPr>
                <w:rFonts w:hint="eastAsia" w:ascii="宋体" w:hAnsi="宋体" w:eastAsia="宋体" w:cs="宋体"/>
                <w:bCs/>
                <w:color w:val="auto"/>
                <w:sz w:val="24"/>
                <w:szCs w:val="24"/>
                <w:highlight w:val="none"/>
              </w:rPr>
              <w:t>序号</w:t>
            </w:r>
          </w:p>
        </w:tc>
        <w:tc>
          <w:tcPr>
            <w:tcW w:w="2101" w:type="dxa"/>
            <w:noWrap w:val="0"/>
            <w:vAlign w:val="top"/>
          </w:tcPr>
          <w:p>
            <w:pPr>
              <w:pStyle w:val="76"/>
              <w:pageBreakBefore w:val="0"/>
              <w:tabs>
                <w:tab w:val="left" w:pos="1337"/>
              </w:tabs>
              <w:kinsoku/>
              <w:wordWrap/>
              <w:overflowPunct/>
              <w:bidi w:val="0"/>
              <w:spacing w:line="360" w:lineRule="auto"/>
              <w:jc w:val="both"/>
              <w:rPr>
                <w:rFonts w:hint="eastAsia" w:ascii="宋体" w:hAnsi="宋体" w:eastAsia="宋体" w:cs="宋体"/>
                <w:bCs/>
                <w:color w:val="auto"/>
                <w:sz w:val="24"/>
                <w:szCs w:val="24"/>
                <w:highlight w:val="none"/>
              </w:rPr>
            </w:pPr>
          </w:p>
          <w:p>
            <w:pPr>
              <w:pStyle w:val="76"/>
              <w:pageBreakBefore w:val="0"/>
              <w:tabs>
                <w:tab w:val="left" w:pos="1337"/>
              </w:tabs>
              <w:kinsoku/>
              <w:wordWrap/>
              <w:overflowPunct/>
              <w:bidi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服务名称及编号</w:t>
            </w:r>
          </w:p>
        </w:tc>
        <w:tc>
          <w:tcPr>
            <w:tcW w:w="1021" w:type="dxa"/>
            <w:noWrap w:val="0"/>
            <w:vAlign w:val="top"/>
          </w:tcPr>
          <w:p>
            <w:pPr>
              <w:pStyle w:val="76"/>
              <w:pageBreakBefore w:val="0"/>
              <w:tabs>
                <w:tab w:val="left" w:pos="1337"/>
              </w:tabs>
              <w:kinsoku/>
              <w:wordWrap/>
              <w:overflowPunct/>
              <w:bidi w:val="0"/>
              <w:spacing w:line="360" w:lineRule="auto"/>
              <w:jc w:val="both"/>
              <w:rPr>
                <w:rFonts w:hint="eastAsia" w:ascii="宋体" w:hAnsi="宋体" w:eastAsia="宋体" w:cs="宋体"/>
                <w:bCs/>
                <w:color w:val="auto"/>
                <w:sz w:val="24"/>
                <w:szCs w:val="24"/>
                <w:highlight w:val="none"/>
              </w:rPr>
            </w:pPr>
          </w:p>
          <w:p>
            <w:pPr>
              <w:pStyle w:val="76"/>
              <w:pageBreakBefore w:val="0"/>
              <w:tabs>
                <w:tab w:val="left" w:pos="1337"/>
              </w:tabs>
              <w:kinsoku/>
              <w:wordWrap/>
              <w:overflowPunct/>
              <w:bidi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1707" w:type="dxa"/>
            <w:noWrap w:val="0"/>
            <w:vAlign w:val="top"/>
          </w:tcPr>
          <w:p>
            <w:pPr>
              <w:pStyle w:val="76"/>
              <w:pageBreakBefore w:val="0"/>
              <w:tabs>
                <w:tab w:val="left" w:pos="1337"/>
              </w:tabs>
              <w:kinsoku/>
              <w:wordWrap/>
              <w:overflowPunct/>
              <w:bidi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谈判</w:t>
            </w:r>
            <w:r>
              <w:rPr>
                <w:rFonts w:hint="eastAsia" w:ascii="宋体" w:hAnsi="宋体" w:eastAsia="宋体" w:cs="宋体"/>
                <w:bCs/>
                <w:color w:val="auto"/>
                <w:sz w:val="24"/>
                <w:szCs w:val="24"/>
                <w:highlight w:val="none"/>
              </w:rPr>
              <w:t>文件技术规范、要求</w:t>
            </w:r>
          </w:p>
        </w:tc>
        <w:tc>
          <w:tcPr>
            <w:tcW w:w="1337" w:type="dxa"/>
            <w:noWrap w:val="0"/>
            <w:vAlign w:val="top"/>
          </w:tcPr>
          <w:p>
            <w:pPr>
              <w:pStyle w:val="76"/>
              <w:pageBreakBefore w:val="0"/>
              <w:tabs>
                <w:tab w:val="left" w:pos="1337"/>
              </w:tabs>
              <w:kinsoku/>
              <w:wordWrap/>
              <w:overflowPunct/>
              <w:bidi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响应文件对应规范</w:t>
            </w:r>
          </w:p>
        </w:tc>
        <w:tc>
          <w:tcPr>
            <w:tcW w:w="1337" w:type="dxa"/>
            <w:noWrap w:val="0"/>
            <w:vAlign w:val="top"/>
          </w:tcPr>
          <w:p>
            <w:pPr>
              <w:pStyle w:val="76"/>
              <w:pageBreakBefore w:val="0"/>
              <w:tabs>
                <w:tab w:val="left" w:pos="1337"/>
              </w:tabs>
              <w:kinsoku/>
              <w:wordWrap/>
              <w:overflowPunct/>
              <w:bidi w:val="0"/>
              <w:spacing w:line="360" w:lineRule="auto"/>
              <w:jc w:val="both"/>
              <w:rPr>
                <w:rFonts w:hint="eastAsia" w:ascii="宋体" w:hAnsi="宋体" w:eastAsia="宋体" w:cs="宋体"/>
                <w:bCs/>
                <w:color w:val="auto"/>
                <w:sz w:val="24"/>
                <w:szCs w:val="24"/>
                <w:highlight w:val="none"/>
              </w:rPr>
            </w:pPr>
          </w:p>
          <w:p>
            <w:pPr>
              <w:pStyle w:val="76"/>
              <w:pageBreakBefore w:val="0"/>
              <w:tabs>
                <w:tab w:val="left" w:pos="1337"/>
              </w:tabs>
              <w:kinsoku/>
              <w:wordWrap/>
              <w:overflowPunct/>
              <w:bidi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偏差</w:t>
            </w:r>
          </w:p>
        </w:tc>
        <w:tc>
          <w:tcPr>
            <w:tcW w:w="977" w:type="dxa"/>
            <w:noWrap w:val="0"/>
            <w:vAlign w:val="top"/>
          </w:tcPr>
          <w:p>
            <w:pPr>
              <w:pStyle w:val="76"/>
              <w:pageBreakBefore w:val="0"/>
              <w:tabs>
                <w:tab w:val="left" w:pos="1337"/>
              </w:tabs>
              <w:kinsoku/>
              <w:wordWrap/>
              <w:overflowPunct/>
              <w:bidi w:val="0"/>
              <w:spacing w:line="360" w:lineRule="auto"/>
              <w:jc w:val="both"/>
              <w:rPr>
                <w:rFonts w:hint="eastAsia" w:ascii="宋体" w:hAnsi="宋体" w:eastAsia="宋体" w:cs="宋体"/>
                <w:bCs/>
                <w:color w:val="auto"/>
                <w:sz w:val="24"/>
                <w:szCs w:val="24"/>
                <w:highlight w:val="none"/>
              </w:rPr>
            </w:pPr>
          </w:p>
          <w:p>
            <w:pPr>
              <w:pStyle w:val="76"/>
              <w:pageBreakBefore w:val="0"/>
              <w:tabs>
                <w:tab w:val="left" w:pos="1337"/>
              </w:tabs>
              <w:kinsoku/>
              <w:wordWrap/>
              <w:overflowPunct/>
              <w:bidi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2101"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1021"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1707"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1337"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1337"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977"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2101"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1021"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1707"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1337"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1337"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977"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2101"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1021"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1707"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1337"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1337"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c>
          <w:tcPr>
            <w:tcW w:w="977" w:type="dxa"/>
            <w:noWrap w:val="0"/>
            <w:vAlign w:val="center"/>
          </w:tcPr>
          <w:p>
            <w:pPr>
              <w:pStyle w:val="76"/>
              <w:pageBreakBefore w:val="0"/>
              <w:tabs>
                <w:tab w:val="left" w:pos="1337"/>
              </w:tabs>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tc>
      </w:tr>
    </w:tbl>
    <w:p>
      <w:pPr>
        <w:pStyle w:val="76"/>
        <w:pageBreakBefore w:val="0"/>
        <w:kinsoku/>
        <w:wordWrap/>
        <w:overflowPunct/>
        <w:bidi w:val="0"/>
        <w:spacing w:line="360" w:lineRule="auto"/>
        <w:ind w:left="2"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说明：如供应商提交的服务技术规范与</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文件的要求存在偏离，需逐项填写《技术规范偏离表》。</w:t>
      </w:r>
    </w:p>
    <w:p>
      <w:pPr>
        <w:pStyle w:val="79"/>
        <w:pageBreakBefore w:val="0"/>
        <w:kinsoku/>
        <w:wordWrap/>
        <w:overflowPunct/>
        <w:bidi w:val="0"/>
        <w:spacing w:before="0" w:after="0" w:line="360" w:lineRule="auto"/>
        <w:ind w:right="960" w:firstLine="480" w:firstLineChars="200"/>
        <w:jc w:val="left"/>
        <w:rPr>
          <w:rFonts w:hint="eastAsia" w:ascii="宋体" w:hAnsi="宋体" w:eastAsia="宋体" w:cs="宋体"/>
          <w:color w:val="auto"/>
          <w:sz w:val="24"/>
          <w:szCs w:val="24"/>
          <w:highlight w:val="none"/>
        </w:rPr>
      </w:pPr>
    </w:p>
    <w:p>
      <w:pPr>
        <w:pStyle w:val="79"/>
        <w:pageBreakBefore w:val="0"/>
        <w:kinsoku/>
        <w:wordWrap/>
        <w:overflowPunct/>
        <w:bidi w:val="0"/>
        <w:spacing w:before="0" w:after="0" w:line="360" w:lineRule="auto"/>
        <w:ind w:right="17"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80"/>
        <w:pageBreakBefore w:val="0"/>
        <w:kinsoku/>
        <w:wordWrap/>
        <w:overflowPunct/>
        <w:bidi w:val="0"/>
        <w:spacing w:line="360" w:lineRule="auto"/>
        <w:ind w:firstLine="482"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560" w:name="_Toc7186"/>
      <w:bookmarkStart w:id="561" w:name="_Toc21147"/>
      <w:bookmarkStart w:id="562" w:name="_Toc12895"/>
      <w:bookmarkStart w:id="563" w:name="_Toc16770"/>
      <w:bookmarkStart w:id="564" w:name="_Toc8825"/>
      <w:bookmarkStart w:id="565" w:name="_Toc21446"/>
      <w:r>
        <w:rPr>
          <w:rFonts w:hint="eastAsia" w:ascii="宋体" w:hAnsi="宋体" w:eastAsia="宋体" w:cs="宋体"/>
          <w:color w:val="auto"/>
          <w:sz w:val="24"/>
          <w:szCs w:val="24"/>
          <w:highlight w:val="none"/>
        </w:rPr>
        <w:t>（三）、</w:t>
      </w:r>
      <w:bookmarkStart w:id="566" w:name="_Hlk78746520"/>
      <w:r>
        <w:rPr>
          <w:rFonts w:hint="eastAsia" w:ascii="宋体" w:hAnsi="宋体" w:eastAsia="宋体" w:cs="宋体"/>
          <w:color w:val="auto"/>
          <w:sz w:val="24"/>
          <w:szCs w:val="24"/>
          <w:highlight w:val="none"/>
        </w:rPr>
        <w:t>供应商认为有必要提供的其他技术内容</w:t>
      </w:r>
      <w:bookmarkEnd w:id="560"/>
      <w:bookmarkEnd w:id="561"/>
      <w:bookmarkEnd w:id="562"/>
      <w:bookmarkEnd w:id="563"/>
      <w:bookmarkEnd w:id="564"/>
      <w:bookmarkEnd w:id="565"/>
    </w:p>
    <w:bookmarkEnd w:id="566"/>
    <w:p>
      <w:pPr>
        <w:pStyle w:val="77"/>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格式内容自拟</w:t>
      </w:r>
    </w:p>
    <w:p>
      <w:pPr>
        <w:pStyle w:val="60"/>
        <w:pageBreakBefore w:val="0"/>
        <w:kinsoku/>
        <w:wordWrap/>
        <w:overflowPunct/>
        <w:bidi w:val="0"/>
        <w:spacing w:line="360" w:lineRule="auto"/>
        <w:ind w:firstLine="482"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567" w:name="_Toc23924"/>
      <w:bookmarkStart w:id="568" w:name="_Toc17252"/>
      <w:bookmarkStart w:id="569" w:name="_Toc29371"/>
      <w:bookmarkStart w:id="570" w:name="_Toc6685"/>
      <w:bookmarkStart w:id="571" w:name="_Toc17973"/>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sz w:val="24"/>
          <w:szCs w:val="24"/>
          <w:highlight w:val="none"/>
        </w:rPr>
        <w:t>其他资料</w:t>
      </w:r>
      <w:bookmarkEnd w:id="567"/>
      <w:bookmarkEnd w:id="568"/>
      <w:bookmarkEnd w:id="569"/>
      <w:bookmarkEnd w:id="570"/>
      <w:bookmarkEnd w:id="571"/>
    </w:p>
    <w:p>
      <w:pPr>
        <w:pStyle w:val="77"/>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供应商认为有必要提供的其他资料，格式自拟</w:t>
      </w: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sectPr>
      <w:pgSz w:w="11906" w:h="16838"/>
      <w:pgMar w:top="2098" w:right="1474" w:bottom="1984" w:left="1587" w:header="851" w:footer="754" w:gutter="0"/>
      <w:pgBorders>
        <w:top w:val="none" w:sz="0" w:space="0"/>
        <w:left w:val="none" w:sz="0" w:space="0"/>
        <w:bottom w:val="none" w:sz="0" w:space="0"/>
        <w:right w:val="none" w:sz="0" w:space="0"/>
      </w:pgBorders>
      <w:cols w:space="0" w:num="1"/>
      <w:formProt w:val="0"/>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SimSun">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center"/>
      <w:rPr>
        <w:rFonts w:ascii="Times New Roman" w:hAnsi="Times New Roman"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2923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29235" cy="147955"/>
                      </a:xfrm>
                      <a:prstGeom prst="rect">
                        <a:avLst/>
                      </a:prstGeom>
                      <a:noFill/>
                      <a:ln>
                        <a:noFill/>
                      </a:ln>
                    </wps:spPr>
                    <wps:txbx>
                      <w:txbxContent>
                        <w:p>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r>
                            <w:rPr>
                              <w:rFonts w:hint="eastAsia"/>
                              <w:sz w:val="1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18.05pt;mso-position-horizontal:center;mso-position-horizontal-relative:margin;mso-wrap-style:none;z-index:251667456;mso-width-relative:page;mso-height-relative:page;" filled="f" stroked="f" coordsize="21600,21600" o:gfxdata="UEsDBAoAAAAAAIdO4kAAAAAAAAAAAAAAAAAEAAAAZHJzL1BLAwQUAAAACACHTuJAhfGjwd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F8aPB0QAAAAMBAAAPAAAAAAAAAAEAIAAAACIAAABkcnMvZG93&#10;bnJldi54bWxQSwECFAAUAAAACACHTuJAB11nYM4BAACXAwAADgAAAAAAAAABACAAAAAg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r>
                      <w:rPr>
                        <w:rFonts w:hint="eastAsia"/>
                        <w:sz w:val="1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55</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A270E"/>
    <w:multiLevelType w:val="multilevel"/>
    <w:tmpl w:val="9E1A270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BAFE2BDA"/>
    <w:multiLevelType w:val="singleLevel"/>
    <w:tmpl w:val="BAFE2BDA"/>
    <w:lvl w:ilvl="0" w:tentative="0">
      <w:start w:val="7"/>
      <w:numFmt w:val="chineseCounting"/>
      <w:suff w:val="nothing"/>
      <w:lvlText w:val="%1、"/>
      <w:lvlJc w:val="left"/>
      <w:rPr>
        <w:rFonts w:hint="eastAsia"/>
      </w:rPr>
    </w:lvl>
  </w:abstractNum>
  <w:abstractNum w:abstractNumId="2">
    <w:nsid w:val="BE0E98CB"/>
    <w:multiLevelType w:val="singleLevel"/>
    <w:tmpl w:val="BE0E98CB"/>
    <w:lvl w:ilvl="0" w:tentative="0">
      <w:start w:val="1"/>
      <w:numFmt w:val="decimal"/>
      <w:suff w:val="nothing"/>
      <w:lvlText w:val="（%1）"/>
      <w:lvlJc w:val="left"/>
    </w:lvl>
  </w:abstractNum>
  <w:abstractNum w:abstractNumId="3">
    <w:nsid w:val="D02EBE38"/>
    <w:multiLevelType w:val="singleLevel"/>
    <w:tmpl w:val="D02EBE38"/>
    <w:lvl w:ilvl="0" w:tentative="0">
      <w:start w:val="1"/>
      <w:numFmt w:val="decimal"/>
      <w:suff w:val="nothing"/>
      <w:lvlText w:val="%1、"/>
      <w:lvlJc w:val="left"/>
    </w:lvl>
  </w:abstractNum>
  <w:abstractNum w:abstractNumId="4">
    <w:nsid w:val="D9E46DC9"/>
    <w:multiLevelType w:val="singleLevel"/>
    <w:tmpl w:val="D9E46DC9"/>
    <w:lvl w:ilvl="0" w:tentative="0">
      <w:start w:val="6"/>
      <w:numFmt w:val="chineseCounting"/>
      <w:suff w:val="nothing"/>
      <w:lvlText w:val="%1、"/>
      <w:lvlJc w:val="left"/>
      <w:rPr>
        <w:rFonts w:hint="eastAsia"/>
      </w:rPr>
    </w:lvl>
  </w:abstractNum>
  <w:abstractNum w:abstractNumId="5">
    <w:nsid w:val="E5A509A2"/>
    <w:multiLevelType w:val="singleLevel"/>
    <w:tmpl w:val="E5A509A2"/>
    <w:lvl w:ilvl="0" w:tentative="0">
      <w:start w:val="1"/>
      <w:numFmt w:val="chineseCounting"/>
      <w:suff w:val="nothing"/>
      <w:lvlText w:val="%1、"/>
      <w:lvlJc w:val="left"/>
      <w:rPr>
        <w:rFonts w:hint="eastAsia"/>
      </w:rPr>
    </w:lvl>
  </w:abstractNum>
  <w:abstractNum w:abstractNumId="6">
    <w:nsid w:val="FB640DD8"/>
    <w:multiLevelType w:val="singleLevel"/>
    <w:tmpl w:val="FB640DD8"/>
    <w:lvl w:ilvl="0" w:tentative="0">
      <w:start w:val="1"/>
      <w:numFmt w:val="chineseCounting"/>
      <w:suff w:val="nothing"/>
      <w:lvlText w:val="%1、"/>
      <w:lvlJc w:val="left"/>
      <w:rPr>
        <w:rFonts w:hint="eastAsia"/>
      </w:rPr>
    </w:lvl>
  </w:abstractNum>
  <w:abstractNum w:abstractNumId="7">
    <w:nsid w:val="25090165"/>
    <w:multiLevelType w:val="multilevel"/>
    <w:tmpl w:val="25090165"/>
    <w:lvl w:ilvl="0" w:tentative="0">
      <w:start w:val="1"/>
      <w:numFmt w:val="none"/>
      <w:suff w:val="nothing"/>
      <w:lvlText w:val=""/>
      <w:lvlJc w:val="left"/>
    </w:lvl>
    <w:lvl w:ilvl="1" w:tentative="0">
      <w:start w:val="1"/>
      <w:numFmt w:val="none"/>
      <w:pStyle w:val="42"/>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8">
    <w:nsid w:val="44EA4E4B"/>
    <w:multiLevelType w:val="singleLevel"/>
    <w:tmpl w:val="44EA4E4B"/>
    <w:lvl w:ilvl="0" w:tentative="0">
      <w:start w:val="1"/>
      <w:numFmt w:val="chineseCounting"/>
      <w:suff w:val="space"/>
      <w:lvlText w:val="第%1章"/>
      <w:lvlJc w:val="left"/>
      <w:rPr>
        <w:rFonts w:hint="eastAsia"/>
      </w:rPr>
    </w:lvl>
  </w:abstractNum>
  <w:num w:numId="1">
    <w:abstractNumId w:val="7"/>
  </w:num>
  <w:num w:numId="2">
    <w:abstractNumId w:val="8"/>
  </w:num>
  <w:num w:numId="3">
    <w:abstractNumId w:val="4"/>
  </w:num>
  <w:num w:numId="4">
    <w:abstractNumId w:val="1"/>
  </w:num>
  <w:num w:numId="5">
    <w:abstractNumId w:val="2"/>
  </w:num>
  <w:num w:numId="6">
    <w:abstractNumId w:val="6"/>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OGU0ZmU5YmM4ZjJlOTZlMjM0YjNjMDY5ZWIzZTEifQ=="/>
  </w:docVars>
  <w:rsids>
    <w:rsidRoot w:val="00000000"/>
    <w:rsid w:val="011C08D3"/>
    <w:rsid w:val="019F1377"/>
    <w:rsid w:val="022D7245"/>
    <w:rsid w:val="02CD6B86"/>
    <w:rsid w:val="03C50687"/>
    <w:rsid w:val="04C04528"/>
    <w:rsid w:val="04DC643E"/>
    <w:rsid w:val="057D45C7"/>
    <w:rsid w:val="05B963BE"/>
    <w:rsid w:val="0683270E"/>
    <w:rsid w:val="071A1D83"/>
    <w:rsid w:val="074D403E"/>
    <w:rsid w:val="078933DA"/>
    <w:rsid w:val="08114650"/>
    <w:rsid w:val="08A54D99"/>
    <w:rsid w:val="08D20FF5"/>
    <w:rsid w:val="0A880856"/>
    <w:rsid w:val="0B7066F8"/>
    <w:rsid w:val="0B8220C4"/>
    <w:rsid w:val="0B9C06BE"/>
    <w:rsid w:val="0BC563A2"/>
    <w:rsid w:val="0C392EDE"/>
    <w:rsid w:val="0CFE64E0"/>
    <w:rsid w:val="0CFF11F6"/>
    <w:rsid w:val="0D17353A"/>
    <w:rsid w:val="0D4C2529"/>
    <w:rsid w:val="0D924CFA"/>
    <w:rsid w:val="0E6D6359"/>
    <w:rsid w:val="0E947667"/>
    <w:rsid w:val="0F2509E1"/>
    <w:rsid w:val="0F453FBF"/>
    <w:rsid w:val="100553B0"/>
    <w:rsid w:val="106E2027"/>
    <w:rsid w:val="10E277C0"/>
    <w:rsid w:val="10F671EC"/>
    <w:rsid w:val="11416A9A"/>
    <w:rsid w:val="129E4D32"/>
    <w:rsid w:val="12BC3C3B"/>
    <w:rsid w:val="13390ABB"/>
    <w:rsid w:val="13593F34"/>
    <w:rsid w:val="13C1131D"/>
    <w:rsid w:val="13C64549"/>
    <w:rsid w:val="13F660F9"/>
    <w:rsid w:val="143F42F3"/>
    <w:rsid w:val="14B836CF"/>
    <w:rsid w:val="15D60C87"/>
    <w:rsid w:val="16F95578"/>
    <w:rsid w:val="17DF2F3C"/>
    <w:rsid w:val="182539D9"/>
    <w:rsid w:val="19535769"/>
    <w:rsid w:val="197A443B"/>
    <w:rsid w:val="198A4742"/>
    <w:rsid w:val="198F1BE0"/>
    <w:rsid w:val="1BD23C9F"/>
    <w:rsid w:val="1BF0063C"/>
    <w:rsid w:val="1CFF6E22"/>
    <w:rsid w:val="1D1F3AD3"/>
    <w:rsid w:val="1D2A1675"/>
    <w:rsid w:val="1DAE6990"/>
    <w:rsid w:val="1DBC0F81"/>
    <w:rsid w:val="1ED41397"/>
    <w:rsid w:val="1F4160D7"/>
    <w:rsid w:val="1FB37310"/>
    <w:rsid w:val="20452C91"/>
    <w:rsid w:val="211D0D79"/>
    <w:rsid w:val="21997D2C"/>
    <w:rsid w:val="22E25C3F"/>
    <w:rsid w:val="240E3C54"/>
    <w:rsid w:val="243A654A"/>
    <w:rsid w:val="24526F24"/>
    <w:rsid w:val="24A00559"/>
    <w:rsid w:val="24F829C8"/>
    <w:rsid w:val="251175E6"/>
    <w:rsid w:val="26117B5D"/>
    <w:rsid w:val="26A61DEA"/>
    <w:rsid w:val="271E1E06"/>
    <w:rsid w:val="27221F7E"/>
    <w:rsid w:val="27785323"/>
    <w:rsid w:val="27846DBD"/>
    <w:rsid w:val="27CD77E3"/>
    <w:rsid w:val="27ED6623"/>
    <w:rsid w:val="28247630"/>
    <w:rsid w:val="28480506"/>
    <w:rsid w:val="287C683E"/>
    <w:rsid w:val="28D15A0A"/>
    <w:rsid w:val="2AAA1386"/>
    <w:rsid w:val="2AC95C4C"/>
    <w:rsid w:val="2B3C1788"/>
    <w:rsid w:val="2BF5007B"/>
    <w:rsid w:val="2C171726"/>
    <w:rsid w:val="2C673F8F"/>
    <w:rsid w:val="2CC30A14"/>
    <w:rsid w:val="2D194942"/>
    <w:rsid w:val="2E4405F3"/>
    <w:rsid w:val="2E456552"/>
    <w:rsid w:val="2F364819"/>
    <w:rsid w:val="302E54F0"/>
    <w:rsid w:val="304545E8"/>
    <w:rsid w:val="30F07AE3"/>
    <w:rsid w:val="32103FEE"/>
    <w:rsid w:val="33466D4F"/>
    <w:rsid w:val="35094708"/>
    <w:rsid w:val="350A0681"/>
    <w:rsid w:val="3539724B"/>
    <w:rsid w:val="355D4FC3"/>
    <w:rsid w:val="363825A6"/>
    <w:rsid w:val="37702892"/>
    <w:rsid w:val="37722820"/>
    <w:rsid w:val="37D60076"/>
    <w:rsid w:val="383352A2"/>
    <w:rsid w:val="383670E9"/>
    <w:rsid w:val="39D05790"/>
    <w:rsid w:val="39EA2358"/>
    <w:rsid w:val="3A157295"/>
    <w:rsid w:val="3A1D5C86"/>
    <w:rsid w:val="3AA14E69"/>
    <w:rsid w:val="3AE76A47"/>
    <w:rsid w:val="3B3923DE"/>
    <w:rsid w:val="3B841376"/>
    <w:rsid w:val="3BFC5B21"/>
    <w:rsid w:val="3C217AE3"/>
    <w:rsid w:val="3D5F5A8C"/>
    <w:rsid w:val="3E2A2C7B"/>
    <w:rsid w:val="3E6C584A"/>
    <w:rsid w:val="3EB2553E"/>
    <w:rsid w:val="3EF52181"/>
    <w:rsid w:val="3F800050"/>
    <w:rsid w:val="3F9C48A5"/>
    <w:rsid w:val="401D3BDB"/>
    <w:rsid w:val="40A20792"/>
    <w:rsid w:val="41837C0C"/>
    <w:rsid w:val="41B31CF9"/>
    <w:rsid w:val="42404A0F"/>
    <w:rsid w:val="42834C6E"/>
    <w:rsid w:val="42ED0561"/>
    <w:rsid w:val="43D107AC"/>
    <w:rsid w:val="443020B6"/>
    <w:rsid w:val="445002E6"/>
    <w:rsid w:val="468A198B"/>
    <w:rsid w:val="46DB1EA4"/>
    <w:rsid w:val="47046B53"/>
    <w:rsid w:val="47196BEC"/>
    <w:rsid w:val="47423AE3"/>
    <w:rsid w:val="47EC0351"/>
    <w:rsid w:val="48807A13"/>
    <w:rsid w:val="48C46664"/>
    <w:rsid w:val="4A441D32"/>
    <w:rsid w:val="4A957100"/>
    <w:rsid w:val="4ACA00D5"/>
    <w:rsid w:val="4B570440"/>
    <w:rsid w:val="4CB86415"/>
    <w:rsid w:val="4D4E2BE1"/>
    <w:rsid w:val="4D5525D0"/>
    <w:rsid w:val="4DDA6633"/>
    <w:rsid w:val="4EBF4F74"/>
    <w:rsid w:val="4EED084B"/>
    <w:rsid w:val="4EF31987"/>
    <w:rsid w:val="4F1D2535"/>
    <w:rsid w:val="4F74239C"/>
    <w:rsid w:val="4FB64093"/>
    <w:rsid w:val="4FC44F2C"/>
    <w:rsid w:val="50090F9F"/>
    <w:rsid w:val="50575A0C"/>
    <w:rsid w:val="50B13773"/>
    <w:rsid w:val="51B7340B"/>
    <w:rsid w:val="52060E11"/>
    <w:rsid w:val="52416E80"/>
    <w:rsid w:val="53530C46"/>
    <w:rsid w:val="538746FC"/>
    <w:rsid w:val="54EA44DC"/>
    <w:rsid w:val="55570796"/>
    <w:rsid w:val="55DC6F8D"/>
    <w:rsid w:val="561640CD"/>
    <w:rsid w:val="56CA378D"/>
    <w:rsid w:val="575136EE"/>
    <w:rsid w:val="580C20B1"/>
    <w:rsid w:val="590327CB"/>
    <w:rsid w:val="59813E37"/>
    <w:rsid w:val="59931BA0"/>
    <w:rsid w:val="5A415F75"/>
    <w:rsid w:val="5A4937ED"/>
    <w:rsid w:val="5ABE2D0A"/>
    <w:rsid w:val="5B36080A"/>
    <w:rsid w:val="5B3F36E1"/>
    <w:rsid w:val="5B466879"/>
    <w:rsid w:val="5B5B0FE0"/>
    <w:rsid w:val="5B5C1E25"/>
    <w:rsid w:val="5C323EE5"/>
    <w:rsid w:val="5CE20725"/>
    <w:rsid w:val="5CFD519F"/>
    <w:rsid w:val="5D303D6E"/>
    <w:rsid w:val="5E9E37BC"/>
    <w:rsid w:val="5EAD3496"/>
    <w:rsid w:val="5FAA1D0F"/>
    <w:rsid w:val="60674C95"/>
    <w:rsid w:val="61B431F8"/>
    <w:rsid w:val="61EE4412"/>
    <w:rsid w:val="62066C0B"/>
    <w:rsid w:val="62075A97"/>
    <w:rsid w:val="624F2A03"/>
    <w:rsid w:val="62630C39"/>
    <w:rsid w:val="62744E00"/>
    <w:rsid w:val="62AC4828"/>
    <w:rsid w:val="63CB2753"/>
    <w:rsid w:val="63CE121A"/>
    <w:rsid w:val="645F388B"/>
    <w:rsid w:val="64E649F2"/>
    <w:rsid w:val="65084DD8"/>
    <w:rsid w:val="653A7C56"/>
    <w:rsid w:val="656A24DB"/>
    <w:rsid w:val="659157A0"/>
    <w:rsid w:val="668A4A0A"/>
    <w:rsid w:val="67444453"/>
    <w:rsid w:val="67EE4B0B"/>
    <w:rsid w:val="68022633"/>
    <w:rsid w:val="69A9153B"/>
    <w:rsid w:val="6A2D45A0"/>
    <w:rsid w:val="6A5D06A9"/>
    <w:rsid w:val="6A7E48BC"/>
    <w:rsid w:val="6B697849"/>
    <w:rsid w:val="6BC52C78"/>
    <w:rsid w:val="6BC8256C"/>
    <w:rsid w:val="6C8213F8"/>
    <w:rsid w:val="6D636180"/>
    <w:rsid w:val="6D77201F"/>
    <w:rsid w:val="6E0467F6"/>
    <w:rsid w:val="6ED85AB0"/>
    <w:rsid w:val="6FB7179E"/>
    <w:rsid w:val="705116AB"/>
    <w:rsid w:val="70A9768D"/>
    <w:rsid w:val="71AE164E"/>
    <w:rsid w:val="725B7B42"/>
    <w:rsid w:val="7275252F"/>
    <w:rsid w:val="72A35393"/>
    <w:rsid w:val="72F92E24"/>
    <w:rsid w:val="740D67EA"/>
    <w:rsid w:val="744743D4"/>
    <w:rsid w:val="74475895"/>
    <w:rsid w:val="747C0216"/>
    <w:rsid w:val="749E1052"/>
    <w:rsid w:val="74A45805"/>
    <w:rsid w:val="753618E0"/>
    <w:rsid w:val="7564225E"/>
    <w:rsid w:val="757E5646"/>
    <w:rsid w:val="75D15818"/>
    <w:rsid w:val="75DD76E0"/>
    <w:rsid w:val="77236FAF"/>
    <w:rsid w:val="77D71FF9"/>
    <w:rsid w:val="78306EF8"/>
    <w:rsid w:val="7847044F"/>
    <w:rsid w:val="78DE6954"/>
    <w:rsid w:val="78EF46BD"/>
    <w:rsid w:val="793F6629"/>
    <w:rsid w:val="79851072"/>
    <w:rsid w:val="79BA116F"/>
    <w:rsid w:val="7A88301C"/>
    <w:rsid w:val="7B6E1FA6"/>
    <w:rsid w:val="7D3A16E9"/>
    <w:rsid w:val="7D512D27"/>
    <w:rsid w:val="7DBB698F"/>
    <w:rsid w:val="7DE5359B"/>
    <w:rsid w:val="7E3977A2"/>
    <w:rsid w:val="7E854866"/>
    <w:rsid w:val="7FB8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styleId="3">
    <w:name w:val="heading 1"/>
    <w:basedOn w:val="1"/>
    <w:next w:val="1"/>
    <w:qFormat/>
    <w:uiPriority w:val="0"/>
    <w:pPr>
      <w:keepNext/>
      <w:keepLines/>
      <w:suppressAutoHyphens w:val="0"/>
      <w:spacing w:before="340" w:after="330" w:line="578" w:lineRule="auto"/>
      <w:outlineLvl w:val="0"/>
    </w:pPr>
    <w:rPr>
      <w:rFonts w:eastAsia="宋体"/>
      <w:b/>
      <w:bCs/>
      <w:kern w:val="44"/>
      <w:sz w:val="44"/>
      <w:szCs w:val="44"/>
    </w:rPr>
  </w:style>
  <w:style w:type="paragraph" w:styleId="4">
    <w:name w:val="heading 2"/>
    <w:basedOn w:val="1"/>
    <w:next w:val="1"/>
    <w:link w:val="47"/>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0"/>
    <w:pPr>
      <w:tabs>
        <w:tab w:val="left" w:pos="502"/>
      </w:tabs>
      <w:suppressAutoHyphens w:val="0"/>
      <w:snapToGrid w:val="0"/>
      <w:jc w:val="left"/>
    </w:pPr>
    <w:rPr>
      <w:rFonts w:eastAsia="宋体"/>
      <w:sz w:val="18"/>
      <w:szCs w:val="18"/>
    </w:rPr>
  </w:style>
  <w:style w:type="paragraph" w:styleId="7">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8">
    <w:name w:val="index 5"/>
    <w:basedOn w:val="1"/>
    <w:next w:val="1"/>
    <w:semiHidden/>
    <w:qFormat/>
    <w:uiPriority w:val="0"/>
    <w:pPr>
      <w:suppressAutoHyphens w:val="0"/>
      <w:ind w:left="800" w:leftChars="800"/>
    </w:pPr>
    <w:rPr>
      <w:rFonts w:eastAsia="宋体"/>
      <w:szCs w:val="24"/>
    </w:rPr>
  </w:style>
  <w:style w:type="paragraph" w:styleId="9">
    <w:name w:val="toa heading"/>
    <w:basedOn w:val="1"/>
    <w:next w:val="1"/>
    <w:qFormat/>
    <w:uiPriority w:val="0"/>
    <w:pPr>
      <w:spacing w:before="120"/>
    </w:pPr>
    <w:rPr>
      <w:rFonts w:ascii="Arial" w:hAnsi="Arial" w:cs="Arial"/>
      <w:sz w:val="24"/>
      <w:szCs w:val="24"/>
    </w:r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toc 3"/>
    <w:basedOn w:val="1"/>
    <w:next w:val="1"/>
    <w:qFormat/>
    <w:uiPriority w:val="0"/>
    <w:pPr>
      <w:ind w:left="840" w:leftChars="400"/>
    </w:pPr>
  </w:style>
  <w:style w:type="paragraph" w:styleId="13">
    <w:name w:val="Plain Text"/>
    <w:basedOn w:val="1"/>
    <w:qFormat/>
    <w:uiPriority w:val="0"/>
    <w:rPr>
      <w:sz w:val="24"/>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Subtitle"/>
    <w:basedOn w:val="18"/>
    <w:next w:val="18"/>
    <w:link w:val="97"/>
    <w:qFormat/>
    <w:uiPriority w:val="0"/>
    <w:pPr>
      <w:widowControl/>
      <w:spacing w:before="240" w:after="60" w:line="312" w:lineRule="auto"/>
      <w:jc w:val="center"/>
      <w:outlineLvl w:val="1"/>
    </w:pPr>
    <w:rPr>
      <w:rFonts w:ascii="Cambria" w:hAnsi="Cambria" w:eastAsia="Cambria"/>
      <w:kern w:val="28"/>
      <w:sz w:val="32"/>
      <w:szCs w:val="32"/>
    </w:rPr>
  </w:style>
  <w:style w:type="paragraph" w:customStyle="1" w:styleId="18">
    <w:name w:val="Normal_5"/>
    <w:qFormat/>
    <w:uiPriority w:val="0"/>
    <w:rPr>
      <w:rFonts w:ascii="黑体" w:hAnsi="黑体" w:eastAsia="黑体" w:cs="Times New Roman"/>
      <w:b/>
      <w:sz w:val="32"/>
      <w:szCs w:val="24"/>
      <w:lang w:val="en-US" w:eastAsia="zh-CN" w:bidi="ar-SA"/>
    </w:rPr>
  </w:style>
  <w:style w:type="paragraph" w:styleId="19">
    <w:name w:val="toc 2"/>
    <w:basedOn w:val="1"/>
    <w:next w:val="1"/>
    <w:semiHidden/>
    <w:qFormat/>
    <w:uiPriority w:val="0"/>
    <w:pPr>
      <w:ind w:left="420" w:leftChars="200"/>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pPr>
      <w:spacing w:before="280" w:after="280"/>
      <w:jc w:val="left"/>
    </w:pPr>
    <w:rPr>
      <w:kern w:val="0"/>
      <w:sz w:val="24"/>
      <w:szCs w:val="24"/>
    </w:rPr>
  </w:style>
  <w:style w:type="paragraph" w:styleId="22">
    <w:name w:val="Title"/>
    <w:basedOn w:val="1"/>
    <w:next w:val="1"/>
    <w:link w:val="104"/>
    <w:qFormat/>
    <w:uiPriority w:val="0"/>
  </w:style>
  <w:style w:type="paragraph" w:styleId="23">
    <w:name w:val="Body Text First Indent"/>
    <w:basedOn w:val="11"/>
    <w:qFormat/>
    <w:uiPriority w:val="0"/>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qFormat/>
    <w:uiPriority w:val="0"/>
    <w:rPr>
      <w:color w:val="0000FF"/>
      <w:u w:val="single"/>
    </w:rPr>
  </w:style>
  <w:style w:type="paragraph" w:customStyle="1" w:styleId="2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style4"/>
    <w:basedOn w:val="1"/>
    <w:next w:val="31"/>
    <w:qFormat/>
    <w:uiPriority w:val="0"/>
    <w:pPr>
      <w:widowControl/>
      <w:spacing w:before="280" w:after="280"/>
    </w:pPr>
    <w:rPr>
      <w:rFonts w:ascii="宋体"/>
      <w:sz w:val="18"/>
    </w:rPr>
  </w:style>
  <w:style w:type="paragraph" w:customStyle="1" w:styleId="31">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32">
    <w:name w:val="正"/>
    <w:basedOn w:val="33"/>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33">
    <w:name w:val="正文_1"/>
    <w:next w:val="32"/>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34">
    <w:name w:val="TOC 21"/>
    <w:basedOn w:val="1"/>
    <w:next w:val="1"/>
    <w:qFormat/>
    <w:uiPriority w:val="0"/>
    <w:pPr>
      <w:ind w:left="420"/>
    </w:pPr>
  </w:style>
  <w:style w:type="character" w:customStyle="1" w:styleId="35">
    <w:name w:val="标题 2 字符"/>
    <w:link w:val="4"/>
    <w:qFormat/>
    <w:uiPriority w:val="0"/>
    <w:rPr>
      <w:rFonts w:ascii="Arial" w:hAnsi="Arial" w:eastAsia="黑体"/>
      <w:sz w:val="32"/>
    </w:rPr>
  </w:style>
  <w:style w:type="paragraph" w:customStyle="1" w:styleId="36">
    <w:name w:val="正文_0_1"/>
    <w:next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文本_0"/>
    <w:basedOn w:val="38"/>
    <w:qFormat/>
    <w:uiPriority w:val="0"/>
    <w:pPr>
      <w:spacing w:after="120"/>
    </w:pPr>
    <w:rPr>
      <w:rFonts w:ascii="Times New Roman" w:hAnsi="Times New Roman"/>
      <w:szCs w:val="24"/>
    </w:rPr>
  </w:style>
  <w:style w:type="paragraph" w:customStyle="1" w:styleId="38">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缩进2格"/>
    <w:basedOn w:val="1"/>
    <w:unhideWhenUsed/>
    <w:qFormat/>
    <w:uiPriority w:val="99"/>
    <w:pPr>
      <w:spacing w:line="600" w:lineRule="exact"/>
      <w:ind w:firstLine="639" w:firstLineChars="206"/>
    </w:pPr>
    <w:rPr>
      <w:rFonts w:hint="default" w:hAnsi="宋体" w:eastAsia="Times New Roman"/>
      <w:sz w:val="31"/>
      <w:szCs w:val="24"/>
    </w:rPr>
  </w:style>
  <w:style w:type="paragraph" w:customStyle="1" w:styleId="40">
    <w:name w:val="Default Text"/>
    <w:basedOn w:val="41"/>
    <w:qFormat/>
    <w:uiPriority w:val="0"/>
    <w:pPr>
      <w:widowControl w:val="0"/>
      <w:suppressAutoHyphens/>
      <w:autoSpaceDE w:val="0"/>
    </w:pPr>
    <w:rPr>
      <w:rFonts w:ascii="Times New Roman" w:hAnsi="Times New Roman" w:eastAsia="宋体;SimSun" w:cs="Times New Roman"/>
      <w:color w:val="000000"/>
      <w:sz w:val="24"/>
      <w:szCs w:val="24"/>
      <w:lang w:val="en-US" w:eastAsia="zh-CN" w:bidi="ar-SA"/>
    </w:rPr>
  </w:style>
  <w:style w:type="paragraph" w:customStyle="1" w:styleId="41">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Heading 21"/>
    <w:basedOn w:val="1"/>
    <w:next w:val="1"/>
    <w:qFormat/>
    <w:uiPriority w:val="0"/>
    <w:pPr>
      <w:widowControl/>
      <w:numPr>
        <w:ilvl w:val="1"/>
        <w:numId w:val="1"/>
      </w:numPr>
      <w:spacing w:before="280" w:after="280"/>
      <w:jc w:val="left"/>
      <w:outlineLvl w:val="1"/>
    </w:pPr>
    <w:rPr>
      <w:rFonts w:ascii="宋体;SimSun" w:hAnsi="宋体;SimSun" w:cs="宋体;SimSun"/>
      <w:b/>
      <w:bCs/>
      <w:kern w:val="0"/>
      <w:sz w:val="36"/>
      <w:szCs w:val="36"/>
    </w:rPr>
  </w:style>
  <w:style w:type="paragraph" w:customStyle="1" w:styleId="43">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纯文本_0_0"/>
    <w:basedOn w:val="44"/>
    <w:qFormat/>
    <w:uiPriority w:val="0"/>
    <w:rPr>
      <w:rFonts w:ascii="宋体" w:hAnsi="Courier New"/>
      <w:szCs w:val="21"/>
    </w:rPr>
  </w:style>
  <w:style w:type="paragraph" w:customStyle="1" w:styleId="46">
    <w:name w:val="Normal_3"/>
    <w:qFormat/>
    <w:uiPriority w:val="0"/>
    <w:rPr>
      <w:rFonts w:ascii="黑体" w:hAnsi="黑体" w:eastAsia="黑体" w:cs="Times New Roman"/>
      <w:b/>
      <w:sz w:val="32"/>
      <w:szCs w:val="24"/>
      <w:lang w:val="en-US" w:eastAsia="zh-CN" w:bidi="ar-SA"/>
    </w:rPr>
  </w:style>
  <w:style w:type="character" w:customStyle="1" w:styleId="47">
    <w:name w:val="标题 2 Char"/>
    <w:link w:val="4"/>
    <w:qFormat/>
    <w:uiPriority w:val="0"/>
    <w:rPr>
      <w:rFonts w:ascii="Arial" w:hAnsi="Arial" w:eastAsia="黑体"/>
      <w:b/>
      <w:sz w:val="32"/>
    </w:rPr>
  </w:style>
  <w:style w:type="paragraph" w:customStyle="1" w:styleId="48">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49">
    <w:name w:val="Normal_17"/>
    <w:qFormat/>
    <w:uiPriority w:val="0"/>
    <w:rPr>
      <w:rFonts w:ascii="黑体" w:hAnsi="黑体" w:eastAsia="黑体" w:cs="Times New Roman"/>
      <w:b/>
      <w:sz w:val="32"/>
      <w:szCs w:val="24"/>
      <w:lang w:val="en-US" w:eastAsia="zh-CN" w:bidi="ar-SA"/>
    </w:rPr>
  </w:style>
  <w:style w:type="paragraph" w:customStyle="1" w:styleId="50">
    <w:name w:val="正文文本_1_0"/>
    <w:basedOn w:val="51"/>
    <w:qFormat/>
    <w:uiPriority w:val="0"/>
    <w:pPr>
      <w:spacing w:after="120"/>
    </w:pPr>
    <w:rPr>
      <w:szCs w:val="22"/>
    </w:rPr>
  </w:style>
  <w:style w:type="paragraph" w:customStyle="1" w:styleId="51">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Table Paragraph"/>
    <w:basedOn w:val="51"/>
    <w:qFormat/>
    <w:uiPriority w:val="0"/>
    <w:pPr>
      <w:jc w:val="left"/>
    </w:pPr>
    <w:rPr>
      <w:kern w:val="0"/>
      <w:sz w:val="22"/>
      <w:szCs w:val="22"/>
      <w:lang w:eastAsia="en-US"/>
    </w:rPr>
  </w:style>
  <w:style w:type="paragraph" w:customStyle="1" w:styleId="53">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54">
    <w:name w:val="正文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Normal_4"/>
    <w:qFormat/>
    <w:uiPriority w:val="0"/>
    <w:rPr>
      <w:rFonts w:ascii="黑体" w:hAnsi="黑体" w:eastAsia="黑体" w:cs="Times New Roman"/>
      <w:b/>
      <w:sz w:val="32"/>
      <w:szCs w:val="24"/>
      <w:lang w:val="en-US" w:eastAsia="zh-CN" w:bidi="ar-SA"/>
    </w:rPr>
  </w:style>
  <w:style w:type="paragraph" w:customStyle="1" w:styleId="58">
    <w:name w:val="Normal_6"/>
    <w:qFormat/>
    <w:uiPriority w:val="0"/>
    <w:rPr>
      <w:rFonts w:ascii="黑体" w:hAnsi="黑体" w:eastAsia="黑体" w:cs="Times New Roman"/>
      <w:b/>
      <w:sz w:val="32"/>
      <w:szCs w:val="24"/>
      <w:lang w:val="en-US" w:eastAsia="zh-CN" w:bidi="ar-SA"/>
    </w:rPr>
  </w:style>
  <w:style w:type="paragraph" w:customStyle="1" w:styleId="59">
    <w:name w:val="Normal_7"/>
    <w:qFormat/>
    <w:uiPriority w:val="0"/>
    <w:pPr>
      <w:suppressAutoHyphens/>
    </w:pPr>
    <w:rPr>
      <w:rFonts w:ascii="黑体;SimHei" w:hAnsi="黑体;SimHei" w:eastAsia="黑体;SimHei" w:cs="黑体;SimHei"/>
      <w:b/>
      <w:bCs/>
      <w:sz w:val="32"/>
      <w:szCs w:val="32"/>
      <w:lang w:val="en-US" w:eastAsia="zh-CN" w:bidi="ar-SA"/>
    </w:rPr>
  </w:style>
  <w:style w:type="paragraph" w:customStyle="1" w:styleId="60">
    <w:name w:val="Normal_8"/>
    <w:qFormat/>
    <w:uiPriority w:val="0"/>
    <w:rPr>
      <w:rFonts w:ascii="黑体" w:hAnsi="黑体" w:eastAsia="黑体" w:cs="Times New Roman"/>
      <w:b/>
      <w:sz w:val="32"/>
      <w:szCs w:val="24"/>
      <w:lang w:val="en-US" w:eastAsia="zh-CN" w:bidi="ar-SA"/>
    </w:rPr>
  </w:style>
  <w:style w:type="paragraph" w:customStyle="1" w:styleId="61">
    <w:name w:val="Normal_14"/>
    <w:qFormat/>
    <w:uiPriority w:val="0"/>
    <w:rPr>
      <w:rFonts w:ascii="黑体" w:hAnsi="黑体" w:eastAsia="黑体" w:cs="Times New Roman"/>
      <w:b/>
      <w:sz w:val="32"/>
      <w:szCs w:val="24"/>
      <w:lang w:val="en-US" w:eastAsia="zh-CN" w:bidi="ar-SA"/>
    </w:rPr>
  </w:style>
  <w:style w:type="paragraph" w:customStyle="1" w:styleId="62">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63">
    <w:name w:val="标题 3_0_0"/>
    <w:basedOn w:val="62"/>
    <w:next w:val="62"/>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64">
    <w:name w:val="Normal_10"/>
    <w:qFormat/>
    <w:uiPriority w:val="0"/>
    <w:rPr>
      <w:rFonts w:ascii="黑体" w:hAnsi="黑体" w:eastAsia="黑体" w:cs="Times New Roman"/>
      <w:b/>
      <w:sz w:val="32"/>
      <w:szCs w:val="24"/>
      <w:lang w:val="en-US" w:eastAsia="zh-CN" w:bidi="ar-SA"/>
    </w:rPr>
  </w:style>
  <w:style w:type="paragraph" w:customStyle="1" w:styleId="65">
    <w:name w:val="正文_4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66">
    <w:name w:val="Normal_11"/>
    <w:qFormat/>
    <w:uiPriority w:val="0"/>
    <w:rPr>
      <w:rFonts w:ascii="黑体" w:hAnsi="黑体" w:eastAsia="黑体" w:cs="Times New Roman"/>
      <w:b/>
      <w:sz w:val="32"/>
      <w:szCs w:val="24"/>
      <w:lang w:val="en-US" w:eastAsia="zh-CN" w:bidi="ar-SA"/>
    </w:rPr>
  </w:style>
  <w:style w:type="paragraph" w:customStyle="1" w:styleId="67">
    <w:name w:val="Normal_13"/>
    <w:qFormat/>
    <w:uiPriority w:val="0"/>
    <w:rPr>
      <w:rFonts w:ascii="黑体" w:hAnsi="黑体" w:eastAsia="黑体" w:cs="Times New Roman"/>
      <w:b/>
      <w:sz w:val="32"/>
      <w:szCs w:val="24"/>
      <w:lang w:val="en-US" w:eastAsia="zh-CN" w:bidi="ar-SA"/>
    </w:rPr>
  </w:style>
  <w:style w:type="paragraph" w:customStyle="1" w:styleId="68">
    <w:name w:val="正文文本缩进_1_0"/>
    <w:basedOn w:val="69"/>
    <w:unhideWhenUsed/>
    <w:qFormat/>
    <w:uiPriority w:val="99"/>
    <w:pPr>
      <w:spacing w:after="120"/>
      <w:ind w:left="420" w:leftChars="200"/>
    </w:pPr>
    <w:rPr>
      <w:rFonts w:ascii="Calibri" w:hAnsi="Calibri" w:eastAsia="宋体"/>
    </w:rPr>
  </w:style>
  <w:style w:type="paragraph" w:customStyle="1" w:styleId="6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71">
    <w:name w:val="正文文本_4"/>
    <w:basedOn w:val="72"/>
    <w:qFormat/>
    <w:uiPriority w:val="0"/>
    <w:pPr>
      <w:spacing w:after="120"/>
    </w:pPr>
    <w:rPr>
      <w:rFonts w:ascii="Times New Roman" w:hAnsi="Times New Roman" w:eastAsia="宋体"/>
      <w:szCs w:val="24"/>
    </w:rPr>
  </w:style>
  <w:style w:type="paragraph" w:customStyle="1" w:styleId="7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Normal_16"/>
    <w:qFormat/>
    <w:uiPriority w:val="0"/>
    <w:rPr>
      <w:rFonts w:ascii="黑体" w:hAnsi="黑体" w:eastAsia="黑体" w:cs="Times New Roman"/>
      <w:b/>
      <w:sz w:val="32"/>
      <w:szCs w:val="24"/>
      <w:lang w:val="en-US" w:eastAsia="zh-CN" w:bidi="ar-SA"/>
    </w:rPr>
  </w:style>
  <w:style w:type="paragraph" w:customStyle="1" w:styleId="74">
    <w:name w:val="正文_1_1_0_0"/>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_4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文本缩进_2_0"/>
    <w:basedOn w:val="76"/>
    <w:unhideWhenUsed/>
    <w:qFormat/>
    <w:uiPriority w:val="99"/>
    <w:pPr>
      <w:spacing w:after="120"/>
      <w:ind w:left="420" w:leftChars="200"/>
    </w:pPr>
    <w:rPr>
      <w:rFonts w:ascii="Calibri" w:hAnsi="Calibri" w:eastAsia="宋体"/>
    </w:rPr>
  </w:style>
  <w:style w:type="paragraph" w:customStyle="1" w:styleId="79">
    <w:name w:val="题注_0"/>
    <w:basedOn w:val="76"/>
    <w:next w:val="76"/>
    <w:qFormat/>
    <w:uiPriority w:val="0"/>
    <w:pPr>
      <w:spacing w:before="152" w:after="160"/>
    </w:pPr>
    <w:rPr>
      <w:rFonts w:ascii="Arial" w:hAnsi="Arial" w:eastAsia="黑体" w:cs="Arial"/>
      <w:sz w:val="20"/>
      <w:szCs w:val="20"/>
    </w:rPr>
  </w:style>
  <w:style w:type="paragraph" w:customStyle="1" w:styleId="80">
    <w:name w:val="Normal_19"/>
    <w:qFormat/>
    <w:uiPriority w:val="0"/>
    <w:rPr>
      <w:rFonts w:ascii="黑体" w:hAnsi="黑体" w:eastAsia="黑体" w:cs="Times New Roman"/>
      <w:b/>
      <w:sz w:val="32"/>
      <w:szCs w:val="24"/>
      <w:lang w:val="en-US" w:eastAsia="zh-CN" w:bidi="ar-SA"/>
    </w:rPr>
  </w:style>
  <w:style w:type="paragraph" w:customStyle="1" w:styleId="81">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缩进_1"/>
    <w:basedOn w:val="83"/>
    <w:unhideWhenUsed/>
    <w:qFormat/>
    <w:uiPriority w:val="0"/>
    <w:pPr>
      <w:ind w:firstLine="420" w:firstLineChars="200"/>
    </w:pPr>
    <w:rPr>
      <w:rFonts w:ascii="Calibri" w:hAnsi="Calibri"/>
    </w:rPr>
  </w:style>
  <w:style w:type="paragraph" w:customStyle="1" w:styleId="83">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Normal"/>
    <w:qFormat/>
    <w:uiPriority w:val="0"/>
    <w:pPr>
      <w:jc w:val="both"/>
    </w:pPr>
    <w:rPr>
      <w:rFonts w:ascii="Calibri" w:hAnsi="Calibri" w:eastAsia="宋体" w:cs="宋体"/>
      <w:kern w:val="2"/>
      <w:sz w:val="21"/>
      <w:szCs w:val="21"/>
      <w:lang w:val="en-US" w:eastAsia="zh-CN" w:bidi="ar-SA"/>
    </w:rPr>
  </w:style>
  <w:style w:type="paragraph" w:customStyle="1" w:styleId="85">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86">
    <w:name w:val="正文_2"/>
    <w:qFormat/>
    <w:uiPriority w:val="0"/>
    <w:pPr>
      <w:widowControl w:val="0"/>
      <w:jc w:val="both"/>
    </w:pPr>
    <w:rPr>
      <w:rFonts w:ascii="Calibri" w:hAnsi="Calibri" w:eastAsia="宋体" w:cs="Times New Roman"/>
      <w:lang w:val="en-US" w:eastAsia="zh-CN" w:bidi="ar-SA"/>
    </w:rPr>
  </w:style>
  <w:style w:type="paragraph" w:customStyle="1" w:styleId="87">
    <w:name w:val="正文缩进1"/>
    <w:basedOn w:val="1"/>
    <w:next w:val="15"/>
    <w:qFormat/>
    <w:uiPriority w:val="0"/>
    <w:pPr>
      <w:ind w:firstLine="420"/>
    </w:pPr>
    <w:rPr>
      <w:szCs w:val="20"/>
    </w:rPr>
  </w:style>
  <w:style w:type="paragraph" w:customStyle="1" w:styleId="8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zhang"/>
    <w:basedOn w:val="18"/>
    <w:qFormat/>
    <w:uiPriority w:val="0"/>
    <w:pPr>
      <w:widowControl/>
      <w:spacing w:before="100" w:beforeAutospacing="1" w:after="100" w:afterAutospacing="1"/>
      <w:jc w:val="left"/>
    </w:pPr>
    <w:rPr>
      <w:rFonts w:hint="eastAsia" w:ascii="宋体" w:hAnsi="宋体" w:eastAsia="Times New Roman"/>
      <w:smallCaps/>
      <w:color w:val="000000"/>
      <w:kern w:val="0"/>
      <w:sz w:val="20"/>
      <w:szCs w:val="20"/>
    </w:rPr>
  </w:style>
  <w:style w:type="paragraph" w:customStyle="1" w:styleId="90">
    <w:name w:val="Normal_5_0"/>
    <w:qFormat/>
    <w:uiPriority w:val="0"/>
    <w:pPr>
      <w:widowControl w:val="0"/>
      <w:jc w:val="both"/>
    </w:pPr>
    <w:rPr>
      <w:rFonts w:ascii="Times New Roman" w:hAnsi="Times New Roman" w:eastAsia="宋体" w:cs="Times New Roman"/>
      <w:szCs w:val="24"/>
      <w:lang w:val="en-US" w:eastAsia="zh-CN" w:bidi="ar-SA"/>
    </w:rPr>
  </w:style>
  <w:style w:type="paragraph" w:customStyle="1" w:styleId="91">
    <w:name w:val="TOC Heading"/>
    <w:basedOn w:val="92"/>
    <w:next w:val="1"/>
    <w:qFormat/>
    <w:uiPriority w:val="0"/>
    <w:pPr>
      <w:widowControl w:val="0"/>
      <w:spacing w:line="576" w:lineRule="auto"/>
      <w:jc w:val="both"/>
      <w:outlineLvl w:val="9"/>
    </w:pPr>
    <w:rPr>
      <w:rFonts w:ascii="Calibri" w:hAnsi="Calibri" w:eastAsia="Times New Roman"/>
    </w:rPr>
  </w:style>
  <w:style w:type="paragraph" w:customStyle="1" w:styleId="92">
    <w:name w:val="Heading 1"/>
    <w:basedOn w:val="18"/>
    <w:next w:val="18"/>
    <w:qFormat/>
    <w:uiPriority w:val="0"/>
    <w:pPr>
      <w:keepNext/>
      <w:keepLines/>
      <w:spacing w:before="340" w:after="330" w:line="578" w:lineRule="auto"/>
      <w:outlineLvl w:val="0"/>
    </w:pPr>
    <w:rPr>
      <w:rFonts w:eastAsia="Times New Roman"/>
      <w:bCs/>
      <w:kern w:val="44"/>
      <w:sz w:val="44"/>
      <w:szCs w:val="44"/>
    </w:rPr>
  </w:style>
  <w:style w:type="paragraph" w:customStyle="1" w:styleId="93">
    <w:name w:val="p0_0"/>
    <w:basedOn w:val="18"/>
    <w:qFormat/>
    <w:uiPriority w:val="0"/>
    <w:pPr>
      <w:widowControl/>
      <w:spacing w:before="100" w:beforeAutospacing="1" w:after="100" w:afterAutospacing="1"/>
      <w:jc w:val="left"/>
    </w:pPr>
    <w:rPr>
      <w:rFonts w:ascii="宋体" w:hAnsi="宋体" w:eastAsia="Times New Roman" w:cs="宋体"/>
      <w:kern w:val="0"/>
      <w:sz w:val="24"/>
    </w:rPr>
  </w:style>
  <w:style w:type="character" w:customStyle="1" w:styleId="94">
    <w:name w:val="标题 Char"/>
    <w:link w:val="95"/>
    <w:qFormat/>
    <w:uiPriority w:val="10"/>
    <w:rPr>
      <w:rFonts w:ascii="Arial" w:hAnsi="Arial" w:eastAsia="Times New Roman"/>
      <w:b/>
      <w:kern w:val="0"/>
      <w:sz w:val="32"/>
      <w:szCs w:val="20"/>
    </w:rPr>
  </w:style>
  <w:style w:type="paragraph" w:customStyle="1" w:styleId="95">
    <w:name w:val="Title"/>
    <w:basedOn w:val="18"/>
    <w:next w:val="18"/>
    <w:link w:val="94"/>
    <w:qFormat/>
    <w:uiPriority w:val="0"/>
    <w:pPr>
      <w:adjustRightInd w:val="0"/>
      <w:spacing w:before="240" w:after="60" w:line="420" w:lineRule="atLeast"/>
      <w:jc w:val="center"/>
      <w:textAlignment w:val="baseline"/>
      <w:outlineLvl w:val="0"/>
    </w:pPr>
    <w:rPr>
      <w:rFonts w:ascii="Arial" w:hAnsi="Arial" w:eastAsia="Times New Roman"/>
      <w:kern w:val="0"/>
      <w:sz w:val="32"/>
      <w:szCs w:val="20"/>
    </w:rPr>
  </w:style>
  <w:style w:type="paragraph" w:customStyle="1" w:styleId="96">
    <w:name w:val="Normal_2_0"/>
    <w:qFormat/>
    <w:uiPriority w:val="0"/>
    <w:rPr>
      <w:rFonts w:ascii="宋体" w:hAnsi="宋体" w:eastAsia="宋体" w:cs="Times New Roman"/>
      <w:sz w:val="24"/>
      <w:szCs w:val="24"/>
      <w:lang w:val="en-US" w:eastAsia="zh-CN" w:bidi="ar-SA"/>
    </w:rPr>
  </w:style>
  <w:style w:type="character" w:customStyle="1" w:styleId="97">
    <w:name w:val="副标题 Char"/>
    <w:link w:val="17"/>
    <w:qFormat/>
    <w:uiPriority w:val="0"/>
    <w:rPr>
      <w:rFonts w:ascii="Cambria" w:hAnsi="Cambria" w:eastAsia="Cambria"/>
      <w:b/>
      <w:kern w:val="28"/>
      <w:sz w:val="32"/>
      <w:szCs w:val="32"/>
    </w:rPr>
  </w:style>
  <w:style w:type="paragraph" w:customStyle="1" w:styleId="98">
    <w:name w:val="Normal (Web)_0"/>
    <w:basedOn w:val="18"/>
    <w:qFormat/>
    <w:uiPriority w:val="0"/>
    <w:pPr>
      <w:spacing w:before="100" w:beforeAutospacing="1" w:after="100" w:afterAutospacing="1"/>
      <w:ind w:left="0" w:right="0"/>
      <w:jc w:val="left"/>
    </w:pPr>
    <w:rPr>
      <w:rFonts w:eastAsia="Times New Roman"/>
      <w:kern w:val="0"/>
      <w:sz w:val="24"/>
      <w:lang w:val="en-US" w:eastAsia="zh-CN"/>
    </w:rPr>
  </w:style>
  <w:style w:type="paragraph" w:customStyle="1" w:styleId="99">
    <w:name w:val="Normal_0_1_0"/>
    <w:qFormat/>
    <w:uiPriority w:val="0"/>
    <w:pPr>
      <w:widowControl w:val="0"/>
      <w:jc w:val="both"/>
    </w:pPr>
    <w:rPr>
      <w:rFonts w:ascii="Calibri" w:hAnsi="Calibri" w:eastAsia="宋体" w:cs="Times New Roman"/>
      <w:lang w:val="en-US" w:eastAsia="zh-CN" w:bidi="ar-SA"/>
    </w:rPr>
  </w:style>
  <w:style w:type="paragraph" w:customStyle="1" w:styleId="100">
    <w:name w:val="正文1"/>
    <w:basedOn w:val="101"/>
    <w:qFormat/>
    <w:uiPriority w:val="0"/>
    <w:pPr>
      <w:widowControl w:val="0"/>
      <w:tabs>
        <w:tab w:val="right" w:leader="dot" w:pos="8296"/>
      </w:tabs>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1">
    <w:name w:val="样式1"/>
    <w:basedOn w:val="19"/>
    <w:qFormat/>
    <w:uiPriority w:val="0"/>
    <w:pPr>
      <w:keepNext/>
      <w:keepLines/>
      <w:tabs>
        <w:tab w:val="right" w:leader="dot" w:pos="8296"/>
      </w:tabs>
      <w:topLinePunct/>
      <w:spacing w:line="480" w:lineRule="auto"/>
      <w:ind w:firstLine="0" w:firstLineChars="0"/>
    </w:pPr>
    <w:rPr>
      <w:rFonts w:ascii="EU-F1" w:eastAsia="黑体"/>
      <w:sz w:val="21"/>
      <w:szCs w:val="21"/>
    </w:rPr>
  </w:style>
  <w:style w:type="paragraph" w:customStyle="1" w:styleId="10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Normal_2"/>
    <w:qFormat/>
    <w:uiPriority w:val="0"/>
    <w:rPr>
      <w:rFonts w:ascii="宋体" w:hAnsi="宋体" w:eastAsia="宋体" w:cs="Times New Roman"/>
      <w:sz w:val="24"/>
      <w:szCs w:val="24"/>
      <w:lang w:val="en-US" w:eastAsia="zh-CN" w:bidi="ar-SA"/>
    </w:rPr>
  </w:style>
  <w:style w:type="character" w:customStyle="1" w:styleId="104">
    <w:name w:val="标题 字符"/>
    <w:link w:val="22"/>
    <w:qFormat/>
    <w:uiPriority w:val="1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23038</Words>
  <Characters>24719</Characters>
  <Lines>0</Lines>
  <Paragraphs>0</Paragraphs>
  <TotalTime>444</TotalTime>
  <ScaleCrop>false</ScaleCrop>
  <LinksUpToDate>false</LinksUpToDate>
  <CharactersWithSpaces>25352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2022-08-03T08:49:00Z</dcterms:created>
  <dc:creator>杨泽艺</dc:creator>
  <cp:lastModifiedBy>WPS_1520142727</cp:lastModifiedBy>
  <cp:lastPrinted>2023-11-07T11:31:00Z</cp:lastPrinted>
  <dcterms:modified xsi:type="dcterms:W3CDTF">2025-05-06T11:05:42Z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A99AFB698E614AAE86170A334104A61B_13</vt:lpwstr>
  </property>
  <property fmtid="{D5CDD505-2E9C-101B-9397-08002B2CF9AE}" pid="4" name="KSOTemplateDocerSaveRecord">
    <vt:lpwstr>eyJoZGlkIjoiOWQ1YTU2MzZiNDExYzNjODU0YTNmNGNkZTZlNzNlMzQiLCJ1c2VySWQiOiIyNTMwMjYxNzEifQ==</vt:lpwstr>
  </property>
</Properties>
</file>